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jc w:val="right"/>
        <w:textAlignment w:val="auto"/>
        <w:rPr>
          <w:rFonts w:hint="eastAsia" w:ascii="仿宋" w:hAnsi="仿宋" w:eastAsia="仿宋"/>
          <w:sz w:val="32"/>
          <w:szCs w:val="32"/>
        </w:rPr>
      </w:pPr>
      <w:r>
        <w:rPr>
          <w:rFonts w:hint="eastAsia" w:ascii="仿宋" w:hAnsi="仿宋" w:eastAsia="仿宋"/>
          <w:sz w:val="32"/>
          <w:szCs w:val="32"/>
        </w:rPr>
        <w:t>常</w:t>
      </w:r>
      <w:r>
        <w:rPr>
          <w:rFonts w:hint="eastAsia" w:ascii="仿宋" w:hAnsi="仿宋" w:eastAsia="仿宋"/>
          <w:sz w:val="32"/>
          <w:szCs w:val="32"/>
          <w:lang w:eastAsia="zh-CN"/>
        </w:rPr>
        <w:t>环津</w:t>
      </w:r>
      <w:r>
        <w:rPr>
          <w:rFonts w:hint="eastAsia" w:ascii="仿宋" w:hAnsi="仿宋" w:eastAsia="仿宋"/>
          <w:sz w:val="32"/>
          <w:szCs w:val="32"/>
        </w:rPr>
        <w:t>建〔202</w:t>
      </w:r>
      <w:r>
        <w:rPr>
          <w:rFonts w:hint="eastAsia" w:ascii="仿宋" w:hAnsi="仿宋" w:eastAsia="仿宋"/>
          <w:sz w:val="32"/>
          <w:szCs w:val="32"/>
          <w:lang w:val="en-US" w:eastAsia="zh-CN"/>
        </w:rPr>
        <w:t>4</w:t>
      </w:r>
      <w:r>
        <w:rPr>
          <w:rFonts w:hint="eastAsia" w:ascii="宋体" w:hAnsi="宋体"/>
          <w:sz w:val="32"/>
          <w:szCs w:val="32"/>
        </w:rPr>
        <w:t>〕</w:t>
      </w:r>
      <w:r>
        <w:rPr>
          <w:rFonts w:hint="eastAsia" w:ascii="宋体" w:hAnsi="宋体"/>
          <w:sz w:val="32"/>
          <w:szCs w:val="32"/>
          <w:lang w:val="en-US" w:eastAsia="zh-CN"/>
        </w:rPr>
        <w:t>1</w:t>
      </w:r>
      <w:r>
        <w:rPr>
          <w:rFonts w:hint="eastAsia" w:ascii="仿宋" w:hAnsi="仿宋" w:eastAsia="仿宋"/>
          <w:sz w:val="32"/>
          <w:szCs w:val="32"/>
        </w:rPr>
        <w:t>号</w:t>
      </w:r>
    </w:p>
    <w:p>
      <w:pPr>
        <w:pStyle w:val="7"/>
        <w:keepNext w:val="0"/>
        <w:keepLines w:val="0"/>
        <w:pageBreakBefore w:val="0"/>
        <w:widowControl w:val="0"/>
        <w:kinsoku/>
        <w:wordWrap/>
        <w:overflowPunct/>
        <w:topLinePunct w:val="0"/>
        <w:autoSpaceDE/>
        <w:autoSpaceDN/>
        <w:bidi w:val="0"/>
        <w:adjustRightInd/>
        <w:snapToGrid/>
        <w:spacing w:after="0"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44"/>
          <w:szCs w:val="44"/>
          <w:lang w:eastAsia="zh-CN"/>
        </w:rPr>
      </w:pPr>
      <w:r>
        <w:rPr>
          <w:rFonts w:hint="eastAsia"/>
          <w:b/>
          <w:bCs/>
          <w:sz w:val="44"/>
          <w:szCs w:val="44"/>
          <w:lang w:eastAsia="zh-CN"/>
        </w:rPr>
        <w:t>常德市生态环境局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pacing w:val="0"/>
          <w:sz w:val="44"/>
          <w:szCs w:val="44"/>
          <w:lang w:eastAsia="zh-CN"/>
        </w:rPr>
      </w:pPr>
      <w:r>
        <w:rPr>
          <w:rFonts w:hint="eastAsia"/>
          <w:b/>
          <w:bCs/>
          <w:spacing w:val="0"/>
          <w:sz w:val="44"/>
          <w:szCs w:val="44"/>
          <w:lang w:eastAsia="zh-CN"/>
        </w:rPr>
        <w:t>关于</w:t>
      </w:r>
      <w:r>
        <w:rPr>
          <w:rFonts w:hint="eastAsia" w:ascii="Times New Roman" w:hAnsi="Times New Roman" w:eastAsia="宋体" w:cs="Times New Roman"/>
          <w:b/>
          <w:bCs/>
          <w:spacing w:val="0"/>
          <w:sz w:val="44"/>
          <w:szCs w:val="44"/>
          <w:lang w:eastAsia="zh-CN"/>
        </w:rPr>
        <w:t>中国石化销售股份有限公司湖南常德津市南区加油站扩建项目环</w:t>
      </w:r>
      <w:r>
        <w:rPr>
          <w:rFonts w:hint="eastAsia"/>
          <w:b/>
          <w:bCs/>
          <w:spacing w:val="0"/>
          <w:sz w:val="44"/>
          <w:szCs w:val="44"/>
          <w:lang w:eastAsia="zh-CN"/>
        </w:rPr>
        <w:t>境影响报告表的批复</w:t>
      </w:r>
    </w:p>
    <w:p>
      <w:pPr>
        <w:pStyle w:val="7"/>
        <w:keepNext w:val="0"/>
        <w:keepLines w:val="0"/>
        <w:pageBreakBefore w:val="0"/>
        <w:widowControl w:val="0"/>
        <w:kinsoku/>
        <w:wordWrap/>
        <w:overflowPunct/>
        <w:topLinePunct w:val="0"/>
        <w:autoSpaceDE/>
        <w:autoSpaceDN/>
        <w:bidi w:val="0"/>
        <w:spacing w:after="0" w:line="5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中国石化销售股份有限公司湖南常德津市南区加油站</w:t>
      </w:r>
      <w:r>
        <w:rPr>
          <w:rFonts w:hint="eastAsia" w:ascii="仿宋" w:hAnsi="仿宋"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你</w:t>
      </w:r>
      <w:r>
        <w:rPr>
          <w:rFonts w:hint="eastAsia" w:ascii="仿宋" w:hAnsi="仿宋" w:eastAsia="仿宋" w:cs="Times New Roman"/>
          <w:sz w:val="32"/>
          <w:szCs w:val="32"/>
          <w:lang w:eastAsia="zh-CN"/>
        </w:rPr>
        <w:t>单位申报的</w:t>
      </w:r>
      <w:r>
        <w:rPr>
          <w:rFonts w:hint="eastAsia" w:ascii="仿宋" w:hAnsi="仿宋" w:eastAsia="仿宋" w:cs="Times New Roman"/>
          <w:sz w:val="32"/>
          <w:szCs w:val="32"/>
        </w:rPr>
        <w:t>《</w:t>
      </w:r>
      <w:r>
        <w:rPr>
          <w:rFonts w:hint="eastAsia" w:ascii="仿宋" w:hAnsi="仿宋" w:eastAsia="仿宋" w:cs="Times New Roman"/>
          <w:color w:val="0C0C0C"/>
          <w:sz w:val="32"/>
          <w:szCs w:val="32"/>
          <w:lang w:val="en-US" w:eastAsia="zh-CN"/>
        </w:rPr>
        <w:t>中国石化销售股份有限公司湖南常德津市南区加油站扩建项目环境影响报告表》(以下</w:t>
      </w:r>
      <w:r>
        <w:rPr>
          <w:rFonts w:hint="eastAsia" w:ascii="仿宋" w:hAnsi="仿宋" w:eastAsia="仿宋"/>
          <w:color w:val="0C0C0C"/>
          <w:sz w:val="32"/>
          <w:szCs w:val="32"/>
          <w:lang w:val="en-US" w:eastAsia="zh-CN"/>
        </w:rPr>
        <w:t>简称报告表)及相关</w:t>
      </w:r>
      <w:r>
        <w:rPr>
          <w:rFonts w:hint="eastAsia" w:ascii="仿宋" w:hAnsi="仿宋" w:eastAsia="仿宋" w:cs="Times New Roman"/>
          <w:sz w:val="32"/>
          <w:szCs w:val="32"/>
        </w:rPr>
        <w:t>附件收悉，</w:t>
      </w:r>
      <w:r>
        <w:rPr>
          <w:rFonts w:hint="eastAsia" w:ascii="仿宋" w:hAnsi="仿宋" w:eastAsia="仿宋"/>
          <w:sz w:val="32"/>
          <w:szCs w:val="32"/>
        </w:rPr>
        <w:t>根据环评报告结论、公示情况，经研究，现批复如下</w:t>
      </w:r>
      <w:r>
        <w:rPr>
          <w:rFonts w:hint="eastAsia" w:ascii="仿宋" w:hAnsi="仿宋" w:eastAsia="仿宋" w:cs="Times New Roman"/>
          <w:sz w:val="32"/>
          <w:szCs w:val="32"/>
        </w:rPr>
        <w:t>：</w:t>
      </w:r>
    </w:p>
    <w:p>
      <w:pPr>
        <w:pStyle w:val="14"/>
        <w:keepNext w:val="0"/>
        <w:keepLines w:val="0"/>
        <w:pageBreakBefore w:val="0"/>
        <w:widowControl w:val="0"/>
        <w:kinsoku/>
        <w:wordWrap/>
        <w:overflowPunct/>
        <w:topLinePunct w:val="0"/>
        <w:autoSpaceDE/>
        <w:autoSpaceDN/>
        <w:bidi w:val="0"/>
        <w:spacing w:after="0" w:line="560" w:lineRule="exact"/>
        <w:ind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一、中国石化销售有限</w:t>
      </w:r>
      <w:r>
        <w:rPr>
          <w:rFonts w:hint="default" w:ascii="仿宋" w:hAnsi="仿宋" w:eastAsia="仿宋" w:cs="Times New Roman"/>
          <w:sz w:val="32"/>
          <w:szCs w:val="32"/>
        </w:rPr>
        <w:t>公司湖南常德津市南区加油站位于津市</w:t>
      </w:r>
      <w:r>
        <w:rPr>
          <w:rFonts w:hint="eastAsia" w:ascii="仿宋" w:hAnsi="仿宋" w:eastAsia="仿宋" w:cs="Times New Roman"/>
          <w:sz w:val="32"/>
          <w:szCs w:val="32"/>
          <w:lang w:eastAsia="zh-CN"/>
        </w:rPr>
        <w:t>高新技术产业开发</w:t>
      </w:r>
      <w:r>
        <w:rPr>
          <w:rFonts w:hint="default" w:ascii="仿宋" w:hAnsi="仿宋" w:eastAsia="仿宋" w:cs="Times New Roman"/>
          <w:sz w:val="32"/>
          <w:szCs w:val="32"/>
        </w:rPr>
        <w:t>区坝道水泥公司旁，地理坐标：东经</w:t>
      </w:r>
      <w:r>
        <w:rPr>
          <w:rFonts w:hint="eastAsia" w:ascii="仿宋" w:hAnsi="仿宋" w:eastAsia="仿宋" w:cs="Times New Roman"/>
          <w:sz w:val="32"/>
          <w:szCs w:val="32"/>
          <w:lang w:eastAsia="zh-CN"/>
        </w:rPr>
        <w:t>：</w:t>
      </w:r>
      <w:r>
        <w:rPr>
          <w:rFonts w:hint="default" w:ascii="仿宋" w:hAnsi="仿宋" w:eastAsia="仿宋" w:cs="Times New Roman"/>
          <w:sz w:val="32"/>
          <w:szCs w:val="32"/>
        </w:rPr>
        <w:t>111°51′58.73101″，北纬：29°34′28.08540″。加油站共设置3个埋地钢制卧式油罐</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0m</w:t>
      </w:r>
      <w:r>
        <w:rPr>
          <w:rFonts w:hint="eastAsia" w:ascii="仿宋" w:hAnsi="仿宋" w:eastAsia="仿宋" w:cs="Times New Roman"/>
          <w:sz w:val="32"/>
          <w:szCs w:val="32"/>
          <w:vertAlign w:val="superscript"/>
        </w:rPr>
        <w:t>3</w:t>
      </w:r>
      <w:r>
        <w:rPr>
          <w:rFonts w:hint="eastAsia" w:ascii="仿宋" w:hAnsi="仿宋" w:eastAsia="仿宋" w:cs="Times New Roman"/>
          <w:sz w:val="32"/>
          <w:szCs w:val="32"/>
        </w:rPr>
        <w:t>92#汽油</w:t>
      </w:r>
      <w:r>
        <w:rPr>
          <w:rFonts w:hint="eastAsia" w:ascii="仿宋" w:hAnsi="仿宋" w:eastAsia="仿宋" w:cs="Times New Roman"/>
          <w:sz w:val="32"/>
          <w:szCs w:val="32"/>
          <w:lang w:val="en-US" w:eastAsia="zh-CN"/>
        </w:rPr>
        <w:t>储罐1个</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0m</w:t>
      </w:r>
      <w:r>
        <w:rPr>
          <w:rFonts w:hint="eastAsia" w:ascii="仿宋" w:hAnsi="仿宋" w:eastAsia="仿宋" w:cs="Times New Roman"/>
          <w:sz w:val="32"/>
          <w:szCs w:val="32"/>
          <w:vertAlign w:val="superscript"/>
        </w:rPr>
        <w:t>3</w:t>
      </w:r>
      <w:r>
        <w:rPr>
          <w:rFonts w:hint="eastAsia" w:ascii="仿宋" w:hAnsi="仿宋" w:eastAsia="仿宋" w:cs="Times New Roman"/>
          <w:sz w:val="32"/>
          <w:szCs w:val="32"/>
        </w:rPr>
        <w:t>95#汽油</w:t>
      </w:r>
      <w:r>
        <w:rPr>
          <w:rFonts w:hint="eastAsia" w:ascii="仿宋" w:hAnsi="仿宋" w:eastAsia="仿宋" w:cs="Times New Roman"/>
          <w:sz w:val="32"/>
          <w:szCs w:val="32"/>
          <w:lang w:val="en-US" w:eastAsia="zh-CN"/>
        </w:rPr>
        <w:t>储罐1个</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0#柴油储罐1个</w:t>
      </w:r>
      <w:r>
        <w:rPr>
          <w:rFonts w:hint="eastAsia" w:ascii="仿宋" w:hAnsi="仿宋" w:eastAsia="仿宋" w:cs="Times New Roman"/>
          <w:sz w:val="32"/>
          <w:szCs w:val="32"/>
          <w:lang w:eastAsia="zh-CN"/>
        </w:rPr>
        <w:t>）</w:t>
      </w:r>
      <w:r>
        <w:rPr>
          <w:rFonts w:hint="default" w:ascii="仿宋" w:hAnsi="仿宋" w:eastAsia="仿宋" w:cs="Times New Roman"/>
          <w:sz w:val="32"/>
          <w:szCs w:val="32"/>
        </w:rPr>
        <w:t>、</w:t>
      </w:r>
      <w:r>
        <w:rPr>
          <w:rFonts w:hint="eastAsia" w:ascii="仿宋" w:hAnsi="仿宋" w:eastAsia="仿宋" w:cs="Times New Roman"/>
          <w:sz w:val="32"/>
          <w:szCs w:val="32"/>
          <w:lang w:val="en-US" w:eastAsia="zh-CN"/>
        </w:rPr>
        <w:t>4</w:t>
      </w:r>
      <w:r>
        <w:rPr>
          <w:rFonts w:hint="default" w:ascii="仿宋" w:hAnsi="仿宋" w:eastAsia="仿宋" w:cs="Times New Roman"/>
          <w:sz w:val="32"/>
          <w:szCs w:val="32"/>
        </w:rPr>
        <w:t>台加油机</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8把加油枪</w:t>
      </w:r>
      <w:r>
        <w:rPr>
          <w:rFonts w:hint="eastAsia" w:ascii="仿宋" w:hAnsi="仿宋" w:eastAsia="仿宋" w:cs="Times New Roman"/>
          <w:sz w:val="32"/>
          <w:szCs w:val="32"/>
          <w:lang w:eastAsia="zh-CN"/>
        </w:rPr>
        <w:t>）</w:t>
      </w:r>
      <w:r>
        <w:rPr>
          <w:rFonts w:hint="default" w:ascii="仿宋" w:hAnsi="仿宋" w:eastAsia="仿宋" w:cs="Times New Roman"/>
          <w:sz w:val="32"/>
          <w:szCs w:val="32"/>
        </w:rPr>
        <w:t>，并配套建设单层罐+防渗池</w:t>
      </w:r>
      <w:r>
        <w:rPr>
          <w:rFonts w:hint="eastAsia" w:ascii="仿宋" w:hAnsi="仿宋" w:eastAsia="仿宋" w:cs="Times New Roman"/>
          <w:sz w:val="32"/>
          <w:szCs w:val="32"/>
          <w:lang w:eastAsia="zh-CN"/>
        </w:rPr>
        <w:t>，</w:t>
      </w:r>
      <w:r>
        <w:rPr>
          <w:rFonts w:hint="default" w:ascii="仿宋" w:hAnsi="仿宋" w:eastAsia="仿宋" w:cs="Times New Roman"/>
          <w:sz w:val="32"/>
          <w:szCs w:val="32"/>
        </w:rPr>
        <w:t>二次油气回收系统等环保设施</w:t>
      </w:r>
      <w:r>
        <w:rPr>
          <w:rFonts w:hint="eastAsia" w:ascii="仿宋" w:hAnsi="仿宋" w:eastAsia="仿宋" w:cs="Times New Roman"/>
          <w:sz w:val="32"/>
          <w:szCs w:val="32"/>
          <w:lang w:eastAsia="zh-CN"/>
        </w:rPr>
        <w:t>。年</w:t>
      </w:r>
      <w:r>
        <w:rPr>
          <w:rFonts w:hint="default" w:ascii="仿宋" w:hAnsi="仿宋" w:eastAsia="仿宋" w:cs="Times New Roman"/>
          <w:sz w:val="32"/>
          <w:szCs w:val="32"/>
        </w:rPr>
        <w:t>零售石油</w:t>
      </w:r>
      <w:r>
        <w:rPr>
          <w:rFonts w:hint="eastAsia" w:ascii="仿宋" w:hAnsi="仿宋" w:eastAsia="仿宋" w:cs="Times New Roman"/>
          <w:sz w:val="32"/>
          <w:szCs w:val="32"/>
          <w:lang w:val="en-US" w:eastAsia="zh-CN"/>
        </w:rPr>
        <w:t>48</w:t>
      </w:r>
      <w:r>
        <w:rPr>
          <w:rFonts w:hint="default" w:ascii="仿宋" w:hAnsi="仿宋" w:eastAsia="仿宋" w:cs="Times New Roman"/>
          <w:sz w:val="32"/>
          <w:szCs w:val="32"/>
          <w:lang w:val="en-US" w:eastAsia="zh-CN"/>
        </w:rPr>
        <w:t>00</w:t>
      </w:r>
      <w:r>
        <w:rPr>
          <w:rFonts w:hint="default" w:ascii="仿宋" w:hAnsi="仿宋" w:eastAsia="仿宋" w:cs="Times New Roman"/>
          <w:sz w:val="32"/>
          <w:szCs w:val="32"/>
        </w:rPr>
        <w:t>吨，其中柴油</w:t>
      </w:r>
      <w:r>
        <w:rPr>
          <w:rFonts w:hint="eastAsia" w:ascii="仿宋" w:hAnsi="仿宋" w:eastAsia="仿宋" w:cs="Times New Roman"/>
          <w:sz w:val="32"/>
          <w:szCs w:val="32"/>
          <w:lang w:val="en-US" w:eastAsia="zh-CN"/>
        </w:rPr>
        <w:t>3000</w:t>
      </w:r>
      <w:r>
        <w:rPr>
          <w:rFonts w:hint="default" w:ascii="仿宋" w:hAnsi="仿宋" w:eastAsia="仿宋" w:cs="Times New Roman"/>
          <w:sz w:val="32"/>
          <w:szCs w:val="32"/>
        </w:rPr>
        <w:t>吨，汽油</w:t>
      </w:r>
      <w:r>
        <w:rPr>
          <w:rFonts w:hint="eastAsia" w:ascii="仿宋" w:hAnsi="仿宋" w:eastAsia="仿宋" w:cs="Times New Roman"/>
          <w:sz w:val="32"/>
          <w:szCs w:val="32"/>
          <w:lang w:val="en-US" w:eastAsia="zh-CN"/>
        </w:rPr>
        <w:t>1800</w:t>
      </w:r>
      <w:r>
        <w:rPr>
          <w:rFonts w:hint="default" w:ascii="仿宋" w:hAnsi="仿宋" w:eastAsia="仿宋" w:cs="Times New Roman"/>
          <w:sz w:val="32"/>
          <w:szCs w:val="32"/>
        </w:rPr>
        <w:t>吨</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《中国石化销售有限公司湖南常德津市南区加油站建设项目环境影响报告表》</w:t>
      </w:r>
      <w:r>
        <w:rPr>
          <w:rFonts w:hint="eastAsia" w:ascii="仿宋" w:hAnsi="仿宋" w:eastAsia="仿宋" w:cs="Times New Roman"/>
          <w:sz w:val="32"/>
          <w:szCs w:val="32"/>
          <w:lang w:eastAsia="zh-CN"/>
        </w:rPr>
        <w:t>于</w:t>
      </w:r>
      <w:r>
        <w:rPr>
          <w:rFonts w:hint="eastAsia" w:ascii="仿宋" w:hAnsi="仿宋" w:eastAsia="仿宋" w:cs="Times New Roman"/>
          <w:sz w:val="32"/>
          <w:szCs w:val="32"/>
          <w:lang w:val="en-US" w:eastAsia="zh-CN"/>
        </w:rPr>
        <w:t>2019年3月取得了环评批复（津环评[2019]7号），2019年5通过环保竣工自主验收。</w:t>
      </w:r>
      <w:r>
        <w:rPr>
          <w:rFonts w:hint="eastAsia" w:ascii="仿宋" w:hAnsi="仿宋" w:eastAsia="仿宋" w:cs="Times New Roman"/>
          <w:sz w:val="32"/>
          <w:szCs w:val="32"/>
          <w:lang w:eastAsia="zh-CN"/>
        </w:rPr>
        <w:t>现你单位拟投资</w:t>
      </w:r>
      <w:r>
        <w:rPr>
          <w:rFonts w:hint="eastAsia" w:ascii="仿宋" w:hAnsi="仿宋" w:eastAsia="仿宋" w:cs="Times New Roman"/>
          <w:sz w:val="32"/>
          <w:szCs w:val="32"/>
          <w:lang w:val="en-US" w:eastAsia="zh-CN"/>
        </w:rPr>
        <w:t>20万元新增加1个30m</w:t>
      </w:r>
      <w:r>
        <w:rPr>
          <w:rFonts w:hint="eastAsia" w:ascii="仿宋" w:hAnsi="仿宋" w:eastAsia="仿宋" w:cs="Times New Roman"/>
          <w:sz w:val="32"/>
          <w:szCs w:val="32"/>
          <w:vertAlign w:val="superscript"/>
          <w:lang w:val="en-US" w:eastAsia="zh-CN"/>
        </w:rPr>
        <w:t>3</w:t>
      </w:r>
      <w:r>
        <w:rPr>
          <w:rFonts w:hint="eastAsia" w:ascii="仿宋" w:hAnsi="仿宋" w:eastAsia="仿宋" w:cs="Times New Roman"/>
          <w:sz w:val="32"/>
          <w:szCs w:val="32"/>
          <w:lang w:val="en-US" w:eastAsia="zh-CN"/>
        </w:rPr>
        <w:t>0#柴油储罐，其它建设内容不变。</w:t>
      </w:r>
      <w:bookmarkStart w:id="0" w:name="_Hlk62136978"/>
      <w:r>
        <w:rPr>
          <w:rFonts w:hint="eastAsia" w:ascii="仿宋" w:hAnsi="仿宋" w:eastAsia="仿宋" w:cs="Times New Roman"/>
          <w:sz w:val="32"/>
          <w:szCs w:val="32"/>
        </w:rPr>
        <w:t>项目</w:t>
      </w:r>
      <w:r>
        <w:rPr>
          <w:rFonts w:hint="eastAsia" w:ascii="仿宋" w:hAnsi="仿宋" w:eastAsia="仿宋" w:cs="Times New Roman"/>
          <w:sz w:val="32"/>
          <w:szCs w:val="32"/>
          <w:lang w:val="en-US" w:eastAsia="zh-CN"/>
        </w:rPr>
        <w:t>扩建后，</w:t>
      </w:r>
      <w:r>
        <w:rPr>
          <w:rFonts w:hint="eastAsia" w:ascii="仿宋" w:hAnsi="仿宋" w:eastAsia="仿宋" w:cs="Times New Roman"/>
          <w:sz w:val="32"/>
          <w:szCs w:val="32"/>
        </w:rPr>
        <w:t>设有</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个</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0m</w:t>
      </w:r>
      <w:r>
        <w:rPr>
          <w:rFonts w:hint="eastAsia" w:ascii="仿宋" w:hAnsi="仿宋" w:eastAsia="仿宋" w:cs="Times New Roman"/>
          <w:sz w:val="32"/>
          <w:szCs w:val="32"/>
          <w:vertAlign w:val="superscript"/>
        </w:rPr>
        <w:t>3</w:t>
      </w:r>
      <w:r>
        <w:rPr>
          <w:rFonts w:hint="eastAsia" w:ascii="仿宋" w:hAnsi="仿宋" w:eastAsia="仿宋" w:cs="Times New Roman"/>
          <w:sz w:val="32"/>
          <w:szCs w:val="32"/>
        </w:rPr>
        <w:t>卧式SF</w:t>
      </w:r>
      <w:r>
        <w:rPr>
          <w:rFonts w:hint="eastAsia" w:ascii="仿宋" w:hAnsi="仿宋" w:eastAsia="仿宋" w:cs="Times New Roman"/>
          <w:sz w:val="32"/>
          <w:szCs w:val="32"/>
          <w:lang w:val="en-US" w:eastAsia="zh-CN"/>
        </w:rPr>
        <w:t>单</w:t>
      </w:r>
      <w:r>
        <w:rPr>
          <w:rFonts w:hint="eastAsia" w:ascii="仿宋" w:hAnsi="仿宋" w:eastAsia="仿宋" w:cs="Times New Roman"/>
          <w:sz w:val="32"/>
          <w:szCs w:val="32"/>
        </w:rPr>
        <w:t>层柴油罐（0#柴油）、</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个</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0m</w:t>
      </w:r>
      <w:r>
        <w:rPr>
          <w:rFonts w:hint="eastAsia" w:ascii="仿宋" w:hAnsi="仿宋" w:eastAsia="仿宋" w:cs="Times New Roman"/>
          <w:sz w:val="32"/>
          <w:szCs w:val="32"/>
          <w:vertAlign w:val="superscript"/>
        </w:rPr>
        <w:t>3</w:t>
      </w:r>
      <w:r>
        <w:rPr>
          <w:rFonts w:hint="eastAsia" w:ascii="仿宋" w:hAnsi="仿宋" w:eastAsia="仿宋" w:cs="Times New Roman"/>
          <w:sz w:val="32"/>
          <w:szCs w:val="32"/>
        </w:rPr>
        <w:t>卧式SF</w:t>
      </w:r>
      <w:r>
        <w:rPr>
          <w:rFonts w:hint="eastAsia" w:ascii="仿宋" w:hAnsi="仿宋" w:eastAsia="仿宋" w:cs="Times New Roman"/>
          <w:sz w:val="32"/>
          <w:szCs w:val="32"/>
          <w:lang w:val="en-US" w:eastAsia="zh-CN"/>
        </w:rPr>
        <w:t>单</w:t>
      </w:r>
      <w:r>
        <w:rPr>
          <w:rFonts w:hint="eastAsia" w:ascii="仿宋" w:hAnsi="仿宋" w:eastAsia="仿宋" w:cs="Times New Roman"/>
          <w:sz w:val="32"/>
          <w:szCs w:val="32"/>
        </w:rPr>
        <w:t>层汽油罐（92#汽油、95#汽油</w:t>
      </w:r>
      <w:r>
        <w:rPr>
          <w:rFonts w:hint="eastAsia" w:ascii="仿宋" w:hAnsi="仿宋" w:eastAsia="仿宋" w:cs="Times New Roman"/>
          <w:sz w:val="32"/>
          <w:szCs w:val="32"/>
          <w:lang w:val="en-US" w:eastAsia="zh-CN"/>
        </w:rPr>
        <w:t>各1个</w:t>
      </w:r>
      <w:r>
        <w:rPr>
          <w:rFonts w:hint="eastAsia" w:ascii="仿宋" w:hAnsi="仿宋" w:eastAsia="仿宋" w:cs="Times New Roman"/>
          <w:sz w:val="32"/>
          <w:szCs w:val="32"/>
        </w:rPr>
        <w:t>）</w:t>
      </w:r>
      <w:r>
        <w:rPr>
          <w:rFonts w:hint="eastAsia" w:ascii="仿宋" w:hAnsi="仿宋" w:eastAsia="仿宋" w:cs="Times New Roman"/>
          <w:sz w:val="32"/>
          <w:szCs w:val="32"/>
          <w:lang w:eastAsia="zh-CN"/>
        </w:rPr>
        <w:t>，</w:t>
      </w:r>
      <w:r>
        <w:rPr>
          <w:rFonts w:hint="eastAsia" w:ascii="仿宋" w:hAnsi="仿宋" w:eastAsia="仿宋" w:cs="Times New Roman"/>
          <w:sz w:val="32"/>
          <w:szCs w:val="32"/>
        </w:rPr>
        <w:t>站内油品储罐总容积为</w:t>
      </w:r>
      <w:r>
        <w:rPr>
          <w:rFonts w:hint="eastAsia" w:ascii="仿宋" w:hAnsi="仿宋" w:eastAsia="仿宋" w:cs="Times New Roman"/>
          <w:sz w:val="32"/>
          <w:szCs w:val="32"/>
          <w:lang w:val="en-US" w:eastAsia="zh-CN"/>
        </w:rPr>
        <w:t>120</w:t>
      </w:r>
      <w:r>
        <w:rPr>
          <w:rFonts w:hint="eastAsia" w:ascii="仿宋" w:hAnsi="仿宋" w:eastAsia="仿宋" w:cs="Times New Roman"/>
          <w:sz w:val="32"/>
          <w:szCs w:val="32"/>
        </w:rPr>
        <w:t>m</w:t>
      </w:r>
      <w:r>
        <w:rPr>
          <w:rFonts w:hint="eastAsia" w:ascii="仿宋" w:hAnsi="仿宋" w:eastAsia="仿宋" w:cs="Times New Roman"/>
          <w:sz w:val="32"/>
          <w:szCs w:val="32"/>
          <w:vertAlign w:val="superscript"/>
        </w:rPr>
        <w:t>3</w:t>
      </w:r>
      <w:r>
        <w:rPr>
          <w:rFonts w:hint="eastAsia" w:ascii="仿宋" w:hAnsi="仿宋" w:eastAsia="仿宋" w:cs="Times New Roman"/>
          <w:sz w:val="32"/>
          <w:szCs w:val="32"/>
        </w:rPr>
        <w:t>，折合油罐总容积为</w:t>
      </w:r>
      <w:r>
        <w:rPr>
          <w:rFonts w:hint="eastAsia" w:ascii="仿宋" w:hAnsi="仿宋" w:eastAsia="仿宋" w:cs="Times New Roman"/>
          <w:sz w:val="32"/>
          <w:szCs w:val="32"/>
          <w:lang w:val="en-US" w:eastAsia="zh-CN"/>
        </w:rPr>
        <w:t>90</w:t>
      </w:r>
      <w:r>
        <w:rPr>
          <w:rFonts w:hint="eastAsia" w:ascii="仿宋" w:hAnsi="仿宋" w:eastAsia="仿宋" w:cs="Times New Roman"/>
          <w:sz w:val="32"/>
          <w:szCs w:val="32"/>
        </w:rPr>
        <w:t>m</w:t>
      </w:r>
      <w:r>
        <w:rPr>
          <w:rFonts w:hint="eastAsia" w:ascii="仿宋" w:hAnsi="仿宋" w:eastAsia="仿宋" w:cs="Times New Roman"/>
          <w:sz w:val="32"/>
          <w:szCs w:val="32"/>
          <w:vertAlign w:val="superscript"/>
        </w:rPr>
        <w:t>3</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柴油折半计算）</w:t>
      </w:r>
      <w:bookmarkEnd w:id="0"/>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属于三级加油站。项目扩建后</w:t>
      </w:r>
      <w:r>
        <w:rPr>
          <w:rFonts w:hint="eastAsia" w:ascii="仿宋" w:hAnsi="仿宋" w:eastAsia="仿宋" w:cs="Times New Roman"/>
          <w:sz w:val="32"/>
          <w:szCs w:val="32"/>
          <w:lang w:eastAsia="zh-CN"/>
        </w:rPr>
        <w:t>年</w:t>
      </w:r>
      <w:r>
        <w:rPr>
          <w:rFonts w:hint="default" w:ascii="仿宋" w:hAnsi="仿宋" w:eastAsia="仿宋" w:cs="Times New Roman"/>
          <w:sz w:val="32"/>
          <w:szCs w:val="32"/>
        </w:rPr>
        <w:t>零售石油</w:t>
      </w:r>
      <w:r>
        <w:rPr>
          <w:rFonts w:hint="eastAsia" w:ascii="仿宋" w:hAnsi="仿宋" w:eastAsia="仿宋" w:cs="Times New Roman"/>
          <w:sz w:val="32"/>
          <w:szCs w:val="32"/>
          <w:lang w:val="en-US" w:eastAsia="zh-CN"/>
        </w:rPr>
        <w:t>53</w:t>
      </w:r>
      <w:r>
        <w:rPr>
          <w:rFonts w:hint="default" w:ascii="仿宋" w:hAnsi="仿宋" w:eastAsia="仿宋" w:cs="Times New Roman"/>
          <w:sz w:val="32"/>
          <w:szCs w:val="32"/>
          <w:lang w:val="en-US" w:eastAsia="zh-CN"/>
        </w:rPr>
        <w:t>00</w:t>
      </w:r>
      <w:r>
        <w:rPr>
          <w:rFonts w:hint="default" w:ascii="仿宋" w:hAnsi="仿宋" w:eastAsia="仿宋" w:cs="Times New Roman"/>
          <w:sz w:val="32"/>
          <w:szCs w:val="32"/>
        </w:rPr>
        <w:t>吨，其中柴油</w:t>
      </w:r>
      <w:r>
        <w:rPr>
          <w:rFonts w:hint="eastAsia" w:ascii="仿宋" w:hAnsi="仿宋" w:eastAsia="仿宋" w:cs="Times New Roman"/>
          <w:sz w:val="32"/>
          <w:szCs w:val="32"/>
          <w:lang w:val="en-US" w:eastAsia="zh-CN"/>
        </w:rPr>
        <w:t>3500</w:t>
      </w:r>
      <w:r>
        <w:rPr>
          <w:rFonts w:hint="default" w:ascii="仿宋" w:hAnsi="仿宋" w:eastAsia="仿宋" w:cs="Times New Roman"/>
          <w:sz w:val="32"/>
          <w:szCs w:val="32"/>
        </w:rPr>
        <w:t>吨，汽油</w:t>
      </w:r>
      <w:r>
        <w:rPr>
          <w:rFonts w:hint="eastAsia" w:ascii="仿宋" w:hAnsi="仿宋" w:eastAsia="仿宋" w:cs="Times New Roman"/>
          <w:sz w:val="32"/>
          <w:szCs w:val="32"/>
          <w:lang w:val="en-US" w:eastAsia="zh-CN"/>
        </w:rPr>
        <w:t>1800</w:t>
      </w:r>
      <w:r>
        <w:rPr>
          <w:rFonts w:hint="default" w:ascii="仿宋" w:hAnsi="仿宋" w:eastAsia="仿宋" w:cs="Times New Roman"/>
          <w:sz w:val="32"/>
          <w:szCs w:val="32"/>
        </w:rPr>
        <w:t>吨</w:t>
      </w:r>
      <w:r>
        <w:rPr>
          <w:rFonts w:hint="eastAsia" w:ascii="仿宋" w:hAnsi="仿宋" w:eastAsia="仿宋" w:cs="Times New Roman"/>
          <w:sz w:val="32"/>
          <w:szCs w:val="32"/>
          <w:lang w:eastAsia="zh-CN"/>
        </w:rPr>
        <w:t>。</w:t>
      </w:r>
      <w:r>
        <w:rPr>
          <w:rFonts w:hint="eastAsia" w:ascii="仿宋" w:hAnsi="仿宋" w:eastAsia="仿宋"/>
          <w:sz w:val="32"/>
          <w:szCs w:val="32"/>
        </w:rPr>
        <w:t>建设项目符合国家产业政策</w:t>
      </w:r>
      <w:r>
        <w:rPr>
          <w:rFonts w:hint="eastAsia" w:ascii="仿宋" w:hAnsi="仿宋" w:eastAsia="仿宋"/>
          <w:sz w:val="32"/>
          <w:szCs w:val="32"/>
          <w:lang w:eastAsia="zh-CN"/>
        </w:rPr>
        <w:t>、</w:t>
      </w:r>
      <w:r>
        <w:rPr>
          <w:rFonts w:hint="eastAsia" w:ascii="仿宋" w:hAnsi="仿宋" w:eastAsia="仿宋" w:cs="仿宋"/>
          <w:kern w:val="2"/>
          <w:sz w:val="32"/>
          <w:szCs w:val="32"/>
          <w:lang w:val="en-US" w:eastAsia="zh-CN" w:bidi="zh-CN"/>
        </w:rPr>
        <w:t>“三线一单”的管控要求。该项目在</w:t>
      </w:r>
      <w:r>
        <w:rPr>
          <w:rFonts w:hint="eastAsia" w:ascii="仿宋" w:hAnsi="仿宋" w:eastAsia="仿宋"/>
          <w:sz w:val="32"/>
          <w:szCs w:val="32"/>
          <w:lang w:eastAsia="zh-CN"/>
        </w:rPr>
        <w:t>符合</w:t>
      </w:r>
      <w:r>
        <w:rPr>
          <w:rFonts w:hint="eastAsia" w:ascii="仿宋" w:hAnsi="仿宋" w:eastAsia="仿宋" w:cs="Times New Roman"/>
          <w:sz w:val="32"/>
          <w:szCs w:val="32"/>
          <w:lang w:eastAsia="zh-CN"/>
        </w:rPr>
        <w:t>《汽车加油加气加氢站技术标准》（GB50156-2021）相关标准，并严格落实报告表提出的各项污染防治措施,确保外排污染物达标、环境风险可控的前提下，从环保角度分析，原则上同意项目</w:t>
      </w:r>
      <w:r>
        <w:rPr>
          <w:rFonts w:hint="eastAsia" w:ascii="仿宋" w:hAnsi="仿宋" w:eastAsia="仿宋" w:cs="Times New Roman"/>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sz w:val="32"/>
          <w:szCs w:val="32"/>
        </w:rPr>
      </w:pPr>
      <w:r>
        <w:rPr>
          <w:rFonts w:hint="eastAsia" w:ascii="仿宋" w:hAnsi="仿宋" w:eastAsia="仿宋" w:cs="Times New Roman"/>
          <w:sz w:val="32"/>
          <w:szCs w:val="32"/>
          <w:lang w:eastAsia="zh-CN"/>
        </w:rPr>
        <w:t>二、</w:t>
      </w:r>
      <w:r>
        <w:rPr>
          <w:rFonts w:hint="eastAsia" w:ascii="仿宋" w:hAnsi="仿宋" w:eastAsia="仿宋" w:cs="Times New Roman"/>
          <w:sz w:val="32"/>
          <w:szCs w:val="32"/>
        </w:rPr>
        <w:t>项目在设计、建设、运营过程中须严格落实环评</w:t>
      </w:r>
      <w:r>
        <w:rPr>
          <w:rFonts w:hint="eastAsia" w:ascii="仿宋" w:hAnsi="仿宋" w:eastAsia="仿宋"/>
          <w:sz w:val="32"/>
          <w:szCs w:val="32"/>
        </w:rPr>
        <w:t>报告中提出的环保措施，严格“三同时”制度，着重做好以下环保工作。</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1、项目在</w:t>
      </w:r>
      <w:r>
        <w:rPr>
          <w:rFonts w:hint="eastAsia" w:ascii="仿宋" w:hAnsi="仿宋" w:eastAsia="仿宋"/>
          <w:sz w:val="32"/>
          <w:szCs w:val="32"/>
          <w:lang w:eastAsia="zh-CN"/>
        </w:rPr>
        <w:t>运营过程中，</w:t>
      </w:r>
      <w:r>
        <w:rPr>
          <w:rFonts w:hint="eastAsia" w:ascii="仿宋" w:hAnsi="仿宋" w:eastAsia="仿宋" w:cs="Times New Roman"/>
          <w:sz w:val="32"/>
          <w:szCs w:val="32"/>
          <w:lang w:eastAsia="zh-CN"/>
        </w:rPr>
        <w:t>加强卸油、储油和加油过程管控，确保油气回收装置正常运行</w:t>
      </w:r>
      <w:bookmarkStart w:id="1" w:name="_GoBack"/>
      <w:bookmarkEnd w:id="1"/>
      <w:r>
        <w:rPr>
          <w:rFonts w:hint="eastAsia" w:ascii="仿宋" w:hAnsi="仿宋" w:eastAsia="仿宋" w:cs="Times New Roman"/>
          <w:sz w:val="32"/>
          <w:szCs w:val="32"/>
          <w:lang w:eastAsia="zh-CN"/>
        </w:rPr>
        <w:t>。</w:t>
      </w:r>
      <w:r>
        <w:rPr>
          <w:rFonts w:hint="default" w:ascii="仿宋" w:hAnsi="仿宋" w:eastAsia="仿宋" w:cs="Times New Roman"/>
          <w:sz w:val="32"/>
          <w:szCs w:val="32"/>
          <w:lang w:val="en-US" w:eastAsia="zh-CN"/>
        </w:rPr>
        <w:t>厂界无组织废气执行《加油站大气污染物排放标准》（GB 20952-2020）中表3无组织排放限值要求；加油油气回收管线液阻检测值执行《加油站大气污染物排放标准》（GB 20952-2020）表1中加油站油气回收管线液阻最大压力限值；油气回收系统密闭性压力检测值执行《加油站大气污染物排放标准》（GB 20952-2020）表2中加油站油气回收系统密闭性检测最小剩余压力限值</w:t>
      </w:r>
      <w:r>
        <w:rPr>
          <w:rFonts w:hint="eastAsia" w:ascii="仿宋" w:hAnsi="仿宋"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项目排水实行雨污分流。雨水经站内雨水沟收集后排入市政雨水管网；</w:t>
      </w:r>
      <w:r>
        <w:rPr>
          <w:rFonts w:hint="default" w:ascii="Nimbus Roman" w:hAnsi="Nimbus Roman" w:eastAsia="仿宋_GB2312" w:cs="Nimbus Roman"/>
          <w:sz w:val="32"/>
          <w:szCs w:val="32"/>
          <w:u w:val="none"/>
          <w:lang w:val="en-US" w:eastAsia="zh-CN"/>
        </w:rPr>
        <w:t>洗车废水经隔油、沉淀处理后与经化粪池处理的生活废水一并排入市政污水管网</w:t>
      </w:r>
      <w:r>
        <w:rPr>
          <w:rFonts w:hint="eastAsia" w:ascii="仿宋" w:hAnsi="仿宋" w:eastAsia="仿宋" w:cs="Times New Roman"/>
          <w:sz w:val="32"/>
          <w:szCs w:val="32"/>
          <w:lang w:val="en-US" w:eastAsia="zh-CN"/>
        </w:rPr>
        <w:t>，满足《污水综合排放标准》（GB8978-1996）三级标准及津市市污水处理厂进水水质要求。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C0C0C"/>
          <w:kern w:val="1"/>
          <w:sz w:val="32"/>
          <w:szCs w:val="32"/>
          <w:lang w:eastAsia="zh-CN"/>
        </w:rPr>
      </w:pPr>
      <w:r>
        <w:rPr>
          <w:rFonts w:hint="eastAsia" w:ascii="仿宋" w:hAnsi="仿宋" w:eastAsia="仿宋" w:cs="Times New Roman"/>
          <w:sz w:val="32"/>
          <w:szCs w:val="32"/>
          <w:lang w:val="en-US" w:eastAsia="zh-CN"/>
        </w:rPr>
        <w:t>3、</w:t>
      </w:r>
      <w:r>
        <w:rPr>
          <w:rFonts w:ascii="仿宋" w:hAnsi="仿宋" w:eastAsia="仿宋" w:cs="仿宋"/>
          <w:color w:val="0C0C0C"/>
          <w:kern w:val="1"/>
          <w:sz w:val="32"/>
          <w:szCs w:val="32"/>
        </w:rPr>
        <w:t>选用低噪声</w:t>
      </w:r>
      <w:r>
        <w:rPr>
          <w:rFonts w:hint="eastAsia" w:ascii="仿宋" w:hAnsi="仿宋" w:eastAsia="仿宋" w:cs="仿宋"/>
          <w:color w:val="0C0C0C"/>
          <w:kern w:val="1"/>
          <w:sz w:val="32"/>
          <w:szCs w:val="32"/>
          <w:lang w:eastAsia="zh-CN"/>
        </w:rPr>
        <w:t>和防爆型</w:t>
      </w:r>
      <w:r>
        <w:rPr>
          <w:rFonts w:ascii="仿宋" w:hAnsi="仿宋" w:eastAsia="仿宋" w:cs="仿宋"/>
          <w:color w:val="0C0C0C"/>
          <w:kern w:val="1"/>
          <w:sz w:val="32"/>
          <w:szCs w:val="32"/>
        </w:rPr>
        <w:t>设备，并设置减振垫，严格出入站内的机动车管理，采取车辆进站时减速、禁止鸣笛、加油时车辆熄火和平稳启动等措施</w:t>
      </w:r>
      <w:r>
        <w:rPr>
          <w:rFonts w:hint="eastAsia" w:ascii="仿宋" w:hAnsi="仿宋" w:eastAsia="仿宋" w:cs="仿宋"/>
          <w:color w:val="0C0C0C"/>
          <w:kern w:val="1"/>
          <w:sz w:val="32"/>
          <w:szCs w:val="32"/>
          <w:lang w:eastAsia="zh-CN"/>
        </w:rPr>
        <w:t>，</w:t>
      </w:r>
      <w:r>
        <w:rPr>
          <w:rFonts w:hint="eastAsia" w:ascii="仿宋" w:hAnsi="仿宋" w:eastAsia="仿宋" w:cs="仿宋"/>
          <w:color w:val="0C0C0C"/>
          <w:kern w:val="1"/>
          <w:sz w:val="32"/>
          <w:szCs w:val="32"/>
        </w:rPr>
        <w:t>南侧、西侧</w:t>
      </w:r>
      <w:r>
        <w:rPr>
          <w:rFonts w:hint="eastAsia" w:ascii="仿宋" w:hAnsi="仿宋" w:eastAsia="仿宋" w:cs="仿宋"/>
          <w:color w:val="0C0C0C"/>
          <w:kern w:val="1"/>
          <w:sz w:val="32"/>
          <w:szCs w:val="32"/>
          <w:lang w:eastAsia="zh-CN"/>
        </w:rPr>
        <w:t>、</w:t>
      </w:r>
      <w:r>
        <w:rPr>
          <w:rFonts w:hint="eastAsia" w:ascii="仿宋" w:hAnsi="仿宋" w:eastAsia="仿宋" w:cs="仿宋"/>
          <w:color w:val="0C0C0C"/>
          <w:kern w:val="1"/>
          <w:sz w:val="32"/>
          <w:szCs w:val="32"/>
          <w:lang w:val="en-US" w:eastAsia="zh-CN"/>
        </w:rPr>
        <w:t>北侧</w:t>
      </w:r>
      <w:r>
        <w:rPr>
          <w:rFonts w:hint="eastAsia" w:ascii="仿宋" w:hAnsi="仿宋" w:eastAsia="仿宋" w:cs="仿宋"/>
          <w:color w:val="0C0C0C"/>
          <w:kern w:val="1"/>
          <w:sz w:val="32"/>
          <w:szCs w:val="32"/>
        </w:rPr>
        <w:t>厂界执行</w:t>
      </w:r>
      <w:r>
        <w:rPr>
          <w:rFonts w:ascii="仿宋" w:hAnsi="仿宋" w:eastAsia="仿宋" w:cs="仿宋"/>
          <w:color w:val="0C0C0C"/>
          <w:kern w:val="1"/>
          <w:sz w:val="32"/>
          <w:szCs w:val="32"/>
        </w:rPr>
        <w:t>《工业企业厂界噪声排放标准》（GB12348-2008）中</w:t>
      </w:r>
      <w:r>
        <w:rPr>
          <w:rFonts w:hint="eastAsia" w:ascii="仿宋" w:hAnsi="仿宋" w:eastAsia="仿宋" w:cs="仿宋"/>
          <w:color w:val="0C0C0C"/>
          <w:kern w:val="1"/>
          <w:sz w:val="32"/>
          <w:szCs w:val="32"/>
        </w:rPr>
        <w:t>2</w:t>
      </w:r>
      <w:r>
        <w:rPr>
          <w:rFonts w:ascii="仿宋" w:hAnsi="仿宋" w:eastAsia="仿宋" w:cs="仿宋"/>
          <w:color w:val="0C0C0C"/>
          <w:kern w:val="1"/>
          <w:sz w:val="32"/>
          <w:szCs w:val="32"/>
        </w:rPr>
        <w:t>类标准</w:t>
      </w:r>
      <w:r>
        <w:rPr>
          <w:rFonts w:hint="eastAsia" w:ascii="仿宋" w:hAnsi="仿宋" w:eastAsia="仿宋" w:cs="仿宋"/>
          <w:color w:val="0C0C0C"/>
          <w:kern w:val="1"/>
          <w:sz w:val="32"/>
          <w:szCs w:val="32"/>
        </w:rPr>
        <w:t>，东侧执行</w:t>
      </w:r>
      <w:r>
        <w:rPr>
          <w:rFonts w:ascii="仿宋" w:hAnsi="仿宋" w:eastAsia="仿宋" w:cs="仿宋"/>
          <w:color w:val="0C0C0C"/>
          <w:kern w:val="1"/>
          <w:sz w:val="32"/>
          <w:szCs w:val="32"/>
        </w:rPr>
        <w:t>《工业企业厂界噪声排放标准》（GB12348-2008）中</w:t>
      </w:r>
      <w:r>
        <w:rPr>
          <w:rFonts w:hint="eastAsia" w:ascii="仿宋" w:hAnsi="仿宋" w:eastAsia="仿宋" w:cs="仿宋"/>
          <w:color w:val="0C0C0C"/>
          <w:kern w:val="1"/>
          <w:sz w:val="32"/>
          <w:szCs w:val="32"/>
        </w:rPr>
        <w:t>4类标准</w:t>
      </w:r>
      <w:r>
        <w:rPr>
          <w:rFonts w:ascii="仿宋" w:hAnsi="仿宋" w:eastAsia="仿宋" w:cs="仿宋"/>
          <w:color w:val="0C0C0C"/>
          <w:kern w:val="1"/>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 w:cs="Nimbus Roman"/>
          <w:sz w:val="32"/>
          <w:szCs w:val="32"/>
          <w:u w:val="none"/>
          <w:lang w:val="en-US" w:eastAsia="zh-CN"/>
        </w:rPr>
      </w:pPr>
      <w:r>
        <w:rPr>
          <w:rFonts w:hint="eastAsia" w:ascii="仿宋" w:hAnsi="仿宋" w:eastAsia="仿宋" w:cs="Times New Roman"/>
          <w:sz w:val="32"/>
          <w:szCs w:val="32"/>
          <w:lang w:val="en-US" w:eastAsia="zh-CN"/>
        </w:rPr>
        <w:t>4、项目按相关要求</w:t>
      </w:r>
      <w:r>
        <w:rPr>
          <w:rFonts w:hint="default" w:ascii="仿宋" w:hAnsi="仿宋" w:eastAsia="仿宋" w:cs="Times New Roman"/>
          <w:sz w:val="32"/>
          <w:szCs w:val="32"/>
          <w:lang w:val="en-US" w:eastAsia="zh-CN"/>
        </w:rPr>
        <w:t>做好相应的防渗处理</w:t>
      </w:r>
      <w:r>
        <w:rPr>
          <w:rFonts w:hint="eastAsia" w:ascii="仿宋" w:hAnsi="仿宋" w:eastAsia="仿宋" w:cs="Times New Roman"/>
          <w:sz w:val="32"/>
          <w:szCs w:val="32"/>
          <w:lang w:val="en-US" w:eastAsia="zh-CN"/>
        </w:rPr>
        <w:t>措施，</w:t>
      </w:r>
      <w:r>
        <w:rPr>
          <w:rFonts w:hint="default" w:ascii="仿宋" w:hAnsi="仿宋" w:eastAsia="仿宋" w:cs="Times New Roman"/>
          <w:sz w:val="32"/>
          <w:szCs w:val="32"/>
          <w:lang w:val="en-US" w:eastAsia="zh-CN"/>
        </w:rPr>
        <w:t>油罐建立高液位报警功能的监测系统，储油罐内进油管安装卸油防溢阀。</w:t>
      </w:r>
      <w:r>
        <w:rPr>
          <w:rFonts w:hint="eastAsia" w:ascii="仿宋" w:hAnsi="仿宋" w:eastAsia="仿宋" w:cs="Times New Roman"/>
          <w:sz w:val="32"/>
          <w:szCs w:val="32"/>
          <w:lang w:val="en-US" w:eastAsia="zh-CN"/>
        </w:rPr>
        <w:t>根据《加油站地下水污染防治技术指南</w:t>
      </w:r>
      <w:r>
        <w:rPr>
          <w:rFonts w:hint="default" w:ascii="仿宋" w:hAnsi="仿宋" w:eastAsia="仿宋" w:cs="Times New Roman"/>
          <w:sz w:val="32"/>
          <w:szCs w:val="32"/>
          <w:lang w:val="en-US" w:eastAsia="zh-CN"/>
        </w:rPr>
        <w:t>(试行)</w:t>
      </w:r>
      <w:r>
        <w:rPr>
          <w:rFonts w:hint="eastAsia" w:ascii="仿宋" w:hAnsi="仿宋" w:eastAsia="仿宋" w:cs="Times New Roman"/>
          <w:sz w:val="32"/>
          <w:szCs w:val="32"/>
          <w:lang w:val="en-US" w:eastAsia="zh-CN"/>
        </w:rPr>
        <w:t>》要求，设立地下水监测井。</w:t>
      </w:r>
      <w:r>
        <w:rPr>
          <w:rFonts w:hint="eastAsia" w:ascii="仿宋" w:hAnsi="仿宋" w:eastAsia="仿宋" w:cs="Times New Roman"/>
          <w:sz w:val="32"/>
          <w:szCs w:val="32"/>
          <w:lang w:eastAsia="zh-CN"/>
        </w:rPr>
        <w:t>严防“跑、冒、滴、漏”，</w:t>
      </w:r>
      <w:r>
        <w:rPr>
          <w:rFonts w:hint="default" w:ascii="Nimbus Roman" w:hAnsi="Nimbus Roman" w:eastAsia="仿宋" w:cs="Nimbus Roman"/>
          <w:sz w:val="32"/>
          <w:szCs w:val="32"/>
          <w:u w:val="none"/>
          <w:lang w:val="en-US" w:eastAsia="zh-CN"/>
        </w:rPr>
        <w:t>严防“跑、冒、滴、漏”现象发生，避免对地下水和土壤造成污染。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仿宋" w:hAnsi="仿宋" w:eastAsia="仿宋" w:cs="Times New Roman"/>
          <w:sz w:val="32"/>
          <w:szCs w:val="32"/>
          <w:lang w:val="en-US" w:eastAsia="zh-CN"/>
        </w:rPr>
        <w:t>5、站内设置标准化危废暂存间，</w:t>
      </w:r>
      <w:r>
        <w:rPr>
          <w:rFonts w:hint="default" w:ascii="仿宋" w:hAnsi="仿宋" w:eastAsia="仿宋" w:cs="Times New Roman"/>
          <w:sz w:val="32"/>
          <w:szCs w:val="32"/>
          <w:lang w:val="en-US" w:eastAsia="zh-CN"/>
        </w:rPr>
        <w:t>含油抹布和手套在危废暂存间暂存委托有资质单位处置；油罐废油渣和清洗废液</w:t>
      </w:r>
      <w:r>
        <w:rPr>
          <w:rFonts w:hint="eastAsia" w:ascii="仿宋" w:hAnsi="仿宋" w:eastAsia="仿宋" w:cs="Times New Roman"/>
          <w:sz w:val="32"/>
          <w:szCs w:val="32"/>
          <w:lang w:val="en-US" w:eastAsia="zh-CN"/>
        </w:rPr>
        <w:t>、</w:t>
      </w:r>
      <w:r>
        <w:rPr>
          <w:rFonts w:hint="default" w:ascii="仿宋" w:hAnsi="仿宋" w:eastAsia="仿宋" w:cs="Times New Roman"/>
          <w:sz w:val="32"/>
          <w:szCs w:val="32"/>
          <w:lang w:val="en-US" w:eastAsia="zh-CN"/>
        </w:rPr>
        <w:t>隔油池油泥交由有资质单位处置，不在站区内储存</w:t>
      </w:r>
      <w:r>
        <w:rPr>
          <w:rFonts w:hint="eastAsia" w:ascii="仿宋" w:hAnsi="仿宋" w:eastAsia="仿宋" w:cs="Times New Roman"/>
          <w:sz w:val="32"/>
          <w:szCs w:val="32"/>
          <w:lang w:val="en-US" w:eastAsia="zh-CN"/>
        </w:rPr>
        <w:t>；生活垃圾收集后交由环卫部门统一清运处理。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6、建立健全的环境管理制度，</w:t>
      </w:r>
      <w:r>
        <w:rPr>
          <w:rFonts w:ascii="仿宋" w:hAnsi="仿宋" w:eastAsia="仿宋" w:cs="仿宋"/>
          <w:color w:val="0C0C0C"/>
          <w:kern w:val="1"/>
          <w:sz w:val="32"/>
          <w:szCs w:val="32"/>
        </w:rPr>
        <w:t>做好事故风险防范</w:t>
      </w:r>
      <w:r>
        <w:rPr>
          <w:rFonts w:hint="eastAsia" w:ascii="仿宋" w:hAnsi="仿宋" w:eastAsia="仿宋" w:cs="仿宋"/>
          <w:color w:val="0C0C0C"/>
          <w:kern w:val="1"/>
          <w:sz w:val="32"/>
          <w:szCs w:val="32"/>
          <w:lang w:eastAsia="zh-CN"/>
        </w:rPr>
        <w:t>措施和应急</w:t>
      </w:r>
      <w:r>
        <w:rPr>
          <w:rFonts w:ascii="仿宋" w:hAnsi="仿宋" w:eastAsia="仿宋" w:cs="仿宋"/>
          <w:color w:val="0C0C0C"/>
          <w:kern w:val="1"/>
          <w:sz w:val="32"/>
          <w:szCs w:val="32"/>
        </w:rPr>
        <w:t>措施</w:t>
      </w:r>
      <w:r>
        <w:rPr>
          <w:rFonts w:hint="eastAsia" w:ascii="仿宋" w:hAnsi="仿宋" w:eastAsia="仿宋" w:cs="仿宋"/>
          <w:color w:val="0C0C0C"/>
          <w:kern w:val="1"/>
          <w:sz w:val="32"/>
          <w:szCs w:val="32"/>
          <w:lang w:eastAsia="zh-CN"/>
        </w:rPr>
        <w:t>，</w:t>
      </w:r>
      <w:r>
        <w:rPr>
          <w:rFonts w:hint="default" w:ascii="仿宋" w:hAnsi="仿宋" w:eastAsia="仿宋" w:cs="Times New Roman"/>
          <w:sz w:val="32"/>
          <w:szCs w:val="32"/>
          <w:lang w:val="en-US" w:eastAsia="zh-CN"/>
        </w:rPr>
        <w:t>及时修订突发环境事件应急预案。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7、</w:t>
      </w:r>
      <w:r>
        <w:rPr>
          <w:rFonts w:hint="default" w:ascii="仿宋" w:hAnsi="仿宋" w:eastAsia="仿宋" w:cs="Times New Roman"/>
          <w:sz w:val="32"/>
          <w:szCs w:val="32"/>
          <w:lang w:val="en-US" w:eastAsia="zh-CN"/>
        </w:rPr>
        <w:t>扩建完成后，</w:t>
      </w:r>
      <w:r>
        <w:rPr>
          <w:rFonts w:hint="eastAsia" w:ascii="仿宋" w:hAnsi="仿宋" w:eastAsia="仿宋" w:cs="Times New Roman"/>
          <w:sz w:val="32"/>
          <w:szCs w:val="32"/>
          <w:lang w:val="en-US" w:eastAsia="zh-CN"/>
        </w:rPr>
        <w:t>须按照排污许可管理制度要求重新申领排污许可证，并按要求落实自行监测及相关管理要求。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四、项目建成后，你单位须对污染防治措施及环评要求落实情况按建设项目环保验收的相关规定开展验收，验收结果向社会公开，验收合格方可投入使用。津市市生态环境保护综合行政执法局负责该项目的日常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 常德市生态环境局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lang w:eastAsia="zh-CN"/>
        </w:rPr>
        <w:t>年</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lang w:eastAsia="zh-CN"/>
        </w:rPr>
        <w:t>月</w:t>
      </w:r>
      <w:r>
        <w:rPr>
          <w:rFonts w:hint="eastAsia" w:ascii="仿宋" w:hAnsi="仿宋" w:eastAsia="仿宋" w:cs="Times New Roman"/>
          <w:sz w:val="32"/>
          <w:szCs w:val="32"/>
          <w:lang w:val="en-US" w:eastAsia="zh-CN"/>
        </w:rPr>
        <w:t>17</w:t>
      </w:r>
      <w:r>
        <w:rPr>
          <w:rFonts w:hint="eastAsia" w:ascii="仿宋" w:hAnsi="仿宋" w:eastAsia="仿宋" w:cs="Times New Roman"/>
          <w:sz w:val="32"/>
          <w:szCs w:val="32"/>
          <w:lang w:eastAsia="zh-CN"/>
        </w:rPr>
        <w:t>日</w:t>
      </w:r>
      <w:r>
        <w:rPr>
          <w:rFonts w:hint="eastAsia" w:ascii="仿宋" w:hAnsi="仿宋"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TFiYTU4OTk0MWFkOTkwNjQ3MTRmMmNkNzFjYmEifQ=="/>
  </w:docVars>
  <w:rsids>
    <w:rsidRoot w:val="002E3BCF"/>
    <w:rsid w:val="001A63A2"/>
    <w:rsid w:val="002E3BCF"/>
    <w:rsid w:val="00A31BAD"/>
    <w:rsid w:val="00C8368D"/>
    <w:rsid w:val="03531224"/>
    <w:rsid w:val="059D4CDA"/>
    <w:rsid w:val="07350D8D"/>
    <w:rsid w:val="080C59AB"/>
    <w:rsid w:val="08DC74A1"/>
    <w:rsid w:val="091317BD"/>
    <w:rsid w:val="0A6B1265"/>
    <w:rsid w:val="0E6312CA"/>
    <w:rsid w:val="0FE64562"/>
    <w:rsid w:val="11451195"/>
    <w:rsid w:val="13F86461"/>
    <w:rsid w:val="157D4C18"/>
    <w:rsid w:val="18163C00"/>
    <w:rsid w:val="18B7155E"/>
    <w:rsid w:val="18C04662"/>
    <w:rsid w:val="19D54944"/>
    <w:rsid w:val="1A3B0614"/>
    <w:rsid w:val="1BBB4511"/>
    <w:rsid w:val="1D2B4BEA"/>
    <w:rsid w:val="222F183A"/>
    <w:rsid w:val="24FD4725"/>
    <w:rsid w:val="25730BEA"/>
    <w:rsid w:val="26103D41"/>
    <w:rsid w:val="2814653F"/>
    <w:rsid w:val="28D55F23"/>
    <w:rsid w:val="2B20383F"/>
    <w:rsid w:val="2BD53180"/>
    <w:rsid w:val="2D7A0A0B"/>
    <w:rsid w:val="2F082950"/>
    <w:rsid w:val="30DE372B"/>
    <w:rsid w:val="333746BC"/>
    <w:rsid w:val="36680419"/>
    <w:rsid w:val="372B3AB6"/>
    <w:rsid w:val="38AF2F46"/>
    <w:rsid w:val="39A841BF"/>
    <w:rsid w:val="39C24EFB"/>
    <w:rsid w:val="39E05A3C"/>
    <w:rsid w:val="3BB0650E"/>
    <w:rsid w:val="3F88510E"/>
    <w:rsid w:val="446E3575"/>
    <w:rsid w:val="44EB15B3"/>
    <w:rsid w:val="44F56C0B"/>
    <w:rsid w:val="47007913"/>
    <w:rsid w:val="49167305"/>
    <w:rsid w:val="4A271966"/>
    <w:rsid w:val="4AD44F62"/>
    <w:rsid w:val="4D134237"/>
    <w:rsid w:val="4D3F19D7"/>
    <w:rsid w:val="4F5672FB"/>
    <w:rsid w:val="5203668B"/>
    <w:rsid w:val="54353E8A"/>
    <w:rsid w:val="56503401"/>
    <w:rsid w:val="57257939"/>
    <w:rsid w:val="57B84D4A"/>
    <w:rsid w:val="57BE6070"/>
    <w:rsid w:val="58CE48BF"/>
    <w:rsid w:val="5B21162A"/>
    <w:rsid w:val="5BB06C37"/>
    <w:rsid w:val="621D5537"/>
    <w:rsid w:val="62EE3231"/>
    <w:rsid w:val="64D26767"/>
    <w:rsid w:val="656F7435"/>
    <w:rsid w:val="66F44096"/>
    <w:rsid w:val="67D06890"/>
    <w:rsid w:val="68925B60"/>
    <w:rsid w:val="68994EF5"/>
    <w:rsid w:val="6D1B7938"/>
    <w:rsid w:val="6F2E6565"/>
    <w:rsid w:val="6F40218D"/>
    <w:rsid w:val="705249FF"/>
    <w:rsid w:val="73D37D82"/>
    <w:rsid w:val="75C636D9"/>
    <w:rsid w:val="76BB05CB"/>
    <w:rsid w:val="787E1A12"/>
    <w:rsid w:val="78902D6B"/>
    <w:rsid w:val="79302351"/>
    <w:rsid w:val="79A67472"/>
    <w:rsid w:val="7B036289"/>
    <w:rsid w:val="7B080398"/>
    <w:rsid w:val="7B964105"/>
    <w:rsid w:val="7BAA5F15"/>
    <w:rsid w:val="7C27037B"/>
    <w:rsid w:val="7CC145C3"/>
    <w:rsid w:val="7CCF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left"/>
      <w:outlineLvl w:val="0"/>
    </w:pPr>
    <w:rPr>
      <w:rFonts w:ascii="宋体" w:hAnsi="宋体" w:eastAsia="宋体" w:cs="Times New Roman"/>
      <w:b/>
      <w:sz w:val="28"/>
      <w:szCs w:val="20"/>
    </w:rPr>
  </w:style>
  <w:style w:type="paragraph" w:styleId="5">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cs="Courier New"/>
    </w:rPr>
  </w:style>
  <w:style w:type="paragraph" w:styleId="3">
    <w:name w:val="toc 1"/>
    <w:basedOn w:val="1"/>
    <w:next w:val="1"/>
    <w:qFormat/>
    <w:uiPriority w:val="0"/>
    <w:pPr>
      <w:tabs>
        <w:tab w:val="right" w:leader="dot" w:pos="8891"/>
      </w:tabs>
      <w:spacing w:before="120" w:after="120" w:line="400" w:lineRule="exact"/>
      <w:jc w:val="center"/>
    </w:pPr>
    <w:rPr>
      <w:caps/>
      <w:sz w:val="28"/>
      <w:szCs w:val="28"/>
    </w:rPr>
  </w:style>
  <w:style w:type="paragraph" w:styleId="7">
    <w:name w:val="Body Text"/>
    <w:basedOn w:val="1"/>
    <w:next w:val="1"/>
    <w:autoRedefine/>
    <w:unhideWhenUsed/>
    <w:qFormat/>
    <w:uiPriority w:val="99"/>
    <w:pPr>
      <w:spacing w:after="120"/>
    </w:pPr>
  </w:style>
  <w:style w:type="paragraph" w:styleId="8">
    <w:name w:val="Body Text Indent"/>
    <w:basedOn w:val="1"/>
    <w:autoRedefine/>
    <w:qFormat/>
    <w:uiPriority w:val="0"/>
    <w:pPr>
      <w:ind w:firstLine="600"/>
    </w:pPr>
    <w:rPr>
      <w:rFonts w:ascii="宋体"/>
      <w:sz w:val="30"/>
    </w:rPr>
  </w:style>
  <w:style w:type="paragraph" w:styleId="9">
    <w:name w:val="Block Text"/>
    <w:basedOn w:val="1"/>
    <w:autoRedefine/>
    <w:unhideWhenUsed/>
    <w:qFormat/>
    <w:uiPriority w:val="0"/>
    <w:pPr>
      <w:widowControl/>
      <w:spacing w:line="440" w:lineRule="exact"/>
      <w:ind w:left="5" w:leftChars="3" w:right="-108" w:rightChars="-60" w:firstLine="437" w:firstLineChars="182"/>
      <w:jc w:val="left"/>
    </w:pPr>
    <w:rPr>
      <w:rFonts w:ascii="宋体"/>
      <w:kern w:val="0"/>
      <w:sz w:val="24"/>
      <w:szCs w:val="20"/>
    </w:rPr>
  </w:style>
  <w:style w:type="paragraph" w:styleId="10">
    <w:name w:val="Body Text Indent 2"/>
    <w:basedOn w:val="1"/>
    <w:autoRedefine/>
    <w:qFormat/>
    <w:uiPriority w:val="0"/>
    <w:pPr>
      <w:ind w:firstLine="788" w:firstLineChars="200"/>
    </w:pPr>
    <w:rPr>
      <w:rFonts w:ascii="宋体" w:hAnsi="宋体"/>
      <w:sz w:val="2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w:basedOn w:val="7"/>
    <w:autoRedefine/>
    <w:qFormat/>
    <w:uiPriority w:val="0"/>
    <w:pPr>
      <w:adjustRightInd w:val="0"/>
      <w:snapToGrid w:val="0"/>
      <w:spacing w:line="360" w:lineRule="auto"/>
      <w:ind w:firstLine="200" w:firstLineChars="200"/>
    </w:pPr>
    <w:rPr>
      <w:sz w:val="24"/>
    </w:rPr>
  </w:style>
  <w:style w:type="paragraph" w:styleId="15">
    <w:name w:val="Body Text First Indent 2"/>
    <w:basedOn w:val="8"/>
    <w:next w:val="1"/>
    <w:autoRedefine/>
    <w:qFormat/>
    <w:uiPriority w:val="0"/>
    <w:pPr>
      <w:tabs>
        <w:tab w:val="left" w:pos="420"/>
        <w:tab w:val="left" w:pos="870"/>
        <w:tab w:val="left" w:pos="3150"/>
      </w:tabs>
      <w:autoSpaceDE w:val="0"/>
      <w:autoSpaceDN w:val="0"/>
      <w:adjustRightInd w:val="0"/>
      <w:spacing w:beforeLines="25" w:line="336" w:lineRule="auto"/>
      <w:ind w:firstLine="527"/>
      <w:textAlignment w:val="baseline"/>
    </w:pPr>
    <w:rPr>
      <w:rFonts w:ascii="宋体" w:eastAsia="宋体"/>
      <w:szCs w:val="28"/>
    </w:rPr>
  </w:style>
  <w:style w:type="paragraph" w:customStyle="1" w:styleId="18">
    <w:name w:val="_Style 1"/>
    <w:basedOn w:val="1"/>
    <w:next w:val="1"/>
    <w:autoRedefine/>
    <w:qFormat/>
    <w:uiPriority w:val="0"/>
    <w:pPr>
      <w:ind w:firstLine="420" w:firstLineChars="200"/>
    </w:pPr>
    <w:rPr>
      <w:rFonts w:ascii="Calibri" w:hAnsi="Calibri"/>
      <w:szCs w:val="22"/>
    </w:rPr>
  </w:style>
  <w:style w:type="paragraph" w:customStyle="1" w:styleId="19">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20">
    <w:name w:val="报告正文"/>
    <w:basedOn w:val="1"/>
    <w:autoRedefine/>
    <w:qFormat/>
    <w:uiPriority w:val="0"/>
    <w:pPr>
      <w:adjustRightInd w:val="0"/>
      <w:snapToGrid w:val="0"/>
      <w:spacing w:line="360" w:lineRule="auto"/>
      <w:ind w:firstLine="200" w:firstLineChars="200"/>
    </w:pPr>
    <w:rPr>
      <w:rFonts w:ascii="宋体"/>
      <w:sz w:val="24"/>
    </w:rPr>
  </w:style>
  <w:style w:type="paragraph" w:customStyle="1" w:styleId="21">
    <w:name w:val="标准正文"/>
    <w:basedOn w:val="1"/>
    <w:autoRedefine/>
    <w:qFormat/>
    <w:uiPriority w:val="0"/>
    <w:pPr>
      <w:spacing w:line="360" w:lineRule="auto"/>
      <w:ind w:firstLine="480" w:firstLineChars="200"/>
    </w:pPr>
    <w:rPr>
      <w:rFonts w:hAnsi="宋体"/>
      <w:sz w:val="24"/>
    </w:rPr>
  </w:style>
  <w:style w:type="paragraph" w:customStyle="1" w:styleId="22">
    <w:name w:val="Table Paragraph"/>
    <w:basedOn w:val="1"/>
    <w:autoRedefine/>
    <w:qFormat/>
    <w:uiPriority w:val="1"/>
    <w:rPr>
      <w:rFonts w:ascii="宋体" w:hAnsi="宋体" w:eastAsia="宋体" w:cs="宋体"/>
      <w:lang w:val="zh-CN" w:eastAsia="zh-CN" w:bidi="zh-CN"/>
    </w:rPr>
  </w:style>
  <w:style w:type="paragraph" w:customStyle="1" w:styleId="23">
    <w:name w:val="HP正文"/>
    <w:basedOn w:val="1"/>
    <w:autoRedefine/>
    <w:qFormat/>
    <w:uiPriority w:val="0"/>
    <w:pPr>
      <w:widowControl/>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4</Pages>
  <Words>1411</Words>
  <Characters>1548</Characters>
  <Lines>1</Lines>
  <Paragraphs>1</Paragraphs>
  <TotalTime>2</TotalTime>
  <ScaleCrop>false</ScaleCrop>
  <LinksUpToDate>false</LinksUpToDate>
  <CharactersWithSpaces>1606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2020-01-17T01:34:00Z</dcterms:created>
  <dc:creator>Microsoft</dc:creator>
  <cp:lastModifiedBy>晓琳</cp:lastModifiedBy>
  <cp:lastPrinted>2024-06-17T08:29:32Z</cp:lastPrinted>
  <dcterms:modified xsi:type="dcterms:W3CDTF">2024-06-17T08:32:17Z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CCF58469593440BFAE441C372055821F_12</vt:lpwstr>
  </property>
</Properties>
</file>