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6832">
      <w:pPr>
        <w:jc w:val="center"/>
        <w:rPr>
          <w:rFonts w:hint="eastAsia" w:ascii="黑体" w:hAnsi="黑体" w:eastAsia="黑体" w:cs="黑体"/>
          <w:sz w:val="44"/>
          <w:szCs w:val="44"/>
          <w:lang w:val="en-US" w:eastAsia="zh-CN"/>
        </w:rPr>
      </w:pPr>
    </w:p>
    <w:p w14:paraId="02D8647A">
      <w:pPr>
        <w:jc w:val="center"/>
        <w:rPr>
          <w:rFonts w:hint="eastAsia" w:ascii="黑体" w:hAnsi="黑体" w:eastAsia="黑体" w:cs="黑体"/>
          <w:sz w:val="48"/>
          <w:szCs w:val="48"/>
          <w:lang w:val="en-US" w:eastAsia="zh-CN"/>
        </w:rPr>
      </w:pPr>
    </w:p>
    <w:p w14:paraId="6B8FEE29">
      <w:pPr>
        <w:jc w:val="center"/>
        <w:rPr>
          <w:rFonts w:hint="eastAsia" w:ascii="黑体" w:hAnsi="黑体" w:eastAsia="黑体" w:cs="黑体"/>
          <w:sz w:val="48"/>
          <w:szCs w:val="48"/>
          <w:lang w:val="en-US" w:eastAsia="zh-CN"/>
        </w:rPr>
      </w:pPr>
    </w:p>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5F4C1B89">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单位名称（盖章）：津市市发展和改革局</w:t>
      </w:r>
    </w:p>
    <w:p w14:paraId="4FFBCE2A">
      <w:pPr>
        <w:ind w:firstLine="3600" w:firstLineChars="10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（津市市国防动员办公室）</w:t>
      </w:r>
    </w:p>
    <w:p w14:paraId="0E41450D">
      <w:pPr>
        <w:ind w:firstLine="1080" w:firstLineChars="300"/>
        <w:jc w:val="left"/>
        <w:rPr>
          <w:rFonts w:hint="eastAsia" w:ascii="宋体" w:hAnsi="宋体" w:eastAsia="宋体" w:cs="宋体"/>
          <w:sz w:val="36"/>
          <w:szCs w:val="36"/>
          <w:lang w:val="en-US" w:eastAsia="zh-CN"/>
        </w:rPr>
      </w:pPr>
    </w:p>
    <w:p w14:paraId="494A7870">
      <w:pPr>
        <w:jc w:val="left"/>
        <w:rPr>
          <w:rFonts w:hint="eastAsia" w:ascii="宋体" w:hAnsi="宋体" w:eastAsia="宋体" w:cs="宋体"/>
          <w:sz w:val="36"/>
          <w:szCs w:val="36"/>
          <w:lang w:val="en-US" w:eastAsia="zh-CN"/>
        </w:rPr>
      </w:pPr>
    </w:p>
    <w:p w14:paraId="1BF08DD7">
      <w:pPr>
        <w:ind w:firstLine="1080" w:firstLineChars="300"/>
        <w:jc w:val="left"/>
        <w:rPr>
          <w:rFonts w:hint="eastAsia" w:ascii="宋体" w:hAnsi="宋体" w:eastAsia="宋体" w:cs="宋体"/>
          <w:sz w:val="36"/>
          <w:szCs w:val="36"/>
          <w:lang w:val="en-US" w:eastAsia="zh-CN"/>
        </w:rPr>
      </w:pPr>
    </w:p>
    <w:p w14:paraId="192EB630">
      <w:pPr>
        <w:ind w:firstLine="3240" w:firstLineChars="900"/>
        <w:jc w:val="both"/>
        <w:rPr>
          <w:rFonts w:hint="eastAsia" w:ascii="宋体" w:hAnsi="宋体" w:eastAsia="宋体" w:cs="宋体"/>
          <w:sz w:val="36"/>
          <w:szCs w:val="36"/>
          <w:lang w:val="en-US" w:eastAsia="zh-CN"/>
        </w:rPr>
      </w:pPr>
    </w:p>
    <w:p w14:paraId="6E8EA8F0">
      <w:pPr>
        <w:ind w:firstLine="3240" w:firstLineChars="900"/>
        <w:jc w:val="both"/>
        <w:rPr>
          <w:rFonts w:hint="eastAsia" w:ascii="宋体" w:hAnsi="宋体" w:eastAsia="宋体" w:cs="宋体"/>
          <w:sz w:val="36"/>
          <w:szCs w:val="36"/>
          <w:lang w:val="en-US" w:eastAsia="zh-CN"/>
        </w:rPr>
      </w:pPr>
    </w:p>
    <w:p w14:paraId="35FB20BC">
      <w:pPr>
        <w:ind w:firstLine="3240" w:firstLineChars="900"/>
        <w:jc w:val="both"/>
        <w:rPr>
          <w:rFonts w:hint="eastAsia" w:ascii="宋体" w:hAnsi="宋体" w:eastAsia="宋体" w:cs="宋体"/>
          <w:sz w:val="36"/>
          <w:szCs w:val="36"/>
          <w:lang w:val="en-US" w:eastAsia="zh-CN"/>
        </w:rPr>
      </w:pPr>
    </w:p>
    <w:p w14:paraId="0BF7BD76">
      <w:pPr>
        <w:ind w:firstLine="3240" w:firstLineChars="900"/>
        <w:jc w:val="both"/>
        <w:rPr>
          <w:rFonts w:hint="eastAsia" w:ascii="宋体" w:hAnsi="宋体" w:eastAsia="宋体" w:cs="宋体"/>
          <w:sz w:val="36"/>
          <w:szCs w:val="36"/>
          <w:lang w:val="en-US" w:eastAsia="zh-CN"/>
        </w:rPr>
      </w:pPr>
    </w:p>
    <w:p w14:paraId="000143B4">
      <w:pPr>
        <w:spacing w:line="600" w:lineRule="exact"/>
        <w:jc w:val="center"/>
        <w:rPr>
          <w:rFonts w:hint="eastAsia" w:eastAsia="方正小标宋_GBK"/>
          <w:sz w:val="36"/>
          <w:szCs w:val="36"/>
          <w:lang w:val="en-US" w:eastAsia="zh-CN"/>
        </w:rPr>
      </w:pPr>
    </w:p>
    <w:p w14:paraId="02C2716F">
      <w:pPr>
        <w:spacing w:line="600" w:lineRule="exact"/>
        <w:jc w:val="center"/>
        <w:rPr>
          <w:rFonts w:eastAsia="方正小标宋_GBK"/>
          <w:sz w:val="32"/>
          <w:szCs w:val="32"/>
        </w:rPr>
      </w:pPr>
      <w:r>
        <w:rPr>
          <w:rFonts w:hint="eastAsia" w:eastAsia="方正小标宋_GBK"/>
          <w:sz w:val="36"/>
          <w:szCs w:val="36"/>
          <w:lang w:val="en-US" w:eastAsia="zh-CN"/>
        </w:rPr>
        <w:t>津市市发展和改革局（津市市国防动员办公室）2024年度</w:t>
      </w:r>
      <w:r>
        <w:rPr>
          <w:rFonts w:eastAsia="方正小标宋_GBK"/>
          <w:sz w:val="36"/>
          <w:szCs w:val="36"/>
        </w:rPr>
        <w:t>部门整体支出绩效</w:t>
      </w:r>
      <w:r>
        <w:rPr>
          <w:rFonts w:hint="eastAsia" w:eastAsia="方正小标宋_GBK"/>
          <w:sz w:val="36"/>
          <w:szCs w:val="36"/>
          <w:lang w:eastAsia="zh-CN"/>
        </w:rPr>
        <w:t>自评</w:t>
      </w:r>
      <w:r>
        <w:rPr>
          <w:rFonts w:eastAsia="方正小标宋_GBK"/>
          <w:sz w:val="36"/>
          <w:szCs w:val="36"/>
        </w:rPr>
        <w:t>报告</w:t>
      </w:r>
    </w:p>
    <w:p w14:paraId="6E9CB9FB">
      <w:pPr>
        <w:spacing w:line="600" w:lineRule="exact"/>
        <w:jc w:val="center"/>
        <w:rPr>
          <w:rFonts w:eastAsia="方正小标宋_GBK"/>
          <w:sz w:val="32"/>
          <w:szCs w:val="32"/>
        </w:rPr>
      </w:pPr>
    </w:p>
    <w:p w14:paraId="6D182C74">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208B57A6">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14:paraId="15D9F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12"/>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0"/>
          <w:szCs w:val="24"/>
          <w:lang w:val="en-US" w:eastAsia="zh-CN" w:bidi="ar-SA"/>
        </w:rPr>
        <w:t>中共津市市发展和改革局单位级别：正科级，办公地址：津市市金鱼岭街道大同路50号。</w:t>
      </w:r>
      <w:r>
        <w:rPr>
          <w:rFonts w:hint="default" w:ascii="仿宋_GB2312" w:hAnsi="Times New Roman" w:eastAsia="仿宋_GB2312" w:cs="Times New Roman"/>
          <w:kern w:val="2"/>
          <w:sz w:val="30"/>
          <w:szCs w:val="24"/>
          <w:lang w:val="en-US" w:eastAsia="zh-CN" w:bidi="ar-SA"/>
        </w:rPr>
        <w:t>津市市发改局设5个股室，所属事业单位7个，全部纳入202</w:t>
      </w:r>
      <w:r>
        <w:rPr>
          <w:rFonts w:hint="eastAsia" w:ascii="仿宋_GB2312" w:hAnsi="Times New Roman" w:eastAsia="仿宋_GB2312" w:cs="Times New Roman"/>
          <w:kern w:val="2"/>
          <w:sz w:val="30"/>
          <w:szCs w:val="24"/>
          <w:lang w:val="en-US" w:eastAsia="zh-CN" w:bidi="ar-SA"/>
        </w:rPr>
        <w:t>4</w:t>
      </w:r>
      <w:r>
        <w:rPr>
          <w:rFonts w:hint="default" w:ascii="仿宋_GB2312" w:hAnsi="Times New Roman" w:eastAsia="仿宋_GB2312" w:cs="Times New Roman"/>
          <w:kern w:val="2"/>
          <w:sz w:val="30"/>
          <w:szCs w:val="24"/>
          <w:lang w:val="en-US" w:eastAsia="zh-CN" w:bidi="ar-SA"/>
        </w:rPr>
        <w:t>年部门预算编制范围。内设股室分别是办公室、法规股（津市市招标投标办公室）、项目前期工作办公室（津市市以工代赈办公室）、投资管理股（津市市国民经济动员办公室、津市市国防动员委员会装备动员办公室）、价格收费管理股（行政</w:t>
      </w:r>
      <w:r>
        <w:rPr>
          <w:rFonts w:hint="eastAsia" w:ascii="仿宋_GB2312" w:hAnsi="Times New Roman" w:eastAsia="仿宋_GB2312" w:cs="Times New Roman"/>
          <w:kern w:val="2"/>
          <w:sz w:val="30"/>
          <w:szCs w:val="24"/>
          <w:lang w:val="en-US" w:eastAsia="zh-CN" w:bidi="ar-SA"/>
        </w:rPr>
        <w:t>许可办公室、价格成本调查队），</w:t>
      </w:r>
      <w:r>
        <w:rPr>
          <w:rFonts w:hint="default" w:ascii="仿宋_GB2312" w:hAnsi="Times New Roman" w:eastAsia="仿宋_GB2312" w:cs="Times New Roman"/>
          <w:kern w:val="2"/>
          <w:sz w:val="30"/>
          <w:szCs w:val="24"/>
          <w:lang w:val="en-US" w:eastAsia="zh-CN" w:bidi="ar-SA"/>
        </w:rPr>
        <w:t>所属事业单位分别是津市市价格认证中心、津市市价格调节基金办公室、津市市重点建设项目事务中心、津市市产业发展事务中心、津市市粮食执法大队、津市市粮油质量监督管理办公室、津市市军粮供应站。</w:t>
      </w:r>
      <w:r>
        <w:rPr>
          <w:rFonts w:hint="eastAsia" w:ascii="仿宋_GB2312" w:hAnsi="Times New Roman" w:eastAsia="仿宋_GB2312" w:cs="Times New Roman"/>
          <w:kern w:val="2"/>
          <w:sz w:val="30"/>
          <w:szCs w:val="24"/>
          <w:lang w:val="en-US" w:eastAsia="zh-CN" w:bidi="ar-SA"/>
        </w:rPr>
        <w:t>单位编制人数44人，其中：行政编15人，事业编28人，工勤编1人，年末实有人数37人。</w:t>
      </w:r>
    </w:p>
    <w:p w14:paraId="5C590DD2">
      <w:pPr>
        <w:pStyle w:val="6"/>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单位主要职责</w:t>
      </w:r>
    </w:p>
    <w:p w14:paraId="1D62D334">
      <w:pPr>
        <w:pStyle w:val="6"/>
        <w:widowControl/>
        <w:numPr>
          <w:ilvl w:val="0"/>
          <w:numId w:val="0"/>
        </w:numPr>
        <w:spacing w:line="600" w:lineRule="exact"/>
        <w:ind w:firstLine="600" w:firstLineChars="200"/>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拟订并组织实施全市国民经济和社会发展战略、中长期规划和年度计划；统筹提出加快建设现代化经济体系、推动高质量发展的总体目标、重大任务以及相关措施；推进和综合协调全市经济体制改革有关工作，提出相关改革建议；研究全市利用外资和境外投资的战略、规划、总量平衡和结构优化的措施办法；负责投资综合管理，拟订全市固定资产投资总规模、结构调控目标及措施。统筹安排中央、省、常德市、市预算内基本建设资金，按规定权限审批、核准、审核、备案重大项目；推进落实区域协调发展战略和重大政策，组织拟订实施办法和相关区域规划；组织拟订综合性产业措施办法；推动实施创新驱动发展战略；跟踪研判涉及经济安全、生态安全、资源安全、科技安全、社会安全等各类风险隐患，提出相关工作建议；负责社会发展与国民经济发展的政策衔接，协调有关重大问题；推进实施可持续发展战略，推动生态文明建设和改革，协调生态环境保护与修复、能源资源节约和综合利用等工作研究提出全市能源发展战略、规划、产业政策并组织实施；组织实施有关价格政策，组织制定少数由市级管理的重要商品、服务价格和重要收费标准；会同有关部门拟订推进全市经济建设与国防建设协调发展的战略和规划，协调有关重大问题。</w:t>
      </w:r>
    </w:p>
    <w:p w14:paraId="2EC52887">
      <w:pPr>
        <w:pStyle w:val="6"/>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单位财务情况（资产负债情况）</w:t>
      </w:r>
    </w:p>
    <w:p w14:paraId="70F116D5">
      <w:pPr>
        <w:pStyle w:val="6"/>
        <w:widowControl/>
        <w:numPr>
          <w:ilvl w:val="0"/>
          <w:numId w:val="0"/>
        </w:numPr>
        <w:spacing w:line="600" w:lineRule="exact"/>
        <w:ind w:firstLine="600" w:firstLineChars="200"/>
        <w:rPr>
          <w:rFonts w:hint="eastAsia" w:ascii="Times New Roman"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kern w:val="2"/>
          <w:sz w:val="30"/>
          <w:szCs w:val="24"/>
          <w:lang w:val="en-US" w:eastAsia="zh-CN" w:bidi="ar-SA"/>
        </w:rPr>
        <w:t>2024年12月31日，单位资产总计505.82万元，其中流动资产180.61万元、非流动资产325.21万元，负债和净资产合计505.82万元，其中负债1.28万元、净资产合计504.53万元。</w:t>
      </w:r>
    </w:p>
    <w:p w14:paraId="318F50E1">
      <w:pPr>
        <w:pStyle w:val="6"/>
        <w:widowControl/>
        <w:numPr>
          <w:ilvl w:val="0"/>
          <w:numId w:val="1"/>
        </w:numPr>
        <w:spacing w:line="600" w:lineRule="exact"/>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绩效目标</w:t>
      </w:r>
    </w:p>
    <w:p w14:paraId="13FD70F8">
      <w:pPr>
        <w:spacing w:line="360" w:lineRule="auto"/>
        <w:ind w:firstLine="600" w:firstLineChars="200"/>
        <w:rPr>
          <w:rFonts w:hint="eastAsia" w:ascii="Times New Roman" w:hAnsi="Times New Roman" w:eastAsia="仿宋_GB2312" w:cs="Times New Roman"/>
          <w:color w:val="FF0000"/>
          <w:kern w:val="2"/>
          <w:sz w:val="32"/>
          <w:szCs w:val="32"/>
          <w:lang w:val="en-US" w:eastAsia="zh-CN" w:bidi="ar-SA"/>
        </w:rPr>
      </w:pPr>
      <w:r>
        <w:rPr>
          <w:rFonts w:hint="eastAsia" w:ascii="仿宋_GB2312" w:hAnsi="Times New Roman" w:eastAsia="仿宋_GB2312" w:cs="Times New Roman"/>
          <w:color w:val="auto"/>
          <w:kern w:val="2"/>
          <w:sz w:val="30"/>
          <w:szCs w:val="24"/>
          <w:lang w:val="en-US" w:eastAsia="zh-CN" w:bidi="ar-SA"/>
        </w:rPr>
        <w:t>2024年度收入总计6392.59万元，其中一般公共预算财政拨款收入6392.59万元，年度支出总计6392.59万元，其中基本支出527.43万元、项目支出5865.16万元。</w:t>
      </w:r>
    </w:p>
    <w:p w14:paraId="2164163A">
      <w:pPr>
        <w:pStyle w:val="6"/>
        <w:widowControl/>
        <w:spacing w:line="600" w:lineRule="exact"/>
        <w:ind w:left="640" w:firstLine="0" w:firstLineChars="0"/>
        <w:rPr>
          <w:rFonts w:hint="default"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w:t>
      </w:r>
      <w:r>
        <w:rPr>
          <w:rFonts w:hint="eastAsia" w:ascii="Times New Roman" w:hAnsi="Times New Roman" w:eastAsia="黑体"/>
          <w:color w:val="auto"/>
          <w:sz w:val="32"/>
          <w:szCs w:val="32"/>
          <w:lang w:eastAsia="zh-CN"/>
        </w:rPr>
        <w:t>部门整体支出情况</w:t>
      </w:r>
    </w:p>
    <w:p w14:paraId="631C80E6">
      <w:pPr>
        <w:pStyle w:val="6"/>
        <w:widowControl/>
        <w:spacing w:line="600" w:lineRule="exact"/>
        <w:ind w:left="640" w:firstLine="0" w:firstLineChars="0"/>
        <w:rPr>
          <w:rFonts w:ascii="Times New Roman" w:hAnsi="Times New Roman" w:eastAsia="黑体"/>
          <w:color w:val="auto"/>
          <w:sz w:val="32"/>
          <w:szCs w:val="32"/>
        </w:rPr>
      </w:pPr>
      <w:r>
        <w:rPr>
          <w:rFonts w:hint="eastAsia" w:ascii="Times New Roman" w:hAnsi="Times New Roman" w:eastAsia="黑体"/>
          <w:color w:val="auto"/>
          <w:sz w:val="32"/>
          <w:szCs w:val="32"/>
        </w:rPr>
        <w:t>（一）</w:t>
      </w:r>
      <w:r>
        <w:rPr>
          <w:rFonts w:ascii="Times New Roman" w:hAnsi="Times New Roman" w:eastAsia="黑体"/>
          <w:color w:val="auto"/>
          <w:sz w:val="32"/>
          <w:szCs w:val="32"/>
        </w:rPr>
        <w:t>一般公共预算支出情况</w:t>
      </w:r>
    </w:p>
    <w:p w14:paraId="4D4DFF90">
      <w:pPr>
        <w:pStyle w:val="6"/>
        <w:widowControl/>
        <w:spacing w:line="600" w:lineRule="exact"/>
        <w:rPr>
          <w:rFonts w:hint="eastAsia" w:eastAsia="仿宋_GB2312"/>
          <w:color w:val="auto"/>
          <w:sz w:val="32"/>
          <w:szCs w:val="32"/>
          <w:lang w:eastAsia="zh-CN"/>
        </w:rPr>
      </w:pPr>
      <w:r>
        <w:rPr>
          <w:rFonts w:hint="eastAsia" w:ascii="Times New Roman" w:hAnsi="Times New Roman" w:eastAsia="黑体"/>
          <w:color w:val="auto"/>
          <w:sz w:val="32"/>
          <w:szCs w:val="32"/>
          <w:lang w:val="en-US" w:eastAsia="zh-CN"/>
        </w:rPr>
        <w:t>1.</w:t>
      </w:r>
      <w:r>
        <w:rPr>
          <w:rFonts w:ascii="Times New Roman" w:hAnsi="Times New Roman" w:eastAsia="黑体"/>
          <w:color w:val="auto"/>
          <w:sz w:val="32"/>
          <w:szCs w:val="32"/>
        </w:rPr>
        <w:t>基本支出情况</w:t>
      </w:r>
      <w:r>
        <w:rPr>
          <w:rFonts w:hint="eastAsia" w:ascii="Times New Roman" w:hAnsi="Times New Roman" w:eastAsia="黑体"/>
          <w:color w:val="auto"/>
          <w:sz w:val="32"/>
          <w:szCs w:val="32"/>
          <w:lang w:eastAsia="zh-CN"/>
        </w:rPr>
        <w:t>：</w:t>
      </w:r>
      <w:r>
        <w:rPr>
          <w:rFonts w:hint="eastAsia" w:ascii="Times New Roman" w:hAnsi="Times New Roman" w:eastAsia="黑体"/>
          <w:color w:val="auto"/>
          <w:sz w:val="32"/>
          <w:szCs w:val="32"/>
          <w:lang w:val="en-US" w:eastAsia="zh-CN"/>
        </w:rPr>
        <w:t>2024</w:t>
      </w:r>
      <w:r>
        <w:rPr>
          <w:rFonts w:hint="eastAsia" w:ascii="仿宋_GB2312" w:hAnsi="仿宋_GB2312" w:eastAsia="仿宋_GB2312" w:cs="仿宋_GB2312"/>
          <w:color w:val="auto"/>
          <w:sz w:val="32"/>
          <w:szCs w:val="32"/>
          <w:lang w:val="en-US" w:eastAsia="zh-CN"/>
        </w:rPr>
        <w:t>年基本支出</w:t>
      </w:r>
      <w:r>
        <w:rPr>
          <w:rFonts w:hint="eastAsia" w:ascii="仿宋_GB2312" w:hAnsi="Times New Roman" w:eastAsia="仿宋_GB2312" w:cs="Times New Roman"/>
          <w:color w:val="auto"/>
          <w:kern w:val="2"/>
          <w:sz w:val="30"/>
          <w:szCs w:val="24"/>
          <w:lang w:val="en-US" w:eastAsia="zh-CN" w:bidi="ar-SA"/>
        </w:rPr>
        <w:t>527.43</w:t>
      </w:r>
      <w:r>
        <w:rPr>
          <w:rFonts w:hint="eastAsia" w:ascii="仿宋_GB2312" w:hAnsi="仿宋_GB2312" w:eastAsia="仿宋_GB2312" w:cs="仿宋_GB2312"/>
          <w:color w:val="auto"/>
          <w:sz w:val="32"/>
          <w:szCs w:val="32"/>
          <w:lang w:val="en-US" w:eastAsia="zh-CN"/>
        </w:rPr>
        <w:t>万元，其中：工资福利支出473.74万元，一般商品服务支出52.86万元，对个人和家庭补助支出0.83万元。</w:t>
      </w:r>
    </w:p>
    <w:p w14:paraId="057A474C">
      <w:pPr>
        <w:pStyle w:val="6"/>
        <w:widowControl/>
        <w:spacing w:line="600" w:lineRule="exact"/>
        <w:ind w:left="0" w:leftChars="0" w:firstLine="640" w:firstLineChars="200"/>
        <w:rPr>
          <w:rFonts w:hint="eastAsia" w:eastAsia="仿宋_GB2312"/>
          <w:color w:val="auto"/>
          <w:sz w:val="32"/>
          <w:szCs w:val="32"/>
          <w:lang w:val="en-US" w:eastAsia="zh-CN"/>
        </w:rPr>
      </w:pPr>
      <w:r>
        <w:rPr>
          <w:rFonts w:hint="eastAsia" w:ascii="Times New Roman" w:hAnsi="Times New Roman" w:eastAsia="黑体"/>
          <w:color w:val="auto"/>
          <w:sz w:val="32"/>
          <w:szCs w:val="32"/>
          <w:lang w:val="en-US" w:eastAsia="zh-CN"/>
        </w:rPr>
        <w:t>2.</w:t>
      </w:r>
      <w:r>
        <w:rPr>
          <w:rFonts w:ascii="Times New Roman" w:hAnsi="Times New Roman" w:eastAsia="黑体"/>
          <w:color w:val="auto"/>
          <w:sz w:val="32"/>
          <w:szCs w:val="32"/>
        </w:rPr>
        <w:t>项目支出情况</w:t>
      </w:r>
      <w:r>
        <w:rPr>
          <w:rFonts w:eastAsia="仿宋_GB2312"/>
          <w:color w:val="auto"/>
          <w:sz w:val="32"/>
          <w:szCs w:val="32"/>
        </w:rPr>
        <w:t>：</w:t>
      </w:r>
      <w:r>
        <w:rPr>
          <w:rFonts w:hint="eastAsia" w:eastAsia="仿宋_GB2312"/>
          <w:color w:val="auto"/>
          <w:sz w:val="32"/>
          <w:szCs w:val="32"/>
          <w:lang w:val="en-US" w:eastAsia="zh-CN"/>
        </w:rPr>
        <w:t>2024</w:t>
      </w:r>
      <w:r>
        <w:rPr>
          <w:rFonts w:eastAsia="仿宋_GB2312"/>
          <w:color w:val="auto"/>
          <w:sz w:val="32"/>
          <w:szCs w:val="32"/>
        </w:rPr>
        <w:t>年度</w:t>
      </w:r>
      <w:r>
        <w:rPr>
          <w:rFonts w:hint="eastAsia" w:eastAsia="仿宋_GB2312"/>
          <w:color w:val="auto"/>
          <w:sz w:val="32"/>
          <w:szCs w:val="32"/>
          <w:lang w:eastAsia="zh-CN"/>
        </w:rPr>
        <w:t>项目支出</w:t>
      </w:r>
      <w:r>
        <w:rPr>
          <w:rFonts w:hint="eastAsia" w:eastAsia="仿宋_GB2312"/>
          <w:color w:val="auto"/>
          <w:sz w:val="32"/>
          <w:szCs w:val="32"/>
          <w:lang w:val="en-US" w:eastAsia="zh-CN"/>
        </w:rPr>
        <w:t>5865.16万元，其中：</w:t>
      </w:r>
    </w:p>
    <w:p w14:paraId="0B8E5564">
      <w:pPr>
        <w:pStyle w:val="6"/>
        <w:widowControl/>
        <w:spacing w:line="600" w:lineRule="exact"/>
        <w:ind w:left="640" w:firstLine="0" w:firstLineChars="0"/>
        <w:rPr>
          <w:rFonts w:hint="eastAsia" w:eastAsia="仿宋_GB2312"/>
          <w:color w:val="auto"/>
          <w:sz w:val="32"/>
          <w:szCs w:val="32"/>
          <w:lang w:val="en-US" w:eastAsia="zh-CN"/>
        </w:rPr>
      </w:pPr>
      <w:r>
        <w:rPr>
          <w:rFonts w:hint="eastAsia" w:ascii="仿宋" w:hAnsi="仿宋" w:eastAsia="仿宋" w:cs="仿宋"/>
          <w:color w:val="auto"/>
          <w:sz w:val="32"/>
          <w:szCs w:val="32"/>
          <w:lang w:val="en-US" w:eastAsia="zh-CN"/>
        </w:rPr>
        <w:t>单位本级</w:t>
      </w:r>
      <w:r>
        <w:rPr>
          <w:rFonts w:hint="eastAsia" w:eastAsia="仿宋_GB2312"/>
          <w:color w:val="auto"/>
          <w:sz w:val="32"/>
          <w:szCs w:val="32"/>
          <w:lang w:val="en-US" w:eastAsia="zh-CN"/>
        </w:rPr>
        <w:t>项目资金111万：</w:t>
      </w:r>
    </w:p>
    <w:p w14:paraId="036E204C">
      <w:pPr>
        <w:pStyle w:val="6"/>
        <w:widowControl/>
        <w:spacing w:line="600" w:lineRule="exact"/>
        <w:ind w:left="640" w:firstLine="0" w:firstLineChars="0"/>
        <w:rPr>
          <w:rFonts w:hint="eastAsia" w:eastAsia="仿宋_GB2312"/>
          <w:sz w:val="32"/>
          <w:szCs w:val="32"/>
          <w:lang w:val="en-US" w:eastAsia="zh-CN"/>
        </w:rPr>
      </w:pPr>
      <w:r>
        <w:rPr>
          <w:rFonts w:hint="eastAsia" w:ascii="仿宋" w:hAnsi="仿宋" w:eastAsia="仿宋" w:cs="仿宋"/>
          <w:sz w:val="32"/>
          <w:szCs w:val="32"/>
          <w:lang w:val="en-US" w:eastAsia="zh-CN"/>
        </w:rPr>
        <w:t>①</w:t>
      </w:r>
      <w:r>
        <w:rPr>
          <w:rFonts w:hint="eastAsia" w:eastAsia="仿宋_GB2312"/>
          <w:sz w:val="32"/>
          <w:szCs w:val="32"/>
          <w:lang w:val="en-US" w:eastAsia="zh-CN"/>
        </w:rPr>
        <w:t>经贸领域工作经费：0.5万（经贸领域培训费、宣传费等</w:t>
      </w:r>
      <w:r>
        <w:rPr>
          <w:rFonts w:hint="eastAsia" w:eastAsia="仿宋_GB2312"/>
          <w:sz w:val="32"/>
          <w:szCs w:val="32"/>
          <w:lang w:eastAsia="zh-CN"/>
        </w:rPr>
        <w:t>）</w:t>
      </w:r>
    </w:p>
    <w:p w14:paraId="73A59B9E">
      <w:pPr>
        <w:pStyle w:val="6"/>
        <w:widowControl/>
        <w:spacing w:line="600" w:lineRule="exact"/>
        <w:ind w:left="0" w:leftChars="0" w:firstLine="640" w:firstLineChars="0"/>
        <w:rPr>
          <w:rFonts w:hint="eastAsia" w:eastAsia="仿宋_GB2312"/>
          <w:sz w:val="32"/>
          <w:szCs w:val="32"/>
          <w:lang w:val="en-US" w:eastAsia="zh-CN"/>
        </w:rPr>
      </w:pPr>
      <w:r>
        <w:rPr>
          <w:rFonts w:hint="eastAsia" w:ascii="仿宋" w:hAnsi="仿宋" w:eastAsia="仿宋" w:cs="仿宋"/>
          <w:sz w:val="32"/>
          <w:szCs w:val="32"/>
          <w:lang w:val="en-US" w:eastAsia="zh-CN"/>
        </w:rPr>
        <w:t>②</w:t>
      </w:r>
      <w:r>
        <w:rPr>
          <w:rFonts w:hint="eastAsia" w:eastAsia="仿宋_GB2312"/>
          <w:sz w:val="32"/>
          <w:szCs w:val="32"/>
          <w:lang w:val="en-US" w:eastAsia="zh-CN"/>
        </w:rPr>
        <w:t>军供站粮油科技进军营工作经费：2万（粮油科技进军营采买费、粮油预备费、培训费和差旅费等）</w:t>
      </w:r>
    </w:p>
    <w:p w14:paraId="66C38981">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③粮食流通统计工作经费：1万（粮食流通统计台账、经营台账台本费、流通统计差旅费、培训费等）</w:t>
      </w:r>
    </w:p>
    <w:p w14:paraId="10659ACB">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④粮食应急保障经费：0.5万（粮食应急保障）</w:t>
      </w:r>
    </w:p>
    <w:p w14:paraId="2720DEC8">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⑤政策性粮食监管工作经费：3万（政策性粮食抽样费、政策宣传费、质量检化验费、培训费等）</w:t>
      </w:r>
    </w:p>
    <w:p w14:paraId="72575664">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⑥政策性粮食调控工作经费：2万（粮食收购政策性宣传费、早中晚稻生产、收购形势调研费、调控差旅费、培训费）</w:t>
      </w:r>
    </w:p>
    <w:p w14:paraId="5E961D21">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⑦国防宣传费：5万（国防动员相关书籍、宣传册、宣传展牌等）</w:t>
      </w:r>
    </w:p>
    <w:p w14:paraId="0C702765">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⑧国防专业训练费：5万（训练场地费、训练费、食宿餐费等）</w:t>
      </w:r>
    </w:p>
    <w:p w14:paraId="101FC709">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⑨农村水价综合改革工作经费：2万（节水推广、标识牌制作与安装、媒体宣传）</w:t>
      </w:r>
    </w:p>
    <w:p w14:paraId="0D8885FC">
      <w:pPr>
        <w:pStyle w:val="6"/>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⑩粮食流通监管工作经费：2万（粮食抽样费、政策宣传费、质量检化验费、培训费等）</w:t>
      </w:r>
    </w:p>
    <w:p w14:paraId="364B8C06">
      <w:pPr>
        <w:pStyle w:val="6"/>
        <w:widowControl/>
        <w:spacing w:line="600" w:lineRule="exact"/>
        <w:ind w:left="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⑪人事、维稳工作经费：2.6万（人事、维稳工作）</w:t>
      </w:r>
    </w:p>
    <w:p w14:paraId="7FAA04F5">
      <w:pPr>
        <w:pStyle w:val="6"/>
        <w:widowControl/>
        <w:spacing w:line="600" w:lineRule="exact"/>
        <w:ind w:left="0" w:leftChars="0" w:firstLine="640" w:firstLineChars="0"/>
        <w:rPr>
          <w:rFonts w:hint="default" w:eastAsia="仿宋_GB2312" w:cs="Times New Roman"/>
          <w:sz w:val="32"/>
          <w:szCs w:val="32"/>
          <w:lang w:val="en-US" w:eastAsia="zh-CN"/>
        </w:rPr>
      </w:pPr>
      <w:r>
        <w:rPr>
          <w:rFonts w:hint="eastAsia" w:eastAsia="仿宋_GB2312" w:cs="Times New Roman"/>
          <w:sz w:val="32"/>
          <w:szCs w:val="32"/>
          <w:lang w:val="en-US" w:eastAsia="zh-CN"/>
        </w:rPr>
        <w:t>⑫事业单位培训：0.7万（事业单位培训）</w:t>
      </w:r>
    </w:p>
    <w:p w14:paraId="21E784E4">
      <w:pPr>
        <w:pStyle w:val="6"/>
        <w:widowControl/>
        <w:spacing w:line="600" w:lineRule="exact"/>
        <w:ind w:left="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⑬项目工作经费：80.7万（工会12万、党建9万、劳务费24万、差旅费5万、办公费2.5万、印刷费1万、邮电费6万、维修费4万、公车运行费1万、其他交通费用3万、办公设备购置3万、其他商品和服务支出10.2万）</w:t>
      </w:r>
    </w:p>
    <w:p w14:paraId="1AE3D714">
      <w:pPr>
        <w:pStyle w:val="6"/>
        <w:widowControl/>
        <w:spacing w:line="600" w:lineRule="exact"/>
        <w:ind w:left="0" w:leftChars="0" w:firstLine="640" w:firstLineChars="0"/>
        <w:rPr>
          <w:rFonts w:hint="default" w:eastAsia="仿宋_GB2312" w:cs="Times New Roman"/>
          <w:sz w:val="32"/>
          <w:szCs w:val="32"/>
          <w:lang w:val="en-US" w:eastAsia="zh-CN"/>
        </w:rPr>
      </w:pPr>
      <w:r>
        <w:rPr>
          <w:rFonts w:hint="eastAsia" w:ascii="微软雅黑" w:hAnsi="微软雅黑" w:eastAsia="微软雅黑" w:cs="微软雅黑"/>
          <w:sz w:val="32"/>
          <w:szCs w:val="32"/>
          <w:lang w:val="en-US" w:eastAsia="zh-CN"/>
        </w:rPr>
        <w:t>⑭</w:t>
      </w:r>
      <w:r>
        <w:rPr>
          <w:rFonts w:hint="eastAsia" w:eastAsia="仿宋_GB2312" w:cs="Times New Roman"/>
          <w:sz w:val="32"/>
          <w:szCs w:val="32"/>
          <w:lang w:val="en-US" w:eastAsia="zh-CN"/>
        </w:rPr>
        <w:t>其他项目：4万</w:t>
      </w:r>
    </w:p>
    <w:p w14:paraId="381BBA71">
      <w:pPr>
        <w:pStyle w:val="6"/>
        <w:widowControl/>
        <w:spacing w:line="600" w:lineRule="exact"/>
        <w:ind w:left="640" w:firstLine="0" w:firstLineChars="0"/>
        <w:rPr>
          <w:rFonts w:hint="eastAsia" w:eastAsia="仿宋_GB2312"/>
          <w:color w:val="auto"/>
          <w:sz w:val="32"/>
          <w:szCs w:val="32"/>
          <w:lang w:val="en-US" w:eastAsia="zh-CN"/>
        </w:rPr>
      </w:pPr>
      <w:r>
        <w:rPr>
          <w:rFonts w:hint="eastAsia" w:eastAsia="仿宋_GB2312"/>
          <w:color w:val="auto"/>
          <w:sz w:val="32"/>
          <w:szCs w:val="32"/>
          <w:lang w:val="en-US" w:eastAsia="zh-CN"/>
        </w:rPr>
        <w:t>其余均为专项资金或上级资金，用于拨付企业等。</w:t>
      </w:r>
    </w:p>
    <w:p w14:paraId="08377481">
      <w:pPr>
        <w:pStyle w:val="6"/>
        <w:widowControl/>
        <w:spacing w:line="600" w:lineRule="exact"/>
        <w:jc w:val="left"/>
        <w:rPr>
          <w:rFonts w:hint="eastAsia" w:eastAsia="仿宋_GB2312"/>
          <w:color w:val="FF0000"/>
          <w:sz w:val="32"/>
          <w:szCs w:val="32"/>
          <w:lang w:val="en-US" w:eastAsia="zh-CN"/>
        </w:rPr>
      </w:pPr>
      <w:r>
        <w:rPr>
          <w:rFonts w:hint="eastAsia" w:ascii="Times New Roman" w:hAnsi="Times New Roman" w:eastAsia="黑体"/>
          <w:color w:val="auto"/>
          <w:sz w:val="32"/>
          <w:szCs w:val="32"/>
        </w:rPr>
        <w:t>（二）</w:t>
      </w:r>
      <w:r>
        <w:rPr>
          <w:rFonts w:ascii="Times New Roman" w:hAnsi="Times New Roman" w:eastAsia="黑体"/>
          <w:color w:val="auto"/>
          <w:sz w:val="32"/>
          <w:szCs w:val="32"/>
        </w:rPr>
        <w:t>政府性基金预算支出情况</w:t>
      </w:r>
      <w:r>
        <w:rPr>
          <w:rFonts w:hint="eastAsia" w:ascii="Times New Roman" w:hAnsi="Times New Roman" w:eastAsia="黑体"/>
          <w:color w:val="auto"/>
          <w:sz w:val="32"/>
          <w:szCs w:val="32"/>
          <w:lang w:eastAsia="zh-CN"/>
        </w:rPr>
        <w:t>：无</w:t>
      </w:r>
    </w:p>
    <w:p w14:paraId="4844B1DA">
      <w:pPr>
        <w:widowControl/>
        <w:spacing w:line="600" w:lineRule="exact"/>
        <w:ind w:firstLine="645"/>
        <w:jc w:val="left"/>
        <w:rPr>
          <w:rFonts w:eastAsia="黑体"/>
          <w:color w:val="auto"/>
          <w:sz w:val="32"/>
          <w:szCs w:val="32"/>
        </w:rPr>
      </w:pPr>
      <w:r>
        <w:rPr>
          <w:rFonts w:hint="eastAsia" w:eastAsia="黑体"/>
          <w:color w:val="auto"/>
          <w:sz w:val="32"/>
          <w:szCs w:val="32"/>
          <w:lang w:eastAsia="zh-CN"/>
        </w:rPr>
        <w:t>三</w:t>
      </w:r>
      <w:r>
        <w:rPr>
          <w:rFonts w:eastAsia="黑体"/>
          <w:color w:val="auto"/>
          <w:sz w:val="32"/>
          <w:szCs w:val="32"/>
        </w:rPr>
        <w:t>、部门整体支出绩效情况</w:t>
      </w:r>
    </w:p>
    <w:p w14:paraId="5B0B6C5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（一）项目经济性分析</w:t>
      </w:r>
    </w:p>
    <w:p w14:paraId="7E973C6A">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年度财政预算拨款收入</w:t>
      </w:r>
      <w:r>
        <w:rPr>
          <w:rFonts w:hint="eastAsia" w:ascii="仿宋" w:hAnsi="仿宋" w:eastAsia="仿宋" w:cs="仿宋"/>
          <w:sz w:val="30"/>
          <w:szCs w:val="30"/>
          <w:lang w:val="en-US" w:eastAsia="zh-CN"/>
        </w:rPr>
        <w:t>571.68</w:t>
      </w:r>
      <w:r>
        <w:rPr>
          <w:rFonts w:hint="eastAsia" w:ascii="仿宋" w:hAnsi="仿宋" w:eastAsia="仿宋" w:cs="仿宋"/>
          <w:sz w:val="30"/>
          <w:szCs w:val="30"/>
          <w:lang w:eastAsia="zh-CN"/>
        </w:rPr>
        <w:t xml:space="preserve">万元，预算支出     </w:t>
      </w:r>
      <w:r>
        <w:rPr>
          <w:rFonts w:hint="eastAsia" w:ascii="仿宋" w:hAnsi="仿宋" w:eastAsia="仿宋" w:cs="仿宋"/>
          <w:sz w:val="30"/>
          <w:szCs w:val="30"/>
          <w:lang w:val="en-US" w:eastAsia="zh-CN"/>
        </w:rPr>
        <w:t>571.68</w:t>
      </w:r>
      <w:r>
        <w:rPr>
          <w:rFonts w:hint="eastAsia" w:ascii="仿宋" w:hAnsi="仿宋" w:eastAsia="仿宋" w:cs="仿宋"/>
          <w:sz w:val="30"/>
          <w:szCs w:val="30"/>
          <w:lang w:eastAsia="zh-CN"/>
        </w:rPr>
        <w:t>万元。</w:t>
      </w:r>
    </w:p>
    <w:p w14:paraId="28685F3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2. 202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年度财政决算拨款收入</w:t>
      </w:r>
      <w:r>
        <w:rPr>
          <w:rFonts w:hint="eastAsia" w:ascii="仿宋_GB2312" w:hAnsi="Times New Roman" w:eastAsia="仿宋_GB2312" w:cs="Times New Roman"/>
          <w:color w:val="auto"/>
          <w:kern w:val="2"/>
          <w:sz w:val="30"/>
          <w:szCs w:val="24"/>
          <w:lang w:val="en-US" w:eastAsia="zh-CN" w:bidi="ar-SA"/>
        </w:rPr>
        <w:t>6392.59</w:t>
      </w:r>
      <w:r>
        <w:rPr>
          <w:rFonts w:hint="eastAsia" w:ascii="仿宋" w:hAnsi="仿宋" w:eastAsia="仿宋" w:cs="仿宋"/>
          <w:sz w:val="30"/>
          <w:szCs w:val="30"/>
          <w:lang w:eastAsia="zh-CN"/>
        </w:rPr>
        <w:t xml:space="preserve">万元，决算支出     </w:t>
      </w:r>
      <w:r>
        <w:rPr>
          <w:rFonts w:hint="eastAsia" w:ascii="仿宋_GB2312" w:hAnsi="Times New Roman" w:eastAsia="仿宋_GB2312" w:cs="Times New Roman"/>
          <w:color w:val="auto"/>
          <w:kern w:val="2"/>
          <w:sz w:val="30"/>
          <w:szCs w:val="24"/>
          <w:lang w:val="en-US" w:eastAsia="zh-CN" w:bidi="ar-SA"/>
        </w:rPr>
        <w:t>6392.59</w:t>
      </w:r>
      <w:r>
        <w:rPr>
          <w:rFonts w:hint="eastAsia" w:ascii="仿宋" w:hAnsi="仿宋" w:eastAsia="仿宋" w:cs="仿宋"/>
          <w:sz w:val="30"/>
          <w:szCs w:val="30"/>
          <w:lang w:eastAsia="zh-CN"/>
        </w:rPr>
        <w:t>万元。</w:t>
      </w:r>
    </w:p>
    <w:p w14:paraId="017CC782">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（二）效率性分析。</w:t>
      </w:r>
    </w:p>
    <w:p w14:paraId="4107ABB9">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年支出完成情况。应列支</w:t>
      </w:r>
      <w:r>
        <w:rPr>
          <w:rFonts w:hint="eastAsia" w:ascii="仿宋_GB2312" w:hAnsi="Times New Roman" w:eastAsia="仿宋_GB2312" w:cs="Times New Roman"/>
          <w:color w:val="auto"/>
          <w:kern w:val="2"/>
          <w:sz w:val="30"/>
          <w:szCs w:val="24"/>
          <w:lang w:val="en-US" w:eastAsia="zh-CN" w:bidi="ar-SA"/>
        </w:rPr>
        <w:t>6392.59</w:t>
      </w:r>
      <w:r>
        <w:rPr>
          <w:rFonts w:hint="eastAsia" w:ascii="仿宋" w:hAnsi="仿宋" w:eastAsia="仿宋" w:cs="仿宋"/>
          <w:sz w:val="30"/>
          <w:szCs w:val="30"/>
          <w:lang w:eastAsia="zh-CN"/>
        </w:rPr>
        <w:t>万元，实际列支</w:t>
      </w:r>
      <w:r>
        <w:rPr>
          <w:rFonts w:hint="eastAsia" w:ascii="仿宋_GB2312" w:hAnsi="Times New Roman" w:eastAsia="仿宋_GB2312" w:cs="Times New Roman"/>
          <w:color w:val="auto"/>
          <w:kern w:val="2"/>
          <w:sz w:val="30"/>
          <w:szCs w:val="24"/>
          <w:lang w:val="en-US" w:eastAsia="zh-CN" w:bidi="ar-SA"/>
        </w:rPr>
        <w:t>6392.59</w:t>
      </w:r>
      <w:r>
        <w:rPr>
          <w:rFonts w:hint="eastAsia" w:ascii="仿宋" w:hAnsi="仿宋" w:eastAsia="仿宋" w:cs="仿宋"/>
          <w:sz w:val="30"/>
          <w:szCs w:val="30"/>
          <w:lang w:eastAsia="zh-CN"/>
        </w:rPr>
        <w:t>万元，完成支出预算100％。其中：基本支出情况。应列支</w:t>
      </w:r>
      <w:r>
        <w:rPr>
          <w:rFonts w:hint="eastAsia" w:ascii="仿宋_GB2312" w:hAnsi="Times New Roman" w:eastAsia="仿宋_GB2312" w:cs="Times New Roman"/>
          <w:color w:val="auto"/>
          <w:kern w:val="2"/>
          <w:sz w:val="30"/>
          <w:szCs w:val="24"/>
          <w:lang w:val="en-US" w:eastAsia="zh-CN" w:bidi="ar-SA"/>
        </w:rPr>
        <w:t>527.43</w:t>
      </w:r>
      <w:r>
        <w:rPr>
          <w:rFonts w:hint="eastAsia" w:ascii="仿宋" w:hAnsi="仿宋" w:eastAsia="仿宋" w:cs="仿宋"/>
          <w:sz w:val="30"/>
          <w:szCs w:val="30"/>
          <w:lang w:eastAsia="zh-CN"/>
        </w:rPr>
        <w:t>万元，实际列支</w:t>
      </w:r>
      <w:r>
        <w:rPr>
          <w:rFonts w:hint="eastAsia" w:ascii="仿宋_GB2312" w:hAnsi="Times New Roman" w:eastAsia="仿宋_GB2312" w:cs="Times New Roman"/>
          <w:color w:val="auto"/>
          <w:kern w:val="2"/>
          <w:sz w:val="30"/>
          <w:szCs w:val="24"/>
          <w:lang w:val="en-US" w:eastAsia="zh-CN" w:bidi="ar-SA"/>
        </w:rPr>
        <w:t>527.43</w:t>
      </w:r>
      <w:r>
        <w:rPr>
          <w:rFonts w:hint="eastAsia" w:ascii="仿宋" w:hAnsi="仿宋" w:eastAsia="仿宋" w:cs="仿宋"/>
          <w:sz w:val="30"/>
          <w:szCs w:val="30"/>
          <w:lang w:eastAsia="zh-CN"/>
        </w:rPr>
        <w:t>万元。预算完成100％。具体情况如下，一是工资福利支出</w:t>
      </w:r>
      <w:r>
        <w:rPr>
          <w:rFonts w:hint="eastAsia" w:ascii="仿宋_GB2312" w:hAnsi="仿宋_GB2312" w:eastAsia="仿宋_GB2312" w:cs="仿宋_GB2312"/>
          <w:color w:val="auto"/>
          <w:sz w:val="32"/>
          <w:szCs w:val="32"/>
          <w:lang w:val="en-US" w:eastAsia="zh-CN"/>
        </w:rPr>
        <w:t>473.74</w:t>
      </w:r>
      <w:r>
        <w:rPr>
          <w:rFonts w:hint="eastAsia" w:ascii="仿宋" w:hAnsi="仿宋" w:eastAsia="仿宋" w:cs="仿宋"/>
          <w:sz w:val="30"/>
          <w:szCs w:val="30"/>
          <w:lang w:eastAsia="zh-CN"/>
        </w:rPr>
        <w:t>万元，二是商品和服务支出</w:t>
      </w:r>
      <w:r>
        <w:rPr>
          <w:rFonts w:hint="eastAsia" w:ascii="仿宋_GB2312" w:hAnsi="仿宋_GB2312" w:eastAsia="仿宋_GB2312" w:cs="仿宋_GB2312"/>
          <w:color w:val="auto"/>
          <w:sz w:val="32"/>
          <w:szCs w:val="32"/>
          <w:lang w:val="en-US" w:eastAsia="zh-CN"/>
        </w:rPr>
        <w:t>52.86</w:t>
      </w:r>
      <w:r>
        <w:rPr>
          <w:rFonts w:hint="eastAsia" w:ascii="仿宋" w:hAnsi="仿宋" w:eastAsia="仿宋" w:cs="仿宋"/>
          <w:sz w:val="30"/>
          <w:szCs w:val="30"/>
          <w:lang w:eastAsia="zh-CN"/>
        </w:rPr>
        <w:t>万元，三是对个人和家庭的补助支出</w:t>
      </w:r>
      <w:r>
        <w:rPr>
          <w:rFonts w:hint="eastAsia" w:ascii="仿宋" w:hAnsi="仿宋" w:eastAsia="仿宋" w:cs="仿宋"/>
          <w:sz w:val="30"/>
          <w:szCs w:val="30"/>
          <w:lang w:val="en-US" w:eastAsia="zh-CN"/>
        </w:rPr>
        <w:t>0.88</w:t>
      </w:r>
      <w:r>
        <w:rPr>
          <w:rFonts w:hint="eastAsia" w:ascii="仿宋" w:hAnsi="仿宋" w:eastAsia="仿宋" w:cs="仿宋"/>
          <w:sz w:val="30"/>
          <w:szCs w:val="30"/>
          <w:lang w:eastAsia="zh-CN"/>
        </w:rPr>
        <w:t>万元。</w:t>
      </w:r>
    </w:p>
    <w:p w14:paraId="0D10BBBE">
      <w:pPr>
        <w:numPr>
          <w:ilvl w:val="0"/>
          <w:numId w:val="2"/>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目标完成情况分析。（1）、人员编制控制情况。人员编制</w:t>
      </w:r>
      <w:r>
        <w:rPr>
          <w:rFonts w:hint="eastAsia" w:ascii="仿宋" w:hAnsi="仿宋" w:eastAsia="仿宋" w:cs="仿宋"/>
          <w:sz w:val="30"/>
          <w:szCs w:val="30"/>
          <w:lang w:val="en-US" w:eastAsia="zh-CN"/>
        </w:rPr>
        <w:t>44</w:t>
      </w:r>
      <w:r>
        <w:rPr>
          <w:rFonts w:hint="eastAsia" w:ascii="仿宋" w:hAnsi="仿宋" w:eastAsia="仿宋" w:cs="仿宋"/>
          <w:sz w:val="30"/>
          <w:szCs w:val="30"/>
          <w:lang w:eastAsia="zh-CN"/>
        </w:rPr>
        <w:t>人，实际干部职工</w:t>
      </w:r>
      <w:r>
        <w:rPr>
          <w:rFonts w:hint="eastAsia" w:ascii="仿宋" w:hAnsi="仿宋" w:eastAsia="仿宋" w:cs="仿宋"/>
          <w:sz w:val="30"/>
          <w:szCs w:val="30"/>
          <w:lang w:val="en-US" w:eastAsia="zh-CN"/>
        </w:rPr>
        <w:t>44</w:t>
      </w:r>
      <w:r>
        <w:rPr>
          <w:rFonts w:hint="eastAsia" w:ascii="仿宋" w:hAnsi="仿宋" w:eastAsia="仿宋" w:cs="仿宋"/>
          <w:sz w:val="30"/>
          <w:szCs w:val="30"/>
          <w:lang w:eastAsia="zh-CN"/>
        </w:rPr>
        <w:t>人，其中在职人员</w:t>
      </w:r>
      <w:r>
        <w:rPr>
          <w:rFonts w:hint="eastAsia" w:ascii="仿宋" w:hAnsi="仿宋" w:eastAsia="仿宋" w:cs="仿宋"/>
          <w:sz w:val="30"/>
          <w:szCs w:val="30"/>
          <w:lang w:val="en-US" w:eastAsia="zh-CN"/>
        </w:rPr>
        <w:t>37</w:t>
      </w:r>
      <w:r>
        <w:rPr>
          <w:rFonts w:hint="eastAsia" w:ascii="仿宋" w:hAnsi="仿宋" w:eastAsia="仿宋" w:cs="仿宋"/>
          <w:sz w:val="30"/>
          <w:szCs w:val="30"/>
          <w:lang w:eastAsia="zh-CN"/>
        </w:rPr>
        <w:t>人、编制控制率</w:t>
      </w:r>
      <w:r>
        <w:rPr>
          <w:rFonts w:hint="eastAsia" w:ascii="仿宋" w:hAnsi="仿宋" w:eastAsia="仿宋" w:cs="仿宋"/>
          <w:sz w:val="30"/>
          <w:szCs w:val="30"/>
          <w:lang w:val="en-US" w:eastAsia="zh-CN"/>
        </w:rPr>
        <w:t>84.09</w:t>
      </w:r>
      <w:r>
        <w:rPr>
          <w:rFonts w:hint="eastAsia" w:ascii="仿宋" w:hAnsi="仿宋" w:eastAsia="仿宋" w:cs="仿宋"/>
          <w:sz w:val="30"/>
          <w:szCs w:val="30"/>
          <w:lang w:eastAsia="zh-CN"/>
        </w:rPr>
        <w:t>％。（2）202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“三公经费”总额</w:t>
      </w:r>
      <w:r>
        <w:rPr>
          <w:rFonts w:hint="eastAsia" w:ascii="仿宋" w:hAnsi="仿宋" w:eastAsia="仿宋" w:cs="仿宋"/>
          <w:sz w:val="30"/>
          <w:szCs w:val="30"/>
          <w:lang w:val="en-US" w:eastAsia="zh-CN"/>
        </w:rPr>
        <w:t>2.13</w:t>
      </w:r>
      <w:r>
        <w:rPr>
          <w:rFonts w:hint="eastAsia" w:ascii="仿宋" w:hAnsi="仿宋" w:eastAsia="仿宋" w:cs="仿宋"/>
          <w:sz w:val="30"/>
          <w:szCs w:val="30"/>
          <w:lang w:eastAsia="zh-CN"/>
        </w:rPr>
        <w:t>万元（含公务接待</w:t>
      </w:r>
      <w:r>
        <w:rPr>
          <w:rFonts w:hint="eastAsia" w:ascii="仿宋" w:hAnsi="仿宋" w:eastAsia="仿宋" w:cs="仿宋"/>
          <w:sz w:val="30"/>
          <w:szCs w:val="30"/>
          <w:lang w:val="en-US" w:eastAsia="zh-CN"/>
        </w:rPr>
        <w:t>2.13</w:t>
      </w:r>
      <w:r>
        <w:rPr>
          <w:rFonts w:hint="eastAsia" w:ascii="仿宋" w:hAnsi="仿宋" w:eastAsia="仿宋" w:cs="仿宋"/>
          <w:sz w:val="30"/>
          <w:szCs w:val="30"/>
          <w:lang w:eastAsia="zh-CN"/>
        </w:rPr>
        <w:t>万元，公车运行维护费</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万元、因公出国境费用0万元）。</w:t>
      </w:r>
    </w:p>
    <w:p w14:paraId="59E4A06F">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3、完成项目收支会计信息质量情况。</w:t>
      </w:r>
    </w:p>
    <w:p w14:paraId="26AC98BC">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根据津市市审计局审计决定和我们现场检查情况，财务报表已经按照《会计法》和《事业单位会计准则》的规定编制，在所有重大方面公允反映该单位在202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年12月31日的财务状况及202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年度项目收支结果。</w:t>
      </w:r>
    </w:p>
    <w:p w14:paraId="6F32D4C8">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（三）、取得收益</w:t>
      </w:r>
    </w:p>
    <w:p w14:paraId="091F5223">
      <w:pPr>
        <w:ind w:firstLine="600" w:firstLineChars="200"/>
        <w:rPr>
          <w:rFonts w:eastAsia="仿宋_GB2312"/>
          <w:color w:val="FF0000"/>
          <w:sz w:val="32"/>
          <w:szCs w:val="32"/>
        </w:rPr>
      </w:pPr>
      <w:r>
        <w:rPr>
          <w:rFonts w:hint="eastAsia" w:ascii="仿宋" w:hAnsi="仿宋" w:eastAsia="仿宋" w:cs="仿宋"/>
          <w:sz w:val="30"/>
          <w:szCs w:val="30"/>
          <w:lang w:val="en-US" w:eastAsia="zh-CN"/>
        </w:rPr>
        <w:t>2024年本单位协助市委市政府促进本市经济得到稳步发展，城乡居民收入得到提高，生活质量明显提高，居民生活环境明显改善，对社会发展产生可持续影响，受到社会公众和主管部门的高度满意。</w:t>
      </w:r>
    </w:p>
    <w:p w14:paraId="1930BAC8">
      <w:pPr>
        <w:pStyle w:val="6"/>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17E05DC">
      <w:pPr>
        <w:widowControl/>
        <w:spacing w:line="60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基本支出经费保障水平偏低。预算执行基本围绕保人员经费、保障正常运转进行，基本保障面临巨大的压力，同时后期项目上的资金显著增加，给本单位经济情况造成一定负担。</w:t>
      </w:r>
    </w:p>
    <w:p w14:paraId="49C4E73E">
      <w:pPr>
        <w:widowControl/>
        <w:numPr>
          <w:ilvl w:val="0"/>
          <w:numId w:val="3"/>
        </w:numPr>
        <w:spacing w:line="600" w:lineRule="exact"/>
        <w:ind w:firstLine="640" w:firstLineChars="200"/>
        <w:jc w:val="left"/>
        <w:rPr>
          <w:rFonts w:eastAsia="黑体"/>
          <w:sz w:val="32"/>
          <w:szCs w:val="32"/>
        </w:rPr>
      </w:pPr>
      <w:r>
        <w:rPr>
          <w:rFonts w:eastAsia="黑体"/>
          <w:sz w:val="32"/>
          <w:szCs w:val="32"/>
        </w:rPr>
        <w:t>下一步改进措施</w:t>
      </w:r>
    </w:p>
    <w:p w14:paraId="267B6CEF">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1. 强化预算管理。要严格执行收支预算计划，特别是年初细化预算要结合计划安排，支出不能突破预算底线，确保收支平衡。 </w:t>
      </w:r>
    </w:p>
    <w:p w14:paraId="3BDDDA63">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严格经费使用。要厉行勤俭节约,贯彻落实中央八项规定精神,严禁使用公用经费安排与公务无关的参观考察活动。要加强经费使用监管,完善项目预决算,严格经费报销,确保专款专用和项目实施。加强“三公”经费管理。特别要加强办公费、交通费、其他商品服务支出、工会经费节约的管理，压缩不合理支出。坚持“三公经费”只减不增的原则。</w:t>
      </w:r>
    </w:p>
    <w:p w14:paraId="233979C5">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3、加强对项目的规范管理，按规定办理相关手续。</w:t>
      </w:r>
    </w:p>
    <w:p w14:paraId="204C84DA">
      <w:pPr>
        <w:widowControl/>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六、部门整体支出绩效自评结果拟应用和公开情况</w:t>
      </w:r>
    </w:p>
    <w:p w14:paraId="16BF7438">
      <w:pPr>
        <w:widowControl/>
        <w:spacing w:line="600" w:lineRule="exact"/>
        <w:ind w:firstLine="600" w:firstLineChars="200"/>
        <w:jc w:val="left"/>
        <w:rPr>
          <w:rFonts w:hint="eastAsia" w:eastAsia="黑体"/>
          <w:sz w:val="32"/>
          <w:szCs w:val="32"/>
          <w:lang w:eastAsia="zh-CN"/>
        </w:rPr>
      </w:pPr>
      <w:r>
        <w:rPr>
          <w:rFonts w:hint="eastAsia" w:ascii="仿宋" w:hAnsi="仿宋" w:eastAsia="仿宋" w:cs="仿宋"/>
          <w:sz w:val="30"/>
          <w:szCs w:val="30"/>
          <w:lang w:eastAsia="zh-CN"/>
        </w:rPr>
        <w:t>部门整体支出绩效自评结果按财政要求进行公开，对下年预算编制及绩效评价工作奠定了良好的基础。</w:t>
      </w:r>
    </w:p>
    <w:p w14:paraId="6284E8B7">
      <w:pPr>
        <w:widowControl/>
        <w:numPr>
          <w:numId w:val="0"/>
        </w:numPr>
        <w:spacing w:line="600" w:lineRule="exact"/>
        <w:ind w:firstLine="640" w:firstLineChars="200"/>
        <w:jc w:val="left"/>
        <w:rPr>
          <w:rFonts w:eastAsia="黑体"/>
          <w:sz w:val="32"/>
          <w:szCs w:val="32"/>
        </w:rPr>
      </w:pPr>
      <w:r>
        <w:rPr>
          <w:rFonts w:hint="eastAsia" w:eastAsia="黑体"/>
          <w:sz w:val="32"/>
          <w:szCs w:val="32"/>
          <w:lang w:eastAsia="zh-CN"/>
        </w:rPr>
        <w:t>七、</w:t>
      </w:r>
      <w:r>
        <w:rPr>
          <w:rFonts w:eastAsia="黑体"/>
          <w:sz w:val="32"/>
          <w:szCs w:val="32"/>
        </w:rPr>
        <w:t>其他需要说明的情况</w:t>
      </w:r>
    </w:p>
    <w:p w14:paraId="08EFE138">
      <w:pPr>
        <w:widowControl/>
        <w:spacing w:line="60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46239175">
      <w:pPr>
        <w:widowControl/>
        <w:spacing w:line="600" w:lineRule="exact"/>
        <w:ind w:firstLine="600" w:firstLineChars="200"/>
        <w:jc w:val="left"/>
        <w:rPr>
          <w:rFonts w:hint="eastAsia" w:ascii="仿宋" w:hAnsi="仿宋" w:eastAsia="仿宋" w:cs="仿宋"/>
          <w:sz w:val="30"/>
          <w:szCs w:val="30"/>
          <w:lang w:eastAsia="zh-CN"/>
        </w:rPr>
      </w:pPr>
    </w:p>
    <w:p w14:paraId="56FF7C7E">
      <w:pPr>
        <w:widowControl/>
        <w:spacing w:line="600" w:lineRule="exact"/>
        <w:jc w:val="left"/>
        <w:rPr>
          <w:rFonts w:hint="eastAsia" w:ascii="仿宋" w:hAnsi="仿宋" w:eastAsia="仿宋" w:cs="仿宋"/>
          <w:sz w:val="30"/>
          <w:szCs w:val="30"/>
          <w:lang w:eastAsia="zh-CN"/>
        </w:rPr>
      </w:pPr>
    </w:p>
    <w:p w14:paraId="3FCA60E2">
      <w:pPr>
        <w:widowControl/>
        <w:spacing w:line="600" w:lineRule="exact"/>
        <w:ind w:firstLine="4800" w:firstLineChars="1500"/>
        <w:jc w:val="both"/>
        <w:rPr>
          <w:rFonts w:hint="eastAsia" w:eastAsia="仿宋_GB2312"/>
          <w:sz w:val="32"/>
          <w:szCs w:val="32"/>
          <w:lang w:val="en-US" w:eastAsia="zh-CN"/>
        </w:rPr>
      </w:pPr>
      <w:r>
        <w:rPr>
          <w:rFonts w:hint="eastAsia" w:eastAsia="仿宋_GB2312"/>
          <w:sz w:val="32"/>
          <w:szCs w:val="32"/>
          <w:lang w:val="en-US" w:eastAsia="zh-CN"/>
        </w:rPr>
        <w:t>2025年6月25日</w:t>
      </w:r>
    </w:p>
    <w:p w14:paraId="37D9DDBD">
      <w:pPr>
        <w:widowControl/>
        <w:spacing w:line="600" w:lineRule="exact"/>
        <w:ind w:firstLine="4800" w:firstLineChars="1500"/>
        <w:jc w:val="both"/>
        <w:rPr>
          <w:rFonts w:hint="eastAsia" w:eastAsia="仿宋_GB2312"/>
          <w:sz w:val="32"/>
          <w:szCs w:val="32"/>
          <w:lang w:val="en-US" w:eastAsia="zh-CN"/>
        </w:rPr>
      </w:pPr>
    </w:p>
    <w:p w14:paraId="5D17CEFC">
      <w:pPr>
        <w:widowControl/>
        <w:spacing w:line="600" w:lineRule="exact"/>
        <w:ind w:firstLine="4800" w:firstLineChars="1500"/>
        <w:jc w:val="both"/>
        <w:rPr>
          <w:rFonts w:hint="eastAsia" w:eastAsia="仿宋_GB2312"/>
          <w:sz w:val="32"/>
          <w:szCs w:val="32"/>
          <w:lang w:val="en-US" w:eastAsia="zh-CN"/>
        </w:rPr>
      </w:pPr>
    </w:p>
    <w:p w14:paraId="0B2DDF3B">
      <w:pPr>
        <w:widowControl/>
        <w:spacing w:line="600" w:lineRule="exact"/>
        <w:ind w:firstLine="4800" w:firstLineChars="1500"/>
        <w:jc w:val="both"/>
        <w:rPr>
          <w:rFonts w:hint="eastAsia" w:eastAsia="仿宋_GB2312"/>
          <w:sz w:val="32"/>
          <w:szCs w:val="32"/>
          <w:lang w:val="en-US" w:eastAsia="zh-CN"/>
        </w:rPr>
      </w:pPr>
      <w:bookmarkStart w:id="0" w:name="_GoBack"/>
      <w:bookmarkEnd w:id="0"/>
    </w:p>
    <w:p w14:paraId="2E6C6607">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451566D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48621FB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477E9607">
      <w:pPr>
        <w:widowControl/>
        <w:spacing w:line="60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3.项目支出绩效自评表（一个项目支出一张表）</w:t>
      </w:r>
    </w:p>
    <w:p w14:paraId="627EF879">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17F23"/>
    <w:multiLevelType w:val="singleLevel"/>
    <w:tmpl w:val="B6817F23"/>
    <w:lvl w:ilvl="0" w:tentative="0">
      <w:start w:val="5"/>
      <w:numFmt w:val="chineseCounting"/>
      <w:suff w:val="nothing"/>
      <w:lvlText w:val="%1、"/>
      <w:lvlJc w:val="left"/>
      <w:rPr>
        <w:rFonts w:hint="eastAsia"/>
      </w:rPr>
    </w:lvl>
  </w:abstractNum>
  <w:abstractNum w:abstractNumId="1">
    <w:nsid w:val="E6CE32EC"/>
    <w:multiLevelType w:val="singleLevel"/>
    <w:tmpl w:val="E6CE32EC"/>
    <w:lvl w:ilvl="0" w:tentative="0">
      <w:start w:val="2"/>
      <w:numFmt w:val="decimal"/>
      <w:suff w:val="nothing"/>
      <w:lvlText w:val="%1、"/>
      <w:lvlJc w:val="left"/>
    </w:lvl>
  </w:abstractNum>
  <w:abstractNum w:abstractNumId="2">
    <w:nsid w:val="2579E41F"/>
    <w:multiLevelType w:val="singleLevel"/>
    <w:tmpl w:val="2579E41F"/>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85401F"/>
    <w:rsid w:val="16B81BD0"/>
    <w:rsid w:val="38F70F1D"/>
    <w:rsid w:val="5CFA13CD"/>
    <w:rsid w:val="6E2D3DC6"/>
    <w:rsid w:val="7C2F3E9A"/>
    <w:rsid w:val="7F05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602</Words>
  <Characters>637</Characters>
  <Lines>0</Lines>
  <Paragraphs>0</Paragraphs>
  <TotalTime>7</TotalTime>
  <ScaleCrop>false</ScaleCrop>
  <LinksUpToDate>false</LinksUpToDate>
  <CharactersWithSpaces>647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小烦恼～</cp:lastModifiedBy>
  <dcterms:modified xsi:type="dcterms:W3CDTF">2025-06-24T08:52:19Z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3E50F5A3659F40C69A158502AC92D306</vt:lpwstr>
  </property>
  <property fmtid="{D5CDD505-2E9C-101B-9397-08002B2CF9AE}" pid="4" name="KSOTemplateDocerSaveRecord">
    <vt:lpwstr>eyJoZGlkIjoiYTlmYjk5MDg5M2JiOThmNDc5ZGE2NmM5Mzg4NTk1OTAiLCJ1c2VySWQiOiI1ODUxMjM2ODMifQ==</vt:lpwstr>
  </property>
</Properties>
</file>