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DDBBB">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14:paraId="589A3FA5">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14:paraId="317D530D">
      <w:pPr>
        <w:jc w:val="center"/>
        <w:rPr>
          <w:rFonts w:hint="eastAsia" w:ascii="黑体" w:hAnsi="黑体" w:eastAsia="黑体" w:cs="黑体"/>
          <w:sz w:val="48"/>
          <w:szCs w:val="48"/>
          <w:lang w:val="en-US" w:eastAsia="zh-CN"/>
        </w:rPr>
      </w:pPr>
    </w:p>
    <w:p w14:paraId="38F81F83">
      <w:pPr>
        <w:jc w:val="center"/>
        <w:rPr>
          <w:rFonts w:hint="eastAsia" w:ascii="黑体" w:hAnsi="黑体" w:eastAsia="黑体" w:cs="黑体"/>
          <w:sz w:val="48"/>
          <w:szCs w:val="48"/>
          <w:lang w:val="en-US" w:eastAsia="zh-CN"/>
        </w:rPr>
      </w:pPr>
    </w:p>
    <w:p w14:paraId="4FDB6EA6">
      <w:pPr>
        <w:jc w:val="center"/>
        <w:rPr>
          <w:rFonts w:hint="eastAsia" w:ascii="黑体" w:hAnsi="黑体" w:eastAsia="黑体" w:cs="黑体"/>
          <w:sz w:val="48"/>
          <w:szCs w:val="48"/>
          <w:lang w:val="en-US" w:eastAsia="zh-CN"/>
        </w:rPr>
      </w:pPr>
    </w:p>
    <w:p w14:paraId="08EAAB10">
      <w:pPr>
        <w:jc w:val="center"/>
        <w:rPr>
          <w:rFonts w:hint="eastAsia" w:ascii="黑体" w:hAnsi="黑体" w:eastAsia="黑体" w:cs="黑体"/>
          <w:sz w:val="48"/>
          <w:szCs w:val="48"/>
          <w:lang w:val="en-US" w:eastAsia="zh-CN"/>
        </w:rPr>
      </w:pPr>
    </w:p>
    <w:p w14:paraId="65167CA9">
      <w:pPr>
        <w:jc w:val="both"/>
        <w:rPr>
          <w:rFonts w:hint="eastAsia" w:ascii="黑体" w:hAnsi="黑体" w:eastAsia="黑体" w:cs="黑体"/>
          <w:sz w:val="48"/>
          <w:szCs w:val="48"/>
          <w:lang w:val="en-US" w:eastAsia="zh-CN"/>
        </w:rPr>
      </w:pPr>
    </w:p>
    <w:p w14:paraId="0D025141">
      <w:pPr>
        <w:jc w:val="center"/>
        <w:rPr>
          <w:rFonts w:hint="eastAsia" w:ascii="黑体" w:hAnsi="黑体" w:eastAsia="黑体" w:cs="黑体"/>
          <w:sz w:val="48"/>
          <w:szCs w:val="48"/>
          <w:lang w:val="en-US" w:eastAsia="zh-CN"/>
        </w:rPr>
      </w:pPr>
    </w:p>
    <w:p w14:paraId="2E6B94B6">
      <w:pPr>
        <w:jc w:val="center"/>
        <w:rPr>
          <w:rFonts w:hint="eastAsia" w:ascii="黑体" w:hAnsi="黑体" w:eastAsia="黑体" w:cs="黑体"/>
          <w:sz w:val="48"/>
          <w:szCs w:val="48"/>
          <w:lang w:val="en-US" w:eastAsia="zh-CN"/>
        </w:rPr>
      </w:pPr>
    </w:p>
    <w:p w14:paraId="32D2FB59">
      <w:pPr>
        <w:jc w:val="center"/>
        <w:rPr>
          <w:rFonts w:hint="eastAsia" w:ascii="黑体" w:hAnsi="黑体" w:eastAsia="黑体" w:cs="黑体"/>
          <w:sz w:val="48"/>
          <w:szCs w:val="48"/>
          <w:lang w:val="en-US" w:eastAsia="zh-CN"/>
        </w:rPr>
      </w:pPr>
    </w:p>
    <w:p w14:paraId="4FFBCE2A">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w:t>
      </w:r>
    </w:p>
    <w:p w14:paraId="0E41450D">
      <w:pPr>
        <w:ind w:firstLine="1080" w:firstLineChars="300"/>
        <w:jc w:val="left"/>
        <w:rPr>
          <w:rFonts w:hint="eastAsia" w:ascii="宋体" w:hAnsi="宋体" w:eastAsia="宋体" w:cs="宋体"/>
          <w:sz w:val="36"/>
          <w:szCs w:val="36"/>
          <w:lang w:val="en-US" w:eastAsia="zh-CN"/>
        </w:rPr>
      </w:pPr>
    </w:p>
    <w:p w14:paraId="494A7870">
      <w:pPr>
        <w:jc w:val="left"/>
        <w:rPr>
          <w:rFonts w:hint="eastAsia" w:ascii="宋体" w:hAnsi="宋体" w:eastAsia="宋体" w:cs="宋体"/>
          <w:sz w:val="36"/>
          <w:szCs w:val="36"/>
          <w:lang w:val="en-US" w:eastAsia="zh-CN"/>
        </w:rPr>
      </w:pPr>
    </w:p>
    <w:p w14:paraId="1BF08DD7">
      <w:pPr>
        <w:ind w:firstLine="1080" w:firstLineChars="300"/>
        <w:jc w:val="left"/>
        <w:rPr>
          <w:rFonts w:hint="eastAsia" w:ascii="宋体" w:hAnsi="宋体" w:eastAsia="宋体" w:cs="宋体"/>
          <w:sz w:val="36"/>
          <w:szCs w:val="36"/>
          <w:lang w:val="en-US" w:eastAsia="zh-CN"/>
        </w:rPr>
      </w:pPr>
    </w:p>
    <w:p w14:paraId="192EB630">
      <w:pPr>
        <w:ind w:firstLine="3240" w:firstLineChars="900"/>
        <w:jc w:val="both"/>
        <w:rPr>
          <w:rFonts w:hint="eastAsia" w:ascii="宋体" w:hAnsi="宋体" w:eastAsia="宋体" w:cs="宋体"/>
          <w:sz w:val="36"/>
          <w:szCs w:val="36"/>
          <w:lang w:val="en-US" w:eastAsia="zh-CN"/>
        </w:rPr>
      </w:pPr>
    </w:p>
    <w:p w14:paraId="6E8EA8F0">
      <w:pPr>
        <w:ind w:firstLine="3240" w:firstLineChars="900"/>
        <w:jc w:val="both"/>
        <w:rPr>
          <w:rFonts w:hint="eastAsia" w:ascii="宋体" w:hAnsi="宋体" w:eastAsia="宋体" w:cs="宋体"/>
          <w:sz w:val="36"/>
          <w:szCs w:val="36"/>
          <w:lang w:val="en-US" w:eastAsia="zh-CN"/>
        </w:rPr>
      </w:pPr>
    </w:p>
    <w:p w14:paraId="000143B4">
      <w:pPr>
        <w:spacing w:line="600" w:lineRule="exact"/>
        <w:jc w:val="both"/>
        <w:rPr>
          <w:rFonts w:hint="eastAsia" w:eastAsia="方正小标宋_GBK"/>
          <w:sz w:val="36"/>
          <w:szCs w:val="36"/>
          <w:lang w:val="en-US" w:eastAsia="zh-CN"/>
        </w:rPr>
      </w:pPr>
    </w:p>
    <w:p w14:paraId="42DB71E1">
      <w:pPr>
        <w:spacing w:line="600" w:lineRule="exact"/>
        <w:jc w:val="center"/>
        <w:rPr>
          <w:rFonts w:eastAsia="方正小标宋_GBK"/>
          <w:sz w:val="36"/>
          <w:szCs w:val="36"/>
        </w:rPr>
      </w:pPr>
      <w:r>
        <w:rPr>
          <w:rFonts w:hint="eastAsia" w:eastAsia="方正小标宋_GBK"/>
          <w:sz w:val="36"/>
          <w:szCs w:val="36"/>
          <w:lang w:val="en-US" w:eastAsia="zh-CN"/>
        </w:rPr>
        <w:t>津市高新区管委会2024年度</w:t>
      </w:r>
      <w:r>
        <w:rPr>
          <w:rFonts w:eastAsia="方正小标宋_GBK"/>
          <w:sz w:val="36"/>
          <w:szCs w:val="36"/>
        </w:rPr>
        <w:t>部门整体支出</w:t>
      </w:r>
    </w:p>
    <w:p w14:paraId="1DA9E825">
      <w:pPr>
        <w:spacing w:line="600" w:lineRule="exact"/>
        <w:jc w:val="center"/>
        <w:rPr>
          <w:rFonts w:eastAsia="黑体"/>
          <w:sz w:val="32"/>
          <w:szCs w:val="32"/>
        </w:rPr>
      </w:pPr>
      <w:r>
        <w:rPr>
          <w:rFonts w:eastAsia="方正小标宋_GBK"/>
          <w:sz w:val="36"/>
          <w:szCs w:val="36"/>
        </w:rPr>
        <w:t>绩效</w:t>
      </w:r>
      <w:r>
        <w:rPr>
          <w:rFonts w:hint="eastAsia" w:eastAsia="方正小标宋_GBK"/>
          <w:sz w:val="36"/>
          <w:szCs w:val="36"/>
          <w:lang w:eastAsia="zh-CN"/>
        </w:rPr>
        <w:t>自评</w:t>
      </w:r>
      <w:r>
        <w:rPr>
          <w:rFonts w:eastAsia="方正小标宋_GBK"/>
          <w:sz w:val="36"/>
          <w:szCs w:val="36"/>
        </w:rPr>
        <w:t>报告</w:t>
      </w:r>
    </w:p>
    <w:p w14:paraId="09FFD467">
      <w:pPr>
        <w:pStyle w:val="7"/>
        <w:keepNext w:val="0"/>
        <w:keepLines w:val="0"/>
        <w:pageBreakBefore w:val="0"/>
        <w:widowControl/>
        <w:kinsoku/>
        <w:wordWrap/>
        <w:overflowPunct/>
        <w:topLinePunct w:val="0"/>
        <w:bidi w:val="0"/>
        <w:adjustRightInd/>
        <w:snapToGrid/>
        <w:spacing w:line="580" w:lineRule="exact"/>
        <w:textAlignment w:val="auto"/>
        <w:rPr>
          <w:rFonts w:hint="eastAsia" w:ascii="Times New Roman" w:hAnsi="Times New Roman" w:eastAsia="黑体"/>
          <w:sz w:val="32"/>
          <w:szCs w:val="32"/>
        </w:rPr>
      </w:pPr>
    </w:p>
    <w:p w14:paraId="20A582FB">
      <w:pPr>
        <w:pStyle w:val="7"/>
        <w:keepNext w:val="0"/>
        <w:keepLines w:val="0"/>
        <w:pageBreakBefore w:val="0"/>
        <w:widowControl/>
        <w:kinsoku/>
        <w:wordWrap/>
        <w:overflowPunct/>
        <w:topLinePunct w:val="0"/>
        <w:bidi w:val="0"/>
        <w:adjustRightInd/>
        <w:snapToGrid/>
        <w:spacing w:line="580" w:lineRule="exact"/>
        <w:ind w:left="640" w:firstLine="0" w:firstLineChars="0"/>
        <w:textAlignment w:val="auto"/>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14:paraId="77C6D27E">
      <w:pPr>
        <w:keepNext w:val="0"/>
        <w:keepLines w:val="0"/>
        <w:pageBreakBefore w:val="0"/>
        <w:kinsoku/>
        <w:wordWrap/>
        <w:overflowPunct/>
        <w:topLinePunct w:val="0"/>
        <w:bidi w:val="0"/>
        <w:adjustRightInd/>
        <w:snapToGrid/>
        <w:spacing w:line="580" w:lineRule="exact"/>
        <w:ind w:firstLine="640" w:firstLineChars="200"/>
        <w:textAlignment w:val="auto"/>
        <w:rPr>
          <w:rFonts w:hint="eastAsia" w:ascii="Times New Roman" w:hAnsi="Times New Roman" w:eastAsia="楷体_GB2312" w:cstheme="minorBidi"/>
          <w:sz w:val="32"/>
          <w:szCs w:val="32"/>
          <w:lang w:eastAsia="zh-CN"/>
        </w:rPr>
      </w:pPr>
      <w:r>
        <w:rPr>
          <w:rFonts w:hint="eastAsia" w:eastAsia="楷体_GB2312" w:asciiTheme="minorHAnsi" w:hAnsiTheme="minorHAnsi" w:cstheme="minorBidi"/>
          <w:bCs/>
          <w:sz w:val="32"/>
          <w:szCs w:val="32"/>
        </w:rPr>
        <w:t>（一）</w:t>
      </w:r>
      <w:r>
        <w:rPr>
          <w:rFonts w:hint="eastAsia" w:eastAsia="楷体_GB2312" w:asciiTheme="minorHAnsi" w:hAnsiTheme="minorHAnsi" w:cstheme="minorBidi"/>
          <w:bCs/>
          <w:sz w:val="32"/>
          <w:szCs w:val="32"/>
          <w:lang w:eastAsia="zh-CN"/>
        </w:rPr>
        <w:t>单位</w:t>
      </w:r>
      <w:r>
        <w:rPr>
          <w:rFonts w:hint="eastAsia" w:eastAsia="楷体_GB2312" w:asciiTheme="minorHAnsi" w:hAnsiTheme="minorHAnsi" w:cstheme="minorBidi"/>
          <w:bCs/>
          <w:sz w:val="32"/>
          <w:szCs w:val="32"/>
        </w:rPr>
        <w:t>机构、人员</w:t>
      </w:r>
      <w:r>
        <w:rPr>
          <w:rFonts w:hint="eastAsia" w:eastAsia="楷体_GB2312" w:asciiTheme="minorHAnsi" w:hAnsiTheme="minorHAnsi" w:cstheme="minorBidi"/>
          <w:bCs/>
          <w:sz w:val="32"/>
          <w:szCs w:val="32"/>
          <w:lang w:eastAsia="zh-CN"/>
        </w:rPr>
        <w:t>情况</w:t>
      </w:r>
    </w:p>
    <w:p w14:paraId="29F231A4">
      <w:pPr>
        <w:pStyle w:val="7"/>
        <w:keepNext w:val="0"/>
        <w:keepLines w:val="0"/>
        <w:pageBreakBefore w:val="0"/>
        <w:widowControl/>
        <w:kinsoku/>
        <w:wordWrap/>
        <w:overflowPunct/>
        <w:topLinePunct w:val="0"/>
        <w:bidi w:val="0"/>
        <w:adjustRightInd/>
        <w:snapToGrid/>
        <w:spacing w:line="580" w:lineRule="exact"/>
        <w:ind w:left="64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津市高新区管委会为独立核算的行政单位，属一级预算</w:t>
      </w:r>
    </w:p>
    <w:p w14:paraId="6E4B5AF4">
      <w:pPr>
        <w:pStyle w:val="7"/>
        <w:keepNext w:val="0"/>
        <w:keepLines w:val="0"/>
        <w:pageBreakBefore w:val="0"/>
        <w:widowControl/>
        <w:kinsoku/>
        <w:wordWrap/>
        <w:overflowPunct/>
        <w:topLinePunct w:val="0"/>
        <w:bidi w:val="0"/>
        <w:adjustRightInd/>
        <w:snapToGrid/>
        <w:spacing w:line="580" w:lineRule="exact"/>
        <w:ind w:left="0" w:leftChars="0" w:firstLine="0" w:firstLineChars="0"/>
        <w:textAlignment w:val="auto"/>
        <w:rPr>
          <w:rFonts w:hint="default" w:ascii="楷体" w:hAnsi="楷体" w:eastAsia="楷体" w:cs="楷体"/>
          <w:sz w:val="32"/>
          <w:szCs w:val="32"/>
          <w:lang w:val="en-US"/>
        </w:rPr>
      </w:pPr>
      <w:r>
        <w:rPr>
          <w:rFonts w:hint="eastAsia" w:ascii="仿宋_GB2312" w:hAnsi="仿宋_GB2312" w:eastAsia="仿宋_GB2312" w:cs="仿宋_GB2312"/>
          <w:sz w:val="32"/>
          <w:szCs w:val="32"/>
          <w:lang w:val="en-US" w:eastAsia="zh-CN"/>
        </w:rPr>
        <w:t>单位,</w:t>
      </w:r>
      <w:r>
        <w:rPr>
          <w:rFonts w:hint="eastAsia" w:ascii="仿宋_GB2312" w:hAnsi="仿宋" w:eastAsia="仿宋_GB2312" w:cs="Times New Roman"/>
          <w:kern w:val="2"/>
          <w:sz w:val="32"/>
          <w:szCs w:val="32"/>
          <w:lang w:val="en-US" w:eastAsia="zh-CN" w:bidi="ar-SA"/>
        </w:rPr>
        <w:t>统一社会信用代码11430781MB02753976，单位负责人罗斌。</w:t>
      </w:r>
    </w:p>
    <w:p w14:paraId="6A713652">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Times New Roman" w:hAnsi="Times New Roman" w:eastAsia="黑体"/>
          <w:sz w:val="32"/>
          <w:szCs w:val="32"/>
        </w:rPr>
      </w:pPr>
      <w:r>
        <w:rPr>
          <w:rFonts w:hint="eastAsia" w:ascii="仿宋_GB2312" w:hAnsi="仿宋_GB2312" w:eastAsia="仿宋_GB2312" w:cs="仿宋_GB2312"/>
          <w:sz w:val="32"/>
          <w:szCs w:val="32"/>
          <w:lang w:val="en-US" w:eastAsia="zh-CN"/>
        </w:rPr>
        <w:t>根据编委核定，本单位下辖内设机构：办公室、组织工作局、产业发展局</w:t>
      </w:r>
      <w:r>
        <w:rPr>
          <w:rFonts w:ascii="仿宋" w:hAnsi="仿宋" w:eastAsia="仿宋" w:cs="仿宋"/>
          <w:color w:val="000000"/>
          <w:kern w:val="0"/>
          <w:sz w:val="31"/>
          <w:szCs w:val="31"/>
          <w:lang w:val="en-US" w:eastAsia="zh-CN" w:bidi="ar"/>
        </w:rPr>
        <w:t>（安全生产监管局）</w:t>
      </w:r>
      <w:r>
        <w:rPr>
          <w:rFonts w:hint="eastAsia" w:ascii="仿宋_GB2312" w:hAnsi="仿宋_GB2312" w:eastAsia="仿宋_GB2312" w:cs="仿宋_GB2312"/>
          <w:sz w:val="32"/>
          <w:szCs w:val="32"/>
          <w:lang w:val="en-US" w:eastAsia="zh-CN"/>
        </w:rPr>
        <w:t>、经济合作局、开发建设局、企业服务中心、投资促进与项目推进中心。</w:t>
      </w:r>
    </w:p>
    <w:p w14:paraId="789F2C7C">
      <w:pPr>
        <w:keepNext w:val="0"/>
        <w:keepLines w:val="0"/>
        <w:pageBreakBefore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bookmarkStart w:id="0" w:name="_Hlk44192558"/>
      <w:r>
        <w:rPr>
          <w:rFonts w:hint="eastAsia" w:ascii="仿宋_GB2312" w:hAnsi="仿宋_GB2312" w:eastAsia="仿宋_GB2312" w:cs="仿宋_GB2312"/>
          <w:sz w:val="32"/>
          <w:szCs w:val="32"/>
          <w:lang w:val="en-US" w:eastAsia="zh-CN"/>
        </w:rPr>
        <w:t>2024年人员编制数45人，其中行政编制35人、事业编制10人；实有在职人数40人，其中行政编制31人、事业编制9人</w:t>
      </w:r>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另有临聘人员4人。</w:t>
      </w:r>
    </w:p>
    <w:p w14:paraId="0B920797">
      <w:pPr>
        <w:keepNext w:val="0"/>
        <w:keepLines w:val="0"/>
        <w:pageBreakBefore w:val="0"/>
        <w:kinsoku/>
        <w:wordWrap/>
        <w:overflowPunct/>
        <w:topLinePunct w:val="0"/>
        <w:bidi w:val="0"/>
        <w:adjustRightInd/>
        <w:snapToGrid/>
        <w:spacing w:line="580" w:lineRule="exact"/>
        <w:ind w:firstLine="320" w:firstLineChars="100"/>
        <w:textAlignment w:val="auto"/>
        <w:rPr>
          <w:rFonts w:hint="eastAsia" w:eastAsia="楷体_GB2312"/>
          <w:bCs/>
          <w:sz w:val="32"/>
          <w:szCs w:val="32"/>
          <w:lang w:val="en-US" w:eastAsia="zh-CN"/>
        </w:rPr>
      </w:pPr>
      <w:r>
        <w:rPr>
          <w:rFonts w:hint="eastAsia" w:eastAsia="楷体_GB2312"/>
          <w:bCs/>
          <w:sz w:val="32"/>
          <w:szCs w:val="32"/>
          <w:lang w:val="en-US" w:eastAsia="zh-CN"/>
        </w:rPr>
        <w:t>（二）单位主要职责</w:t>
      </w:r>
    </w:p>
    <w:p w14:paraId="15E5765D">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1.负责贯彻执行党和国家关于开发区建设的方针政策、 法律法规和决策部署。</w:t>
      </w:r>
    </w:p>
    <w:p w14:paraId="14A41D22">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2.负责研究拟订和组织实施津市高新区重大发展战略、发展规划和工作计划。按照津市市国土空间总体规划和产业发展规划要求及 相关权限，负责统筹建设发展空间布局。</w:t>
      </w:r>
    </w:p>
    <w:p w14:paraId="21971FF4">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3.负责统筹津市高新区产业发展规划、产业布局、产业政策、项目准入标准等事项并组织实施。</w:t>
      </w:r>
    </w:p>
    <w:p w14:paraId="7C59E1C3">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4.负责津市高新区开放型经济工作，组织对外经济技术合作与交流。负责津市高新区基础设施、公用事业、重大项目等建设管理相关工作。</w:t>
      </w:r>
    </w:p>
    <w:p w14:paraId="31781791">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5.负责津市高新区优化营商环境工作，根据权限依法承担有关行政审批工作，履行行政审批服务职责。</w:t>
      </w:r>
    </w:p>
    <w:p w14:paraId="2D78A3ED">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负责构建津市高新区创新创业服务体系，协助企业做好人才引进和服务工作。负责津市高新区科技创新及高新技术产业管理和服务，开展有关科技创新和高新技术产业政策研究，构建技术创新服务体系。指导区内企业建立现代企业制度，推进高新技术产业化、国际化。 </w:t>
      </w:r>
    </w:p>
    <w:p w14:paraId="055F7B17">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7.负责津市高新区党的建设工作，统筹负责“两新组织” </w:t>
      </w:r>
    </w:p>
    <w:p w14:paraId="7B3BC625">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党建工作。 </w:t>
      </w:r>
    </w:p>
    <w:p w14:paraId="556BDA34">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8.根据有关职责分工，承担津市高新区综合管理、统计、 </w:t>
      </w:r>
    </w:p>
    <w:p w14:paraId="3B19CD0C">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内部审计、信息、安全生产监督管理、生态环境保护、财政收支管理及国有资产管理等工作。 </w:t>
      </w:r>
    </w:p>
    <w:p w14:paraId="340552D2">
      <w:pPr>
        <w:keepNext w:val="0"/>
        <w:keepLines w:val="0"/>
        <w:pageBreakBefore w:val="0"/>
        <w:widowControl/>
        <w:suppressLineNumbers w:val="0"/>
        <w:kinsoku/>
        <w:wordWrap/>
        <w:overflowPunct/>
        <w:topLinePunct w:val="0"/>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9.承办市</w:t>
      </w:r>
      <w:r>
        <w:rPr>
          <w:rFonts w:hint="default" w:ascii="Times New Roman" w:hAnsi="Times New Roman" w:eastAsia="仿宋_GB2312" w:cs="Times New Roman"/>
          <w:sz w:val="32"/>
          <w:szCs w:val="32"/>
          <w:lang w:val="en-US" w:eastAsia="zh-CN"/>
        </w:rPr>
        <w:t>委、市政府和津市市委、市政府交办的其他事项。</w:t>
      </w:r>
    </w:p>
    <w:p w14:paraId="05A6F6E3">
      <w:pPr>
        <w:keepNext w:val="0"/>
        <w:keepLines w:val="0"/>
        <w:pageBreakBefore w:val="0"/>
        <w:kinsoku/>
        <w:wordWrap/>
        <w:overflowPunct/>
        <w:topLinePunct w:val="0"/>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bCs/>
          <w:sz w:val="32"/>
          <w:szCs w:val="32"/>
        </w:rPr>
        <w:t>（</w:t>
      </w:r>
      <w:r>
        <w:rPr>
          <w:rFonts w:hint="default" w:ascii="Times New Roman" w:hAnsi="Times New Roman" w:eastAsia="楷体_GB2312" w:cs="Times New Roman"/>
          <w:bCs/>
          <w:sz w:val="32"/>
          <w:szCs w:val="32"/>
          <w:lang w:eastAsia="zh-CN"/>
        </w:rPr>
        <w:t>三</w:t>
      </w:r>
      <w:r>
        <w:rPr>
          <w:rFonts w:hint="default" w:ascii="Times New Roman" w:hAnsi="Times New Roman" w:eastAsia="楷体_GB2312" w:cs="Times New Roman"/>
          <w:bCs/>
          <w:sz w:val="32"/>
          <w:szCs w:val="32"/>
        </w:rPr>
        <w:t>）</w:t>
      </w:r>
      <w:r>
        <w:rPr>
          <w:rFonts w:hint="default" w:ascii="Times New Roman" w:hAnsi="Times New Roman" w:eastAsia="楷体_GB2312" w:cs="Times New Roman"/>
          <w:bCs/>
          <w:sz w:val="32"/>
          <w:szCs w:val="32"/>
          <w:lang w:eastAsia="zh-CN"/>
        </w:rPr>
        <w:t>单位财务情况（资产负债情况）</w:t>
      </w:r>
    </w:p>
    <w:p w14:paraId="21B21AAE">
      <w:pPr>
        <w:keepNext w:val="0"/>
        <w:keepLines w:val="0"/>
        <w:pageBreakBefore w:val="0"/>
        <w:kinsoku/>
        <w:wordWrap/>
        <w:overflowPunct/>
        <w:topLinePunct w:val="0"/>
        <w:bidi w:val="0"/>
        <w:adjustRightInd/>
        <w:snapToGrid/>
        <w:spacing w:line="58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1.资产负债情况</w:t>
      </w:r>
    </w:p>
    <w:p w14:paraId="5725A9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截至2024年12月31日，资产总额349.07万元，固定资产339.71万元。负债总额</w:t>
      </w:r>
      <w:bookmarkStart w:id="1" w:name="_Hlk45220534"/>
      <w:r>
        <w:rPr>
          <w:rFonts w:hint="default" w:ascii="Times New Roman" w:hAnsi="Times New Roman" w:eastAsia="仿宋_GB2312" w:cs="Times New Roman"/>
          <w:kern w:val="2"/>
          <w:sz w:val="32"/>
          <w:szCs w:val="32"/>
          <w:lang w:val="en-US" w:eastAsia="zh-CN" w:bidi="ar-SA"/>
        </w:rPr>
        <w:t>0万元</w:t>
      </w:r>
      <w:bookmarkEnd w:id="1"/>
      <w:r>
        <w:rPr>
          <w:rFonts w:hint="default" w:ascii="Times New Roman" w:hAnsi="Times New Roman" w:eastAsia="仿宋_GB2312" w:cs="Times New Roman"/>
          <w:kern w:val="2"/>
          <w:sz w:val="32"/>
          <w:szCs w:val="32"/>
          <w:lang w:val="en-US" w:eastAsia="zh-CN" w:bidi="ar-SA"/>
        </w:rPr>
        <w:t>。净资产349.07万元。</w:t>
      </w:r>
    </w:p>
    <w:p w14:paraId="3FD163D3">
      <w:pPr>
        <w:keepNext w:val="0"/>
        <w:keepLines w:val="0"/>
        <w:pageBreakBefore w:val="0"/>
        <w:kinsoku/>
        <w:wordWrap/>
        <w:overflowPunct/>
        <w:topLinePunct w:val="0"/>
        <w:bidi w:val="0"/>
        <w:adjustRightInd/>
        <w:snapToGrid/>
        <w:spacing w:line="58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2.收支结余情况</w:t>
      </w:r>
    </w:p>
    <w:p w14:paraId="536EAE3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2024年，年初部门预算收入9811.26万元。</w:t>
      </w:r>
      <w:r>
        <w:rPr>
          <w:rFonts w:hint="default" w:ascii="Times New Roman" w:hAnsi="Times New Roman" w:eastAsia="仿宋_GB2312" w:cs="Times New Roman"/>
          <w:color w:val="000000"/>
          <w:sz w:val="32"/>
          <w:szCs w:val="32"/>
          <w:lang w:val="en-US" w:eastAsia="zh-CN"/>
        </w:rPr>
        <w:t>其中，一般公共预算拨款9811.26万元</w:t>
      </w:r>
      <w:r>
        <w:rPr>
          <w:rFonts w:hint="default" w:ascii="Times New Roman" w:hAnsi="Times New Roman" w:eastAsia="仿宋_GB2312" w:cs="Times New Roman"/>
          <w:kern w:val="2"/>
          <w:sz w:val="32"/>
          <w:szCs w:val="32"/>
          <w:lang w:val="en-US" w:eastAsia="zh-CN" w:bidi="ar-SA"/>
        </w:rPr>
        <w:t>。</w:t>
      </w:r>
    </w:p>
    <w:p w14:paraId="2B43BE2E">
      <w:pPr>
        <w:pStyle w:val="7"/>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2024年，年初部门预算支出9811.26万元。其中，基础支出831.26万元，项目支出8980.00万元。2024年部门决算支出46810.34万元。其中基本支出642.02万元、项目支出46168.32万元。年底结转结余0万元。</w:t>
      </w:r>
    </w:p>
    <w:p w14:paraId="235E7B11">
      <w:pPr>
        <w:pStyle w:val="7"/>
        <w:keepNext w:val="0"/>
        <w:keepLines w:val="0"/>
        <w:pageBreakBefore w:val="0"/>
        <w:widowControl/>
        <w:kinsoku/>
        <w:wordWrap/>
        <w:overflowPunct/>
        <w:topLinePunct w:val="0"/>
        <w:bidi w:val="0"/>
        <w:adjustRightInd/>
        <w:snapToGrid/>
        <w:spacing w:line="58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楷体_GB2312"/>
          <w:bCs/>
          <w:sz w:val="32"/>
          <w:szCs w:val="32"/>
        </w:rPr>
        <w:t>（</w:t>
      </w:r>
      <w:r>
        <w:rPr>
          <w:rFonts w:hint="eastAsia" w:eastAsia="楷体_GB2312"/>
          <w:bCs/>
          <w:sz w:val="32"/>
          <w:szCs w:val="32"/>
          <w:lang w:eastAsia="zh-CN"/>
        </w:rPr>
        <w:t>四</w:t>
      </w:r>
      <w:r>
        <w:rPr>
          <w:rFonts w:hint="eastAsia" w:eastAsia="楷体_GB2312"/>
          <w:bCs/>
          <w:sz w:val="32"/>
          <w:szCs w:val="32"/>
        </w:rPr>
        <w:t>）</w:t>
      </w:r>
      <w:r>
        <w:rPr>
          <w:rFonts w:hint="eastAsia" w:ascii="Times New Roman" w:hAnsi="Times New Roman" w:eastAsia="仿宋_GB2312" w:cs="Times New Roman"/>
          <w:kern w:val="2"/>
          <w:sz w:val="32"/>
          <w:szCs w:val="32"/>
          <w:lang w:val="en-US" w:eastAsia="zh-CN" w:bidi="ar-SA"/>
        </w:rPr>
        <w:t>绩效目标</w:t>
      </w:r>
    </w:p>
    <w:p w14:paraId="511F2F2C">
      <w:pPr>
        <w:pStyle w:val="7"/>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sz w:val="32"/>
          <w:szCs w:val="32"/>
        </w:rPr>
      </w:pPr>
      <w:r>
        <w:rPr>
          <w:rFonts w:hint="eastAsia" w:ascii="仿宋_GB2312" w:hAnsi="仿宋" w:eastAsia="仿宋_GB2312" w:cs="Times New Roman"/>
          <w:kern w:val="2"/>
          <w:sz w:val="32"/>
          <w:szCs w:val="32"/>
          <w:lang w:val="en-US" w:eastAsia="zh-CN" w:bidi="ar-SA"/>
        </w:rPr>
        <w:t>坚持以习近平新时代中国特色社会主义思想为指导，以创建“五好”园区为统揽，创新发展绩效评价保持全省前10强，园区发展考核保持常德第一方阵。</w:t>
      </w:r>
    </w:p>
    <w:p w14:paraId="3FFB35F0">
      <w:pPr>
        <w:pStyle w:val="7"/>
        <w:keepNext w:val="0"/>
        <w:keepLines w:val="0"/>
        <w:pageBreakBefore w:val="0"/>
        <w:widowControl/>
        <w:kinsoku/>
        <w:wordWrap/>
        <w:overflowPunct/>
        <w:topLinePunct w:val="0"/>
        <w:bidi w:val="0"/>
        <w:adjustRightInd/>
        <w:snapToGrid/>
        <w:spacing w:line="580" w:lineRule="exact"/>
        <w:ind w:left="640" w:firstLine="0" w:firstLineChars="0"/>
        <w:textAlignment w:val="auto"/>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14:paraId="014DD0A1">
      <w:pPr>
        <w:pStyle w:val="7"/>
        <w:keepNext w:val="0"/>
        <w:keepLines w:val="0"/>
        <w:pageBreakBefore w:val="0"/>
        <w:widowControl/>
        <w:kinsoku/>
        <w:wordWrap/>
        <w:overflowPunct/>
        <w:topLinePunct w:val="0"/>
        <w:bidi w:val="0"/>
        <w:adjustRightInd/>
        <w:snapToGrid/>
        <w:spacing w:line="580" w:lineRule="exact"/>
        <w:ind w:left="640" w:firstLine="0" w:firstLineChars="0"/>
        <w:textAlignment w:val="auto"/>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14:paraId="29005BF0">
      <w:pPr>
        <w:pStyle w:val="7"/>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 w:eastAsia="仿宋_GB2312" w:cs="Times New Roman"/>
          <w:kern w:val="2"/>
          <w:sz w:val="32"/>
          <w:szCs w:val="32"/>
          <w:lang w:val="en-US" w:eastAsia="zh-CN" w:bidi="ar-SA"/>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Times New Roman" w:hAnsi="Times New Roman" w:eastAsia="仿宋_GB2312" w:cs="Times New Roman"/>
          <w:bCs/>
          <w:color w:val="000000"/>
          <w:kern w:val="0"/>
          <w:sz w:val="32"/>
          <w:szCs w:val="32"/>
        </w:rPr>
        <w:t>202</w:t>
      </w:r>
      <w:r>
        <w:rPr>
          <w:rFonts w:hint="eastAsia" w:ascii="Times New Roman" w:hAnsi="Times New Roman" w:eastAsia="仿宋_GB2312" w:cs="Times New Roman"/>
          <w:bCs/>
          <w:color w:val="000000"/>
          <w:kern w:val="0"/>
          <w:sz w:val="32"/>
          <w:szCs w:val="32"/>
          <w:lang w:val="en-US" w:eastAsia="zh-CN"/>
        </w:rPr>
        <w:t>4</w:t>
      </w:r>
      <w:r>
        <w:rPr>
          <w:rFonts w:hint="eastAsia" w:ascii="Times New Roman" w:hAnsi="Times New Roman" w:eastAsia="仿宋_GB2312" w:cs="Times New Roman"/>
          <w:bCs/>
          <w:color w:val="000000"/>
          <w:kern w:val="0"/>
          <w:sz w:val="32"/>
          <w:szCs w:val="32"/>
        </w:rPr>
        <w:t>年</w:t>
      </w:r>
      <w:r>
        <w:rPr>
          <w:rFonts w:hint="eastAsia" w:eastAsia="仿宋_GB2312" w:cs="Times New Roman"/>
          <w:bCs/>
          <w:color w:val="000000"/>
          <w:kern w:val="0"/>
          <w:sz w:val="32"/>
          <w:szCs w:val="32"/>
          <w:lang w:eastAsia="zh-CN"/>
        </w:rPr>
        <w:t>基本支出</w:t>
      </w:r>
      <w:r>
        <w:rPr>
          <w:rFonts w:hint="eastAsia" w:ascii="Times New Roman" w:hAnsi="Times New Roman" w:eastAsia="仿宋_GB2312" w:cs="Times New Roman"/>
          <w:bCs/>
          <w:color w:val="000000"/>
          <w:kern w:val="0"/>
          <w:sz w:val="32"/>
          <w:szCs w:val="32"/>
        </w:rPr>
        <w:t>数为</w:t>
      </w:r>
      <w:r>
        <w:rPr>
          <w:rFonts w:hint="eastAsia" w:ascii="Times New Roman" w:hAnsi="Times New Roman" w:eastAsia="仿宋_GB2312" w:cs="Times New Roman"/>
          <w:bCs/>
          <w:color w:val="000000"/>
          <w:kern w:val="0"/>
          <w:sz w:val="32"/>
          <w:szCs w:val="32"/>
          <w:lang w:val="en-US" w:eastAsia="zh-CN"/>
        </w:rPr>
        <w:t>831.26</w:t>
      </w:r>
      <w:r>
        <w:rPr>
          <w:rFonts w:hint="eastAsia" w:ascii="仿宋_GB2312" w:hAnsi="仿宋" w:eastAsia="仿宋_GB2312" w:cs="Times New Roman"/>
          <w:kern w:val="2"/>
          <w:sz w:val="32"/>
          <w:szCs w:val="32"/>
          <w:lang w:val="en-US" w:eastAsia="zh-CN" w:bidi="ar-SA"/>
        </w:rPr>
        <w:t>万元，其中：工资福利支出651.64万元，主要包括用于基本工资、津贴补贴、其他社会保障缴费、机关事业单位基本养老保险缴费、住房公积金和其他工资福利支出等；商品服务支出179.62万元是指为保障单位机构正常运转、完成日常工作任务而发生的各项支出，包括办公费、印刷费、水电费、邮电费、办公设备购置等日常公用经费等。</w:t>
      </w:r>
    </w:p>
    <w:p w14:paraId="1D0B2888">
      <w:pPr>
        <w:pStyle w:val="7"/>
        <w:keepNext w:val="0"/>
        <w:keepLines w:val="0"/>
        <w:pageBreakBefore w:val="0"/>
        <w:widowControl/>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eastAsia="仿宋_GB2312"/>
          <w:sz w:val="32"/>
          <w:szCs w:val="32"/>
        </w:rPr>
      </w:pPr>
      <w:r>
        <w:rPr>
          <w:rFonts w:hint="eastAsia" w:ascii="Times New Roman" w:hAnsi="Times New Roman" w:eastAsia="黑体"/>
          <w:sz w:val="32"/>
          <w:szCs w:val="32"/>
          <w:lang w:val="en-US" w:eastAsia="zh-CN"/>
        </w:rPr>
        <w:t>2.</w:t>
      </w:r>
      <w:r>
        <w:rPr>
          <w:rFonts w:ascii="Times New Roman" w:hAnsi="Times New Roman" w:eastAsia="黑体"/>
          <w:sz w:val="32"/>
          <w:szCs w:val="32"/>
        </w:rPr>
        <w:t>项目支出情况</w:t>
      </w:r>
      <w:r>
        <w:rPr>
          <w:rFonts w:eastAsia="仿宋_GB2312"/>
          <w:sz w:val="32"/>
          <w:szCs w:val="32"/>
        </w:rPr>
        <w:t>：</w:t>
      </w:r>
      <w:r>
        <w:rPr>
          <w:rFonts w:hint="eastAsia" w:ascii="Times New Roman" w:hAnsi="Times New Roman" w:eastAsia="仿宋_GB2312" w:cs="Times New Roman"/>
          <w:bCs/>
          <w:color w:val="000000"/>
          <w:kern w:val="0"/>
          <w:sz w:val="32"/>
          <w:szCs w:val="32"/>
        </w:rPr>
        <w:t>202</w:t>
      </w:r>
      <w:r>
        <w:rPr>
          <w:rFonts w:hint="eastAsia" w:ascii="Times New Roman" w:hAnsi="Times New Roman" w:eastAsia="仿宋_GB2312" w:cs="Times New Roman"/>
          <w:bCs/>
          <w:color w:val="000000"/>
          <w:kern w:val="0"/>
          <w:sz w:val="32"/>
          <w:szCs w:val="32"/>
          <w:lang w:val="en-US" w:eastAsia="zh-CN"/>
        </w:rPr>
        <w:t>4</w:t>
      </w:r>
      <w:r>
        <w:rPr>
          <w:rFonts w:hint="eastAsia" w:ascii="Times New Roman" w:hAnsi="Times New Roman" w:eastAsia="仿宋_GB2312" w:cs="Times New Roman"/>
          <w:bCs/>
          <w:color w:val="000000"/>
          <w:kern w:val="0"/>
          <w:sz w:val="32"/>
          <w:szCs w:val="32"/>
        </w:rPr>
        <w:t>年本部门项目支出</w:t>
      </w:r>
      <w:r>
        <w:rPr>
          <w:rFonts w:hint="eastAsia" w:ascii="Times New Roman" w:hAnsi="Times New Roman" w:eastAsia="仿宋_GB2312" w:cs="Times New Roman"/>
          <w:bCs/>
          <w:color w:val="000000"/>
          <w:kern w:val="0"/>
          <w:sz w:val="32"/>
          <w:szCs w:val="32"/>
          <w:lang w:val="en-US" w:eastAsia="zh-CN"/>
        </w:rPr>
        <w:t>7289.90万元，其中具体为招商引资36.89万元、一般行政管理事务支出1382.00万元、科技技术管理事务支出607.97万元、科学技术支出2643.65万元、污染防治支出804.49万元、水体管理支出143.75万元、小城镇基础设施建设17.42万元、普惠金融发展支出749.84万元、支持中小企业发展和管理支出4.80万元、资源勘探工业信息等支出50.39万元、涉外发展服务支出50.00万元、行政运行740.97万元、自然灾害救灾补助支出10.86万元、灾害防治及应急管理支出46.90万元。</w:t>
      </w:r>
    </w:p>
    <w:p w14:paraId="63C18D76">
      <w:pPr>
        <w:pStyle w:val="7"/>
        <w:keepNext w:val="0"/>
        <w:keepLines w:val="0"/>
        <w:pageBreakBefore w:val="0"/>
        <w:widowControl/>
        <w:kinsoku/>
        <w:wordWrap/>
        <w:overflowPunct/>
        <w:topLinePunct w:val="0"/>
        <w:bidi w:val="0"/>
        <w:adjustRightInd/>
        <w:snapToGrid/>
        <w:spacing w:line="580" w:lineRule="exact"/>
        <w:ind w:left="640" w:firstLine="0" w:firstLineChars="0"/>
        <w:jc w:val="left"/>
        <w:textAlignment w:val="auto"/>
        <w:rPr>
          <w:rFonts w:eastAsia="仿宋_GB2312"/>
          <w:sz w:val="32"/>
          <w:szCs w:val="32"/>
        </w:rPr>
      </w:pPr>
      <w:r>
        <w:rPr>
          <w:rFonts w:hint="eastAsia" w:ascii="Times New Roman" w:hAnsi="Times New Roman" w:eastAsia="黑体"/>
          <w:sz w:val="32"/>
          <w:szCs w:val="32"/>
        </w:rPr>
        <w:t>（二）</w:t>
      </w:r>
      <w:r>
        <w:rPr>
          <w:rFonts w:ascii="Times New Roman" w:hAnsi="Times New Roman" w:eastAsia="黑体"/>
          <w:sz w:val="32"/>
          <w:szCs w:val="32"/>
        </w:rPr>
        <w:t>政府性基金预算支出情况</w:t>
      </w:r>
    </w:p>
    <w:p w14:paraId="6DC28389">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eastAsia"/>
          <w:lang w:eastAsia="zh-CN"/>
        </w:rPr>
      </w:pPr>
      <w:r>
        <w:rPr>
          <w:rFonts w:hint="eastAsia" w:ascii="Times New Roman" w:hAnsi="Times New Roman" w:eastAsia="仿宋_GB2312" w:cs="Times New Roman"/>
          <w:bCs/>
          <w:color w:val="000000"/>
          <w:kern w:val="0"/>
          <w:sz w:val="32"/>
          <w:szCs w:val="32"/>
        </w:rPr>
        <w:t>本部门政府性基金预算支出</w:t>
      </w:r>
      <w:r>
        <w:rPr>
          <w:rFonts w:hint="eastAsia" w:ascii="Times New Roman" w:hAnsi="Times New Roman" w:eastAsia="仿宋_GB2312" w:cs="Times New Roman"/>
          <w:bCs/>
          <w:color w:val="000000"/>
          <w:kern w:val="0"/>
          <w:sz w:val="32"/>
          <w:szCs w:val="32"/>
          <w:lang w:val="en-US" w:eastAsia="zh-CN"/>
        </w:rPr>
        <w:t>38671.40万元</w:t>
      </w:r>
      <w:r>
        <w:rPr>
          <w:rFonts w:hint="eastAsia" w:eastAsia="仿宋_GB2312" w:cs="Times New Roman"/>
          <w:bCs/>
          <w:color w:val="000000"/>
          <w:kern w:val="0"/>
          <w:sz w:val="32"/>
          <w:szCs w:val="32"/>
          <w:lang w:val="en-US" w:eastAsia="zh-CN"/>
        </w:rPr>
        <w:t>，全部为项目支出，其中：政府性基金安排的支出</w:t>
      </w:r>
      <w:r>
        <w:rPr>
          <w:rFonts w:hint="eastAsia" w:ascii="Times New Roman" w:hAnsi="Times New Roman" w:eastAsia="仿宋_GB2312" w:cs="Times New Roman"/>
          <w:bCs/>
          <w:color w:val="000000"/>
          <w:kern w:val="0"/>
          <w:sz w:val="32"/>
          <w:szCs w:val="32"/>
          <w:lang w:val="en-US" w:eastAsia="zh-CN"/>
        </w:rPr>
        <w:t>60.00万元、自行试点项目收益专项债券收入安排的支出37400.00万元、污水处理费安排的支出1211.40元。</w:t>
      </w:r>
    </w:p>
    <w:p w14:paraId="5EC66816">
      <w:pPr>
        <w:keepNext w:val="0"/>
        <w:keepLines w:val="0"/>
        <w:pageBreakBefore w:val="0"/>
        <w:widowControl/>
        <w:numPr>
          <w:ilvl w:val="0"/>
          <w:numId w:val="1"/>
        </w:numPr>
        <w:kinsoku/>
        <w:wordWrap/>
        <w:overflowPunct/>
        <w:topLinePunct w:val="0"/>
        <w:bidi w:val="0"/>
        <w:adjustRightInd/>
        <w:snapToGrid/>
        <w:spacing w:line="580" w:lineRule="exact"/>
        <w:ind w:firstLine="645"/>
        <w:jc w:val="left"/>
        <w:textAlignment w:val="auto"/>
        <w:rPr>
          <w:rFonts w:eastAsia="黑体"/>
          <w:sz w:val="32"/>
          <w:szCs w:val="32"/>
        </w:rPr>
      </w:pPr>
      <w:r>
        <w:rPr>
          <w:rFonts w:eastAsia="黑体"/>
          <w:sz w:val="32"/>
          <w:szCs w:val="32"/>
        </w:rPr>
        <w:t>部门整体支出绩效情况</w:t>
      </w:r>
    </w:p>
    <w:p w14:paraId="5C7E9957">
      <w:pPr>
        <w:keepNext w:val="0"/>
        <w:keepLines w:val="0"/>
        <w:pageBreakBefore w:val="0"/>
        <w:numPr>
          <w:ilvl w:val="0"/>
          <w:numId w:val="2"/>
        </w:numPr>
        <w:kinsoku/>
        <w:wordWrap/>
        <w:overflowPunct/>
        <w:topLinePunct w:val="0"/>
        <w:bidi w:val="0"/>
        <w:adjustRightInd/>
        <w:snapToGrid/>
        <w:spacing w:line="580" w:lineRule="exact"/>
        <w:ind w:firstLine="640" w:firstLineChars="200"/>
        <w:textAlignment w:val="auto"/>
        <w:rPr>
          <w:rFonts w:eastAsia="楷体_GB2312"/>
          <w:bCs/>
          <w:sz w:val="32"/>
          <w:szCs w:val="32"/>
        </w:rPr>
      </w:pPr>
      <w:r>
        <w:rPr>
          <w:rFonts w:hint="eastAsia" w:eastAsia="楷体_GB2312"/>
          <w:bCs/>
          <w:sz w:val="32"/>
          <w:szCs w:val="32"/>
          <w:lang w:eastAsia="zh-CN"/>
        </w:rPr>
        <w:t>成本</w:t>
      </w:r>
      <w:r>
        <w:rPr>
          <w:rFonts w:eastAsia="楷体_GB2312"/>
          <w:bCs/>
          <w:sz w:val="32"/>
          <w:szCs w:val="32"/>
        </w:rPr>
        <w:t>指标完成情况</w:t>
      </w:r>
    </w:p>
    <w:p w14:paraId="557C272F">
      <w:pPr>
        <w:keepNext w:val="0"/>
        <w:keepLines w:val="0"/>
        <w:pageBreakBefore w:val="0"/>
        <w:numPr>
          <w:ilvl w:val="0"/>
          <w:numId w:val="0"/>
        </w:numPr>
        <w:kinsoku/>
        <w:wordWrap/>
        <w:overflowPunct/>
        <w:topLinePunct w:val="0"/>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kern w:val="0"/>
          <w:sz w:val="32"/>
          <w:szCs w:val="32"/>
          <w:lang w:val="en-US" w:eastAsia="zh-CN"/>
        </w:rPr>
      </w:pPr>
      <w:r>
        <w:rPr>
          <w:rFonts w:hint="eastAsia" w:ascii="Times New Roman" w:hAnsi="Times New Roman" w:eastAsia="楷体_GB2312" w:cs="Times New Roman"/>
          <w:bCs/>
          <w:sz w:val="32"/>
          <w:szCs w:val="32"/>
          <w:lang w:val="en-US" w:eastAsia="zh-CN"/>
        </w:rPr>
        <w:t>1.经济成本。</w:t>
      </w:r>
      <w:r>
        <w:rPr>
          <w:rFonts w:hint="eastAsia" w:ascii="Times New Roman" w:hAnsi="Times New Roman" w:eastAsia="仿宋_GB2312" w:cs="Times New Roman"/>
          <w:color w:val="auto"/>
          <w:spacing w:val="0"/>
          <w:kern w:val="0"/>
          <w:sz w:val="32"/>
          <w:szCs w:val="32"/>
          <w:lang w:val="en-US" w:eastAsia="zh-CN"/>
        </w:rPr>
        <w:t>严格按照财政批复的预算支出，严格管控“三公”经费支出，确保不超过年度指标值，切实提升财政资金使用效益。</w:t>
      </w:r>
    </w:p>
    <w:p w14:paraId="4695E767">
      <w:pPr>
        <w:keepNext w:val="0"/>
        <w:keepLines w:val="0"/>
        <w:pageBreakBefore w:val="0"/>
        <w:numPr>
          <w:ilvl w:val="0"/>
          <w:numId w:val="0"/>
        </w:numPr>
        <w:kinsoku/>
        <w:wordWrap/>
        <w:overflowPunct/>
        <w:topLinePunct w:val="0"/>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kern w:val="0"/>
          <w:sz w:val="32"/>
          <w:szCs w:val="32"/>
          <w:lang w:val="en-US" w:eastAsia="zh-CN"/>
        </w:rPr>
      </w:pPr>
      <w:r>
        <w:rPr>
          <w:rFonts w:hint="eastAsia" w:ascii="Times New Roman" w:hAnsi="Times New Roman" w:eastAsia="楷体_GB2312" w:cs="Times New Roman"/>
          <w:bCs/>
          <w:sz w:val="32"/>
          <w:szCs w:val="32"/>
          <w:lang w:val="en-US" w:eastAsia="zh-CN"/>
        </w:rPr>
        <w:t>2.社会成本。</w:t>
      </w:r>
      <w:r>
        <w:rPr>
          <w:rFonts w:hint="eastAsia" w:ascii="Times New Roman" w:hAnsi="Times New Roman" w:eastAsia="仿宋_GB2312" w:cs="Times New Roman"/>
          <w:color w:val="auto"/>
          <w:spacing w:val="0"/>
          <w:kern w:val="0"/>
          <w:sz w:val="32"/>
          <w:szCs w:val="32"/>
          <w:lang w:val="en-US" w:eastAsia="zh-CN"/>
        </w:rPr>
        <w:t>园区通过多维度构建高效的反馈机制，设置 24 小时举报投诉和咨询服务电话，搭建线上投诉平台，同时各联企干部定期去所联系企业开展线下企业走访收集意见等方式，确保企业诉求能够及时、便捷地传达，园区企业投诉率达到2%</w:t>
      </w:r>
      <w:r>
        <w:rPr>
          <w:rFonts w:hint="eastAsia" w:ascii="Times New Roman" w:hAnsi="Times New Roman" w:eastAsia="仿宋_GB2312" w:cs="Times New Roman"/>
          <w:color w:val="auto"/>
          <w:spacing w:val="0"/>
          <w:kern w:val="0"/>
          <w:sz w:val="32"/>
          <w:szCs w:val="32"/>
          <w:lang w:val="en-US" w:eastAsia="zh-CN"/>
        </w:rPr>
        <w:tab/>
      </w:r>
      <w:r>
        <w:rPr>
          <w:rFonts w:hint="eastAsia" w:ascii="Times New Roman" w:hAnsi="Times New Roman" w:eastAsia="仿宋_GB2312" w:cs="Times New Roman"/>
          <w:color w:val="auto"/>
          <w:spacing w:val="0"/>
          <w:kern w:val="0"/>
          <w:sz w:val="32"/>
          <w:szCs w:val="32"/>
          <w:lang w:val="en-US" w:eastAsia="zh-CN"/>
        </w:rPr>
        <w:t>。</w:t>
      </w:r>
    </w:p>
    <w:p w14:paraId="24CC9775">
      <w:pPr>
        <w:keepNext w:val="0"/>
        <w:keepLines w:val="0"/>
        <w:pageBreakBefore w:val="0"/>
        <w:numPr>
          <w:ilvl w:val="0"/>
          <w:numId w:val="0"/>
        </w:numPr>
        <w:kinsoku/>
        <w:wordWrap/>
        <w:overflowPunct/>
        <w:topLinePunct w:val="0"/>
        <w:bidi w:val="0"/>
        <w:adjustRightInd/>
        <w:snapToGrid/>
        <w:spacing w:line="580" w:lineRule="exact"/>
        <w:ind w:firstLine="640" w:firstLineChars="200"/>
        <w:textAlignment w:val="auto"/>
        <w:rPr>
          <w:rFonts w:hint="default"/>
          <w:lang w:val="en-US" w:eastAsia="zh-CN"/>
        </w:rPr>
      </w:pPr>
      <w:r>
        <w:rPr>
          <w:rFonts w:hint="eastAsia" w:ascii="Times New Roman" w:hAnsi="Times New Roman" w:eastAsia="楷体_GB2312" w:cs="Times New Roman"/>
          <w:bCs/>
          <w:sz w:val="32"/>
          <w:szCs w:val="32"/>
          <w:lang w:val="en-US" w:eastAsia="zh-CN"/>
        </w:rPr>
        <w:t>3.生态环境成本。</w:t>
      </w:r>
      <w:r>
        <w:rPr>
          <w:rFonts w:hint="eastAsia" w:ascii="Times New Roman" w:hAnsi="Times New Roman" w:eastAsia="仿宋_GB2312" w:cs="Times New Roman"/>
          <w:color w:val="auto"/>
          <w:spacing w:val="0"/>
          <w:kern w:val="0"/>
          <w:sz w:val="32"/>
          <w:szCs w:val="32"/>
          <w:lang w:val="en-US" w:eastAsia="zh-CN"/>
        </w:rPr>
        <w:t>完善了《津市高新区生态环保工作机制》《津市高新区“零点行动”工作方案》等环保制度，建立了以高新区为牵头单位，环保、住建、水利等部门协同参与的工作机制，确保园区2024年未发生重大环保事故。</w:t>
      </w:r>
    </w:p>
    <w:p w14:paraId="398D7B7A">
      <w:pPr>
        <w:keepNext w:val="0"/>
        <w:keepLines w:val="0"/>
        <w:pageBreakBefore w:val="0"/>
        <w:kinsoku/>
        <w:wordWrap/>
        <w:overflowPunct/>
        <w:topLinePunct w:val="0"/>
        <w:bidi w:val="0"/>
        <w:adjustRightInd/>
        <w:snapToGrid/>
        <w:spacing w:line="580" w:lineRule="exact"/>
        <w:ind w:firstLine="640" w:firstLineChars="200"/>
        <w:textAlignment w:val="auto"/>
      </w:pPr>
      <w:r>
        <w:rPr>
          <w:rFonts w:hint="eastAsia" w:eastAsia="楷体_GB2312"/>
          <w:bCs/>
          <w:sz w:val="32"/>
          <w:szCs w:val="32"/>
        </w:rPr>
        <w:t>(</w:t>
      </w:r>
      <w:r>
        <w:rPr>
          <w:rFonts w:hint="eastAsia" w:eastAsia="楷体_GB2312"/>
          <w:bCs/>
          <w:sz w:val="32"/>
          <w:szCs w:val="32"/>
          <w:lang w:eastAsia="zh-CN"/>
        </w:rPr>
        <w:t>二</w:t>
      </w:r>
      <w:r>
        <w:rPr>
          <w:rFonts w:hint="eastAsia" w:eastAsia="楷体_GB2312"/>
          <w:bCs/>
          <w:sz w:val="32"/>
          <w:szCs w:val="32"/>
        </w:rPr>
        <w:t>）</w:t>
      </w:r>
      <w:r>
        <w:rPr>
          <w:rFonts w:eastAsia="楷体_GB2312"/>
          <w:bCs/>
          <w:sz w:val="32"/>
          <w:szCs w:val="32"/>
        </w:rPr>
        <w:t>产出指标完成情况</w:t>
      </w:r>
    </w:p>
    <w:p w14:paraId="251CFB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2024年来，</w:t>
      </w:r>
      <w:r>
        <w:rPr>
          <w:rFonts w:hint="default" w:ascii="Times New Roman" w:hAnsi="Times New Roman" w:eastAsia="仿宋_GB2312" w:cs="Times New Roman"/>
          <w:sz w:val="32"/>
          <w:szCs w:val="32"/>
        </w:rPr>
        <w:t>津市高新区锚定“三个高地”、推进“二次创业”，</w:t>
      </w:r>
      <w:r>
        <w:rPr>
          <w:rFonts w:hint="default" w:ascii="Times New Roman" w:hAnsi="Times New Roman" w:eastAsia="仿宋_GB2312" w:cs="Times New Roman"/>
          <w:sz w:val="32"/>
          <w:szCs w:val="32"/>
          <w:lang w:val="en-US" w:eastAsia="zh-CN"/>
        </w:rPr>
        <w:t>紧紧围绕“6+3+1”重点工作</w:t>
      </w:r>
      <w:r>
        <w:rPr>
          <w:rFonts w:hint="default" w:ascii="Times New Roman" w:hAnsi="Times New Roman" w:eastAsia="仿宋_GB2312" w:cs="Times New Roman"/>
          <w:sz w:val="32"/>
          <w:szCs w:val="32"/>
        </w:rPr>
        <w:t>狠抓推进落实，园区高质量发展呈现良好态势。2024年度，园区完成新一轮的调区扩片；获评全国十佳最具投资营商价值省级园区；化工园区晋级为最高安全风险等级D级；在省政府实施的“八大行动”中，获评全省“产业培塑行动”优秀单位、“创新提升行动”优秀单位。</w:t>
      </w:r>
    </w:p>
    <w:p w14:paraId="6F0EF793">
      <w:pPr>
        <w:keepNext w:val="0"/>
        <w:keepLines w:val="0"/>
        <w:pageBreakBefore w:val="0"/>
        <w:numPr>
          <w:ilvl w:val="0"/>
          <w:numId w:val="0"/>
        </w:numPr>
        <w:kinsoku/>
        <w:wordWrap/>
        <w:overflowPunct/>
        <w:topLinePunct w:val="0"/>
        <w:bidi w:val="0"/>
        <w:adjustRightInd/>
        <w:snapToGrid/>
        <w:spacing w:line="580" w:lineRule="exact"/>
        <w:ind w:firstLine="640" w:firstLineChars="200"/>
        <w:textAlignment w:val="auto"/>
        <w:rPr>
          <w:rFonts w:hint="default"/>
          <w:lang w:val="en-US"/>
        </w:rPr>
      </w:pPr>
      <w:r>
        <w:rPr>
          <w:rFonts w:hint="eastAsia" w:ascii="Times New Roman" w:hAnsi="Times New Roman" w:eastAsia="楷体_GB2312" w:cs="Times New Roman"/>
          <w:bCs/>
          <w:sz w:val="32"/>
          <w:szCs w:val="32"/>
          <w:lang w:val="en-US" w:eastAsia="zh-CN"/>
        </w:rPr>
        <w:t>1.数量指标。</w:t>
      </w:r>
      <w:r>
        <w:rPr>
          <w:rFonts w:hint="default" w:ascii="Times New Roman" w:hAnsi="Times New Roman" w:eastAsia="仿宋_GB2312" w:cs="Times New Roman"/>
          <w:color w:val="auto"/>
          <w:sz w:val="32"/>
          <w:szCs w:val="32"/>
        </w:rPr>
        <w:t>坚持聚焦产业细分领域，</w:t>
      </w:r>
      <w:r>
        <w:rPr>
          <w:rFonts w:hint="default" w:ascii="Times New Roman" w:hAnsi="Times New Roman" w:eastAsia="仿宋_GB2312" w:cs="Times New Roman"/>
          <w:color w:val="auto"/>
          <w:sz w:val="32"/>
          <w:szCs w:val="32"/>
          <w:lang w:val="en-US" w:eastAsia="zh-CN"/>
        </w:rPr>
        <w:t>持续落实“987”工作模式，</w:t>
      </w:r>
      <w:r>
        <w:rPr>
          <w:rFonts w:hint="default" w:ascii="Times New Roman" w:hAnsi="Times New Roman" w:eastAsia="仿宋_GB2312" w:cs="Times New Roman"/>
          <w:color w:val="auto"/>
          <w:sz w:val="32"/>
          <w:szCs w:val="32"/>
        </w:rPr>
        <w:t>以市场化方式推进产业招商、科技招商、基金招商，打出一套招商引资新的组合拳，全力</w:t>
      </w:r>
      <w:r>
        <w:rPr>
          <w:rFonts w:hint="default" w:ascii="Times New Roman" w:hAnsi="Times New Roman"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rPr>
        <w:t>经济</w:t>
      </w:r>
      <w:r>
        <w:rPr>
          <w:rFonts w:hint="default" w:ascii="Times New Roman" w:hAnsi="Times New Roman" w:eastAsia="仿宋_GB2312" w:cs="Times New Roman"/>
          <w:color w:val="auto"/>
          <w:sz w:val="32"/>
          <w:szCs w:val="32"/>
          <w:lang w:val="en-US" w:eastAsia="zh-CN"/>
        </w:rPr>
        <w:t>稳步</w:t>
      </w:r>
      <w:r>
        <w:rPr>
          <w:rFonts w:hint="default" w:ascii="Times New Roman" w:hAnsi="Times New Roman" w:eastAsia="仿宋_GB2312" w:cs="Times New Roman"/>
          <w:color w:val="auto"/>
          <w:sz w:val="32"/>
          <w:szCs w:val="32"/>
        </w:rPr>
        <w:t>增长。目前，1-12月累计新签约入园项目12个，协议引资额41亿元，其中亿元以上项目11个，“一主一特”项目11个。（上报认定数：签约入园项目21个，引资总额56.3亿元，其中亿元以上项目19个，“一主一特”项目16个）</w:t>
      </w:r>
      <w:r>
        <w:rPr>
          <w:rFonts w:hint="default" w:ascii="Times New Roman" w:hAnsi="Times New Roman" w:eastAsia="仿宋_GB2312" w:cs="Times New Roman"/>
          <w:color w:val="auto"/>
          <w:sz w:val="32"/>
          <w:szCs w:val="32"/>
          <w:lang w:eastAsia="zh-CN"/>
        </w:rPr>
        <w:t>。</w:t>
      </w:r>
    </w:p>
    <w:p w14:paraId="294B3C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Cs/>
          <w:sz w:val="32"/>
          <w:szCs w:val="32"/>
          <w:lang w:val="en-US" w:eastAsia="zh-CN"/>
        </w:rPr>
        <w:t>2.质量指标。</w:t>
      </w:r>
    </w:p>
    <w:p w14:paraId="5952873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2024年1-12月，131家规上企业共完成规模工业总产值224.33亿元，同比增速9.4%，占全市规模工业总产值的85.1%；完成规模工业增加值49.37亿元，同比增速12.1%；实缴税收3亿元，同比增速9.3%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新增入规</w:t>
      </w:r>
      <w:r>
        <w:rPr>
          <w:rFonts w:hint="eastAsia"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企业9家。</w:t>
      </w:r>
    </w:p>
    <w:p w14:paraId="7E87BC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Cs/>
          <w:sz w:val="32"/>
          <w:szCs w:val="32"/>
          <w:lang w:val="en-US" w:eastAsia="zh-CN"/>
        </w:rPr>
        <w:t>3.时效指标。</w:t>
      </w:r>
      <w:r>
        <w:rPr>
          <w:rFonts w:hint="default" w:ascii="Times New Roman" w:hAnsi="Times New Roman" w:eastAsia="仿宋_GB2312" w:cs="Times New Roman"/>
          <w:color w:val="auto"/>
          <w:sz w:val="32"/>
          <w:szCs w:val="32"/>
        </w:rPr>
        <w:t>园区政务服务持续发力，</w:t>
      </w:r>
      <w:r>
        <w:rPr>
          <w:rFonts w:hint="default"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rPr>
        <w:t>巩固行政审批赋权改革成效，今年完成涉企行政审批60余项，按时办结率100%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进一步完善管理机制，</w:t>
      </w:r>
      <w:r>
        <w:rPr>
          <w:rFonts w:hint="default" w:ascii="Times New Roman" w:hAnsi="Times New Roman" w:eastAsia="仿宋_GB2312" w:cs="Times New Roman"/>
          <w:color w:val="auto"/>
          <w:sz w:val="32"/>
          <w:szCs w:val="32"/>
        </w:rPr>
        <w:t>出台了《津市高新区推动“营商环境提质年”行动实施方案》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建立“1234”联企机制。</w:t>
      </w:r>
      <w:r>
        <w:rPr>
          <w:rFonts w:hint="default" w:ascii="Times New Roman" w:hAnsi="Times New Roman" w:eastAsia="仿宋_GB2312" w:cs="Times New Roman"/>
          <w:color w:val="auto"/>
          <w:sz w:val="32"/>
          <w:szCs w:val="32"/>
          <w:lang w:eastAsia="zh-CN"/>
        </w:rPr>
        <w:t>截至目前</w:t>
      </w:r>
      <w:r>
        <w:rPr>
          <w:rFonts w:hint="default" w:ascii="Times New Roman" w:hAnsi="Times New Roman" w:eastAsia="仿宋_GB2312" w:cs="Times New Roman"/>
          <w:color w:val="auto"/>
          <w:sz w:val="32"/>
          <w:szCs w:val="32"/>
        </w:rPr>
        <w:t>，联企干部走访企业2371次，收集问题110，解决问题87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规范</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中介服务</w:t>
      </w:r>
      <w:r>
        <w:rPr>
          <w:rFonts w:hint="default"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rPr>
        <w:t>收集整理了67家企业近3年中介服务费用支出情况、52家企业未来2年中介服务需求，底数更清。形成了14项非行政审批类、50项行政审批类中介服务事项清单，明确实施要求、收费性质和依据，纳入中介超市管理</w:t>
      </w:r>
      <w:r>
        <w:rPr>
          <w:rFonts w:hint="eastAsia" w:ascii="Times New Roman" w:hAnsi="Times New Roman" w:eastAsia="仿宋_GB2312" w:cs="Times New Roman"/>
          <w:color w:val="auto"/>
          <w:sz w:val="32"/>
          <w:szCs w:val="32"/>
          <w:lang w:eastAsia="zh-CN"/>
        </w:rPr>
        <w:t>。以实</w:t>
      </w:r>
      <w:r>
        <w:rPr>
          <w:rFonts w:hint="eastAsia" w:ascii="Times New Roman" w:hAnsi="Times New Roman" w:eastAsia="仿宋_GB2312" w:cs="Times New Roman"/>
          <w:sz w:val="32"/>
          <w:szCs w:val="32"/>
          <w:lang w:val="en-US" w:eastAsia="zh-CN"/>
        </w:rPr>
        <w:t>现审批最少、流程最优、效率最高、服务最好、开工最快为目标，全力推进项目建设全生命周期管理。目前园区前期项目14个，世唯生物、创源生物、火鸟金属、云上新材等项目正在按时间节点加速推进；续建及新建项目16个。中联工程桥、津东云纺二期、湘芷包装二期、湘食二期、神隆一期、德虹制药、联源新材料等7个项目预计在2025年完成竣工验收。</w:t>
      </w:r>
    </w:p>
    <w:p w14:paraId="378A1994">
      <w:pPr>
        <w:keepNext w:val="0"/>
        <w:keepLines w:val="0"/>
        <w:pageBreakBefore w:val="0"/>
        <w:kinsoku/>
        <w:wordWrap/>
        <w:overflowPunct/>
        <w:topLinePunct w:val="0"/>
        <w:bidi w:val="0"/>
        <w:adjustRightInd/>
        <w:snapToGrid/>
        <w:spacing w:line="580" w:lineRule="exact"/>
        <w:ind w:firstLine="640" w:firstLineChars="200"/>
        <w:textAlignment w:val="auto"/>
      </w:pPr>
      <w:r>
        <w:rPr>
          <w:rFonts w:hint="eastAsia" w:eastAsia="楷体_GB2312"/>
          <w:bCs/>
          <w:sz w:val="32"/>
          <w:szCs w:val="32"/>
        </w:rPr>
        <w:t>(</w:t>
      </w:r>
      <w:r>
        <w:rPr>
          <w:rFonts w:hint="eastAsia" w:eastAsia="楷体_GB2312"/>
          <w:bCs/>
          <w:sz w:val="32"/>
          <w:szCs w:val="32"/>
          <w:lang w:eastAsia="zh-CN"/>
        </w:rPr>
        <w:t>三</w:t>
      </w:r>
      <w:r>
        <w:rPr>
          <w:rFonts w:hint="eastAsia" w:eastAsia="楷体_GB2312"/>
          <w:bCs/>
          <w:sz w:val="32"/>
          <w:szCs w:val="32"/>
        </w:rPr>
        <w:t>）</w:t>
      </w:r>
      <w:r>
        <w:rPr>
          <w:rFonts w:hint="eastAsia" w:eastAsia="楷体_GB2312"/>
          <w:bCs/>
          <w:sz w:val="32"/>
          <w:szCs w:val="32"/>
          <w:lang w:eastAsia="zh-CN"/>
        </w:rPr>
        <w:t>效益</w:t>
      </w:r>
      <w:r>
        <w:rPr>
          <w:rFonts w:eastAsia="楷体_GB2312"/>
          <w:bCs/>
          <w:sz w:val="32"/>
          <w:szCs w:val="32"/>
        </w:rPr>
        <w:t>指标完成情况</w:t>
      </w:r>
    </w:p>
    <w:p w14:paraId="13D7D144">
      <w:pPr>
        <w:pStyle w:val="2"/>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楷体_GB2312" w:cs="Times New Roman"/>
          <w:bCs/>
          <w:sz w:val="32"/>
          <w:szCs w:val="32"/>
          <w:lang w:val="en-US" w:eastAsia="zh-CN"/>
        </w:rPr>
        <w:t>1.</w:t>
      </w: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社会效应</w:t>
      </w: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auto"/>
          <w:kern w:val="2"/>
          <w:sz w:val="32"/>
          <w:szCs w:val="32"/>
          <w:highlight w:val="none"/>
          <w:lang w:val="en-US" w:eastAsia="zh-CN" w:bidi="ar-SA"/>
        </w:rPr>
        <w:t>2024年，在市委、市政府的坚强领导下，主动谋划、攻坚克难，顺利完成经济社会发展的主要目标。，以园区发展带动全市经济发展，新增就业1100人。</w:t>
      </w:r>
    </w:p>
    <w:p w14:paraId="071065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bCs/>
          <w:sz w:val="32"/>
          <w:szCs w:val="32"/>
          <w:lang w:val="en-US" w:eastAsia="zh-CN"/>
        </w:rPr>
        <w:t>2.生态</w:t>
      </w:r>
      <w:r>
        <w:rPr>
          <w:rFonts w:hint="eastAsia"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效应</w:t>
      </w: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auto"/>
          <w:kern w:val="2"/>
          <w:sz w:val="32"/>
          <w:szCs w:val="32"/>
          <w:highlight w:val="none"/>
          <w:lang w:val="en-US" w:eastAsia="zh-CN" w:bidi="ar-SA"/>
        </w:rPr>
        <w:t>2024年</w:t>
      </w:r>
      <w:r>
        <w:rPr>
          <w:rFonts w:hint="default" w:ascii="Times New Roman" w:hAnsi="Times New Roman" w:eastAsia="仿宋_GB2312" w:cs="Times New Roman"/>
          <w:sz w:val="32"/>
          <w:szCs w:val="32"/>
          <w:highlight w:val="none"/>
          <w:lang w:val="en-US" w:eastAsia="zh-CN"/>
        </w:rPr>
        <w:t>圆满完成上级检查工作，在中央第三轮环保督察迎检工作，做到了问题零交办、信访零投诉；在省厅组织的园区信用评价考核工作中评定为环保合格园区。</w:t>
      </w:r>
      <w:r>
        <w:rPr>
          <w:rFonts w:hint="default" w:ascii="Times New Roman" w:hAnsi="Times New Roman" w:eastAsia="仿宋_GB2312" w:cs="Times New Roman"/>
          <w:b w:val="0"/>
          <w:bCs w:val="0"/>
          <w:color w:val="auto"/>
          <w:sz w:val="32"/>
          <w:szCs w:val="32"/>
          <w:lang w:val="en-US" w:eastAsia="zh-CN"/>
        </w:rPr>
        <w:t>守牢</w:t>
      </w:r>
      <w:r>
        <w:rPr>
          <w:rFonts w:hint="default" w:ascii="Times New Roman" w:hAnsi="Times New Roman" w:eastAsia="仿宋_GB2312" w:cs="Times New Roman"/>
          <w:b w:val="0"/>
          <w:bCs w:val="0"/>
          <w:color w:val="auto"/>
          <w:sz w:val="32"/>
          <w:szCs w:val="32"/>
        </w:rPr>
        <w:t>安全</w:t>
      </w:r>
      <w:r>
        <w:rPr>
          <w:rFonts w:hint="default" w:ascii="Times New Roman" w:hAnsi="Times New Roman" w:eastAsia="仿宋_GB2312" w:cs="Times New Roman"/>
          <w:b w:val="0"/>
          <w:bCs w:val="0"/>
          <w:color w:val="auto"/>
          <w:sz w:val="32"/>
          <w:szCs w:val="32"/>
          <w:lang w:val="en-US" w:eastAsia="zh-CN"/>
        </w:rPr>
        <w:t>生产红线</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kern w:val="2"/>
          <w:sz w:val="32"/>
          <w:szCs w:val="32"/>
          <w:highlight w:val="none"/>
          <w:lang w:val="en-US" w:eastAsia="zh-CN" w:bidi="ar-SA"/>
        </w:rPr>
        <w:t>明确安全管理权责，制定党政领导干部安全生产“职责清单”与“年度任务清单</w:t>
      </w:r>
      <w:r>
        <w:rPr>
          <w:rFonts w:hint="default" w:ascii="Times New Roman" w:hAnsi="Times New Roman" w:eastAsia="仿宋_GB2312" w:cs="Times New Roman"/>
          <w:sz w:val="32"/>
          <w:szCs w:val="32"/>
          <w:highlight w:val="none"/>
          <w:lang w:val="en-US" w:eastAsia="zh-CN"/>
        </w:rPr>
        <w:t>”，明确各部门的安全生产职责和任务；严格对照《化工园</w:t>
      </w:r>
      <w:r>
        <w:rPr>
          <w:rFonts w:hint="default" w:ascii="Times New Roman" w:hAnsi="Times New Roman" w:eastAsia="仿宋_GB2312" w:cs="Times New Roman"/>
          <w:color w:val="auto"/>
          <w:kern w:val="2"/>
          <w:sz w:val="32"/>
          <w:szCs w:val="32"/>
          <w:highlight w:val="none"/>
          <w:lang w:val="en-US" w:eastAsia="zh-CN" w:bidi="ar-SA"/>
        </w:rPr>
        <w:t>区安全风险排查治理导则》和《湖南省严格化工园区建设标准和</w:t>
      </w:r>
      <w:r>
        <w:rPr>
          <w:rFonts w:hint="default" w:ascii="Times New Roman" w:hAnsi="Times New Roman" w:eastAsia="仿宋_GB2312" w:cs="Times New Roman"/>
          <w:color w:val="auto"/>
          <w:sz w:val="32"/>
          <w:szCs w:val="32"/>
        </w:rPr>
        <w:t>认定管理办法》深入开展自查工作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有序推进D级化工园区创建工作。</w:t>
      </w:r>
    </w:p>
    <w:p w14:paraId="445CCD0E">
      <w:pPr>
        <w:keepNext w:val="0"/>
        <w:keepLines w:val="0"/>
        <w:pageBreakBefore w:val="0"/>
        <w:numPr>
          <w:ilvl w:val="0"/>
          <w:numId w:val="0"/>
        </w:numPr>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楷体_GB2312" w:cs="Times New Roman"/>
          <w:bCs/>
          <w:sz w:val="32"/>
          <w:szCs w:val="32"/>
          <w:lang w:val="en-US" w:eastAsia="zh-CN"/>
        </w:rPr>
        <w:t>3.降本增效。</w:t>
      </w:r>
      <w:r>
        <w:rPr>
          <w:rFonts w:hint="eastAsia" w:ascii="仿宋_GB2312" w:hAnsi="仿宋_GB2312" w:eastAsia="仿宋_GB2312" w:cs="仿宋_GB2312"/>
          <w:color w:val="auto"/>
          <w:kern w:val="2"/>
          <w:sz w:val="32"/>
          <w:szCs w:val="32"/>
          <w:highlight w:val="none"/>
          <w:lang w:val="en-US" w:eastAsia="zh-CN" w:bidi="ar-SA"/>
        </w:rPr>
        <w:t>牢固树立“要素跟着项目走”的意识，以供电、供水、供汽等基本生产要素为基础，逐一摸排、统筹分析企业的关键生产需求，针对18项要素制定了推进方案及要素保障降本增效工作任务分解表，由市级领导挂帅，重点部门牵头，责任单位跟进。对污水处理：进行污水预处理与后端处理一体化，降低污水处理费5元/m³，每年节省企业成本1800万元以上；蒸汽要素：通过蒸汽压力阶梯利用，全年节省用电22.5万度，节约成本20万元以上；冷却水处理：启动综合利用建设项目，推动总产能提升20%～30%；公共检测：引进专业检测机构，每年节省检测费用8%～10%。并持续推进各项要素保障措施，力争做到最低成本保供、最低价格保底，真正实现为企业降本增效。</w:t>
      </w:r>
    </w:p>
    <w:p w14:paraId="0B214FFD">
      <w:pPr>
        <w:pStyle w:val="2"/>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eastAsia="楷体_GB2312" w:cs="Times New Roman"/>
          <w:bCs/>
          <w:sz w:val="32"/>
          <w:szCs w:val="32"/>
          <w:lang w:val="en-US" w:eastAsia="zh-CN"/>
        </w:rPr>
        <w:t>4</w:t>
      </w:r>
      <w:r>
        <w:rPr>
          <w:rFonts w:hint="eastAsia" w:ascii="Times New Roman" w:hAnsi="Times New Roman" w:eastAsia="楷体_GB2312" w:cs="Times New Roman"/>
          <w:bCs/>
          <w:sz w:val="32"/>
          <w:szCs w:val="32"/>
          <w:lang w:val="en-US" w:eastAsia="zh-CN"/>
        </w:rPr>
        <w:t>.</w:t>
      </w:r>
      <w:r>
        <w:rPr>
          <w:rFonts w:hint="eastAsia" w:ascii="Times New Roman" w:eastAsia="楷体_GB2312" w:cs="Times New Roman"/>
          <w:bCs/>
          <w:sz w:val="32"/>
          <w:szCs w:val="32"/>
          <w:lang w:val="en-US" w:eastAsia="zh-CN"/>
        </w:rPr>
        <w:t>履职能效。</w:t>
      </w:r>
      <w:r>
        <w:rPr>
          <w:rFonts w:hint="eastAsia" w:ascii="仿宋_GB2312" w:hAnsi="仿宋_GB2312" w:eastAsia="仿宋_GB2312" w:cs="仿宋_GB2312"/>
          <w:color w:val="auto"/>
          <w:kern w:val="2"/>
          <w:sz w:val="32"/>
          <w:szCs w:val="32"/>
          <w:highlight w:val="none"/>
          <w:lang w:val="en-US" w:eastAsia="zh-CN" w:bidi="ar-SA"/>
        </w:rPr>
        <w:t>始终牢牢把握高质量发展这个首要任务，以科技强动力，持续增强高质量发展动力活力。截至目前，津市高新区获评“2024(区域)最具投资营商价值园区(省级)”，津市酶制剂产业集群成为湖南省中小特色产业集群，津市生物医药新型工业化示范基地2024年度发展质量获四星级评价。园区拥有国家级专精特新“小巨人”2家；数字化转型贯标1家；省级智能制造标杆企业1家；省级专精特新中小企业7家；省级新材料中试平台1家；省级企业技术中心5家；省级制造业单项冠军2家；省级绿色工厂2家；新增1家省级众创空间；积极组织园区生物医药企业参加2024合成生物制造产业发展大会（中国·常德）等系列活动。</w:t>
      </w:r>
    </w:p>
    <w:p w14:paraId="58E5772F">
      <w:pPr>
        <w:pStyle w:val="2"/>
        <w:ind w:firstLine="640" w:firstLineChars="200"/>
        <w:rPr>
          <w:rFonts w:hint="eastAsia" w:ascii="Times New Roman" w:eastAsia="仿宋_GB2312" w:cs="Times New Roman"/>
          <w:color w:val="auto"/>
          <w:sz w:val="32"/>
          <w:szCs w:val="32"/>
          <w:lang w:eastAsia="zh-CN"/>
        </w:rPr>
      </w:pPr>
      <w:r>
        <w:rPr>
          <w:rFonts w:hint="eastAsia" w:ascii="Times New Roman" w:eastAsia="楷体_GB2312" w:cs="Times New Roman"/>
          <w:bCs/>
          <w:sz w:val="32"/>
          <w:szCs w:val="32"/>
          <w:lang w:val="en-US" w:eastAsia="zh-CN"/>
        </w:rPr>
        <w:t>5</w:t>
      </w:r>
      <w:r>
        <w:rPr>
          <w:rFonts w:hint="eastAsia" w:ascii="Times New Roman" w:hAnsi="Times New Roman" w:eastAsia="楷体_GB2312" w:cs="Times New Roman"/>
          <w:bCs/>
          <w:sz w:val="32"/>
          <w:szCs w:val="32"/>
          <w:lang w:val="en-US" w:eastAsia="zh-CN"/>
        </w:rPr>
        <w:t>.</w:t>
      </w:r>
      <w:r>
        <w:rPr>
          <w:rFonts w:hint="eastAsia" w:ascii="Times New Roman" w:eastAsia="楷体_GB2312" w:cs="Times New Roman"/>
          <w:bCs/>
          <w:sz w:val="32"/>
          <w:szCs w:val="32"/>
          <w:lang w:val="en-US" w:eastAsia="zh-CN"/>
        </w:rPr>
        <w:t>可持续发展能力。</w:t>
      </w:r>
      <w:r>
        <w:rPr>
          <w:rFonts w:hint="default" w:ascii="Times New Roman" w:hAnsi="Times New Roman" w:eastAsia="仿宋_GB2312" w:cs="Times New Roman"/>
          <w:color w:val="auto"/>
          <w:sz w:val="32"/>
          <w:szCs w:val="32"/>
          <w:highlight w:val="none"/>
          <w:lang w:val="en-US" w:eastAsia="zh-CN"/>
        </w:rPr>
        <w:t>一是完成园区调区工作。根据《推进产业园区调区工作实施方案》文件要求，已完成园区调区工作，将清远路南侧及长山湖周边；团湖小区、团湖示范小区、戚家小区；孟姜女大道以东毗邻澧水（生态红线）区域；毗邻胥家湖的防护绿化用地区域等非产业用地调出园区范围，调出面积为2806.2亩，调区后园区总面积为13323.3亩。二是完成化工片区扩区工作。已完成化工园区扩片工作，新增化工用地面积1570.35亩，化工片区总面积达3146.1亩。三是推进低效（空闲）土地闲置清理。分类施策开展低效土地清理。已编制《2024年度低效（空闲）土地处置方案》，计划完成低效（空闲）土地处置393.37亩。截至目前，目前已全部完成土地清理任务393.37亩。其中，开发建设经世新、科益新、康捷等3宗地块，共计155.82亩；协商回收嘉山实业、楚天纺织、新鲁包装、津市市农村信用合作联社等4宗地块，共计237.55亩。</w:t>
      </w:r>
      <w:r>
        <w:rPr>
          <w:rFonts w:hint="eastAsia" w:ascii="Times New Roman" w:eastAsia="仿宋_GB2312" w:cs="Times New Roman"/>
          <w:color w:val="auto"/>
          <w:sz w:val="32"/>
          <w:szCs w:val="32"/>
          <w:highlight w:val="none"/>
          <w:lang w:val="en-US" w:eastAsia="zh-CN"/>
        </w:rPr>
        <w:t>四是</w:t>
      </w:r>
      <w:r>
        <w:rPr>
          <w:rFonts w:hint="default" w:ascii="Times New Roman" w:hAnsi="Times New Roman" w:eastAsia="仿宋_GB2312" w:cs="Times New Roman"/>
          <w:sz w:val="32"/>
          <w:szCs w:val="32"/>
          <w:highlight w:val="none"/>
          <w:lang w:val="en-US" w:eastAsia="zh-CN"/>
        </w:rPr>
        <w:t>开展安全检查整治，通过组织专业化排查、开展专家指导服务、聘请消防管家长期驻守等多项安全管理举措对园区企业、工地进行全覆盖，牢牢守住安全生产红线；强化安全教育宣传，组织开展“安全生产月”系列活动，通过印发安全生产主题海报、邀请专家为企业、干部授课，推动企业和园区干部安全生产业务能力和责任意识；</w:t>
      </w:r>
      <w:r>
        <w:rPr>
          <w:rFonts w:hint="default" w:ascii="Times New Roman" w:hAnsi="Times New Roman" w:eastAsia="仿宋_GB2312" w:cs="Times New Roman"/>
          <w:color w:val="auto"/>
          <w:sz w:val="32"/>
          <w:szCs w:val="32"/>
        </w:rPr>
        <w:t>高新区排水防涝项目已完成戚家路、化工园区雨水排放改造工程，冷却水、一企一管（三期）、创新路、创业路、戚关路及雨水排放事故池基本建设完成进入扫尾工作</w:t>
      </w:r>
      <w:r>
        <w:rPr>
          <w:rFonts w:hint="eastAsia" w:asci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污水处理厂三期已完成全部单体主体建设进入设备安装阶段</w:t>
      </w:r>
      <w:r>
        <w:rPr>
          <w:rFonts w:hint="eastAsia" w:ascii="Times New Roman" w:eastAsia="仿宋_GB2312" w:cs="Times New Roman"/>
          <w:color w:val="auto"/>
          <w:sz w:val="32"/>
          <w:szCs w:val="32"/>
          <w:lang w:eastAsia="zh-CN"/>
        </w:rPr>
        <w:t>。</w:t>
      </w:r>
    </w:p>
    <w:p w14:paraId="25E3E10F">
      <w:pPr>
        <w:pStyle w:val="2"/>
        <w:ind w:firstLine="640" w:firstLineChars="200"/>
        <w:rPr>
          <w:rFonts w:hint="eastAsia" w:ascii="Times New Roman" w:eastAsia="仿宋_GB2312" w:cs="Times New Roman"/>
          <w:color w:val="auto"/>
          <w:sz w:val="32"/>
          <w:szCs w:val="32"/>
          <w:lang w:val="en-US" w:eastAsia="zh-CN"/>
        </w:rPr>
      </w:pPr>
      <w:r>
        <w:rPr>
          <w:rFonts w:hint="eastAsia" w:ascii="Times New Roman" w:eastAsia="楷体_GB2312" w:cs="Times New Roman"/>
          <w:bCs/>
          <w:sz w:val="32"/>
          <w:szCs w:val="32"/>
          <w:lang w:val="en-US" w:eastAsia="zh-CN"/>
        </w:rPr>
        <w:t>6</w:t>
      </w:r>
      <w:r>
        <w:rPr>
          <w:rFonts w:hint="eastAsia" w:ascii="Times New Roman" w:hAnsi="Times New Roman" w:eastAsia="楷体_GB2312" w:cs="Times New Roman"/>
          <w:bCs/>
          <w:sz w:val="32"/>
          <w:szCs w:val="32"/>
          <w:lang w:val="en-US" w:eastAsia="zh-CN"/>
        </w:rPr>
        <w:t>.</w:t>
      </w:r>
      <w:r>
        <w:rPr>
          <w:rFonts w:hint="eastAsia" w:ascii="Times New Roman" w:eastAsia="楷体_GB2312" w:cs="Times New Roman"/>
          <w:bCs/>
          <w:sz w:val="32"/>
          <w:szCs w:val="32"/>
          <w:lang w:val="en-US" w:eastAsia="zh-CN"/>
        </w:rPr>
        <w:t>服务对象满意度。</w:t>
      </w:r>
      <w:r>
        <w:rPr>
          <w:rFonts w:hint="eastAsia" w:ascii="仿宋_GB2312" w:hAnsi="仿宋_GB2312" w:eastAsia="仿宋_GB2312" w:cs="仿宋_GB2312"/>
          <w:b w:val="0"/>
          <w:bCs w:val="0"/>
          <w:sz w:val="32"/>
          <w:szCs w:val="32"/>
          <w:lang w:val="en-US" w:eastAsia="zh-CN"/>
        </w:rPr>
        <w:t>通过民意调查走访，了解到园区内居民及企业对政府工作满意度达95%以上。</w:t>
      </w:r>
    </w:p>
    <w:p w14:paraId="2830276F">
      <w:pPr>
        <w:pStyle w:val="7"/>
        <w:keepNext w:val="0"/>
        <w:keepLines w:val="0"/>
        <w:pageBreakBefore w:val="0"/>
        <w:widowControl/>
        <w:kinsoku/>
        <w:wordWrap/>
        <w:overflowPunct/>
        <w:topLinePunct w:val="0"/>
        <w:bidi w:val="0"/>
        <w:adjustRightInd/>
        <w:snapToGrid/>
        <w:spacing w:line="580" w:lineRule="exact"/>
        <w:ind w:left="0" w:leftChars="0" w:firstLine="640" w:firstLineChars="200"/>
        <w:jc w:val="left"/>
        <w:textAlignment w:val="auto"/>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2BB8A1EB">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年初预算编制存在缺陷。2024年年初预算编制时对专项债券收支、污水处理费等重要收支项目考虑不足，导致预决算金额差额过大。</w:t>
      </w:r>
    </w:p>
    <w:p w14:paraId="4EBDE4F2">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绩效目标设置不科学。2024年申报的整体绩效目标，不够细化、量化。未能完全与部门年度的任务数或计划数相对应，目标与部门预算匹配不充分。</w:t>
      </w:r>
    </w:p>
    <w:p w14:paraId="6563B780">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eastAsia="黑体"/>
          <w:sz w:val="32"/>
          <w:szCs w:val="32"/>
          <w:highlight w:val="none"/>
        </w:rPr>
      </w:pPr>
      <w:r>
        <w:rPr>
          <w:rFonts w:hint="eastAsia" w:eastAsia="黑体"/>
          <w:sz w:val="32"/>
          <w:szCs w:val="32"/>
          <w:highlight w:val="none"/>
          <w:lang w:eastAsia="zh-CN"/>
        </w:rPr>
        <w:t>五</w:t>
      </w:r>
      <w:r>
        <w:rPr>
          <w:rFonts w:eastAsia="黑体"/>
          <w:sz w:val="32"/>
          <w:szCs w:val="32"/>
          <w:highlight w:val="none"/>
        </w:rPr>
        <w:t>、下一步改进措施</w:t>
      </w:r>
    </w:p>
    <w:p w14:paraId="169AD739">
      <w:pPr>
        <w:keepNext w:val="0"/>
        <w:keepLines w:val="0"/>
        <w:pageBreakBefore w:val="0"/>
        <w:widowControl/>
        <w:kinsoku/>
        <w:wordWrap/>
        <w:overflowPunct/>
        <w:topLinePunct w:val="0"/>
        <w:autoSpaceDE/>
        <w:autoSpaceDN/>
        <w:bidi w:val="0"/>
        <w:adjustRightInd/>
        <w:snapToGrid/>
        <w:spacing w:line="580" w:lineRule="exact"/>
        <w:ind w:firstLine="648"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楷体_GB2312" w:cs="Times New Roman"/>
          <w:color w:val="auto"/>
          <w:spacing w:val="10"/>
          <w:w w:val="95"/>
          <w:sz w:val="32"/>
          <w:szCs w:val="32"/>
          <w:highlight w:val="none"/>
          <w:lang w:val="en-US" w:eastAsia="zh-CN"/>
        </w:rPr>
        <w:t>1.完善预算编制。</w:t>
      </w:r>
      <w:r>
        <w:rPr>
          <w:rFonts w:hint="eastAsia" w:ascii="Times New Roman" w:hAnsi="Times New Roman" w:eastAsia="仿宋_GB2312" w:cs="Times New Roman"/>
          <w:sz w:val="32"/>
          <w:szCs w:val="32"/>
          <w:highlight w:val="none"/>
          <w:lang w:val="en-US" w:eastAsia="zh-CN"/>
        </w:rPr>
        <w:t>结合单位的战略规划、年度工作任务和发展目标，细化预算项目，促进部门协同；提升编制科学性，改进编制方法，引入专业评估；</w:t>
      </w:r>
      <w:r>
        <w:rPr>
          <w:rFonts w:hint="eastAsia" w:ascii="Times New Roman" w:hAnsi="Times New Roman" w:eastAsia="仿宋_GB2312" w:cs="Times New Roman"/>
          <w:sz w:val="32"/>
          <w:szCs w:val="32"/>
          <w:highlight w:val="none"/>
        </w:rPr>
        <w:t>通过清晰、可衡量的指标值予以体现，与部门年度的任务数或计划数相对应</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强化执行与监督，严格执行管理，加强监督检查；</w:t>
      </w:r>
      <w:r>
        <w:rPr>
          <w:rFonts w:ascii="Times New Roman" w:hAnsi="Times New Roman" w:eastAsia="仿宋_GB2312" w:cs="Times New Roman"/>
          <w:sz w:val="32"/>
          <w:szCs w:val="32"/>
          <w:highlight w:val="none"/>
        </w:rPr>
        <w:t>形成科学完整的部门总预算</w:t>
      </w:r>
      <w:r>
        <w:rPr>
          <w:rFonts w:hint="eastAsia" w:ascii="Times New Roman" w:hAnsi="Times New Roman" w:eastAsia="仿宋_GB2312" w:cs="Times New Roman"/>
          <w:sz w:val="32"/>
          <w:szCs w:val="32"/>
          <w:highlight w:val="none"/>
        </w:rPr>
        <w:t>。</w:t>
      </w:r>
    </w:p>
    <w:p w14:paraId="01B51F34">
      <w:pPr>
        <w:keepNext w:val="0"/>
        <w:keepLines w:val="0"/>
        <w:pageBreakBefore w:val="0"/>
        <w:widowControl/>
        <w:kinsoku/>
        <w:wordWrap/>
        <w:overflowPunct/>
        <w:topLinePunct w:val="0"/>
        <w:autoSpaceDE/>
        <w:autoSpaceDN/>
        <w:bidi w:val="0"/>
        <w:adjustRightInd/>
        <w:snapToGrid/>
        <w:spacing w:line="580" w:lineRule="exact"/>
        <w:ind w:firstLine="648"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color w:val="auto"/>
          <w:spacing w:val="10"/>
          <w:w w:val="95"/>
          <w:sz w:val="32"/>
          <w:szCs w:val="32"/>
          <w:highlight w:val="none"/>
          <w:lang w:val="en-US" w:eastAsia="zh-CN"/>
        </w:rPr>
        <w:t>2.改进制度管理。对</w:t>
      </w:r>
      <w:r>
        <w:rPr>
          <w:rFonts w:hint="eastAsia" w:ascii="Times New Roman" w:hAnsi="Times New Roman" w:eastAsia="仿宋_GB2312" w:cs="Times New Roman"/>
          <w:sz w:val="32"/>
          <w:szCs w:val="32"/>
          <w:highlight w:val="none"/>
          <w:lang w:val="en-US" w:eastAsia="zh-CN"/>
        </w:rPr>
        <w:t>单位现行管理制度的进行全面清查，以构建科学完备、务实管用的制度体系。通过地毯式梳理现有管理制度，逐项对照业务实际需求与上级规范要求，精准识别制度缺失、条款陈旧、内容不适配等问题。并结合单位实际工作情况，进行针对性修订和完善，确保制度条款精准覆盖工作全流程。通过系统性整章建制，推动各项工作流程标准化、规范化，实现管理有依据、执行有标准，切实提升部门管理效能与治理水平。</w:t>
      </w:r>
    </w:p>
    <w:p w14:paraId="2F537DF4">
      <w:pPr>
        <w:keepNext w:val="0"/>
        <w:keepLines w:val="0"/>
        <w:pageBreakBefore w:val="0"/>
        <w:widowControl/>
        <w:kinsoku/>
        <w:wordWrap/>
        <w:overflowPunct/>
        <w:topLinePunct w:val="0"/>
        <w:bidi w:val="0"/>
        <w:adjustRightInd/>
        <w:snapToGrid/>
        <w:spacing w:line="580" w:lineRule="exact"/>
        <w:ind w:firstLine="645"/>
        <w:jc w:val="left"/>
        <w:textAlignment w:val="auto"/>
        <w:rPr>
          <w:rFonts w:hint="eastAsia" w:eastAsia="黑体"/>
          <w:sz w:val="32"/>
          <w:szCs w:val="32"/>
          <w:highlight w:val="none"/>
          <w:lang w:eastAsia="zh-CN"/>
        </w:rPr>
      </w:pPr>
      <w:r>
        <w:rPr>
          <w:rFonts w:hint="eastAsia" w:ascii="Times New Roman" w:hAnsi="Times New Roman" w:eastAsia="楷体_GB2312" w:cs="Times New Roman"/>
          <w:color w:val="auto"/>
          <w:spacing w:val="10"/>
          <w:w w:val="95"/>
          <w:sz w:val="32"/>
          <w:szCs w:val="32"/>
          <w:highlight w:val="none"/>
          <w:lang w:val="en-US" w:eastAsia="zh-CN"/>
        </w:rPr>
        <w:t>3.加强绩效管理。</w:t>
      </w:r>
      <w:r>
        <w:rPr>
          <w:rFonts w:hint="eastAsia" w:ascii="仿宋_GB2312" w:hAnsi="仿宋_GB2312" w:eastAsia="仿宋_GB2312" w:cs="仿宋_GB2312"/>
          <w:sz w:val="32"/>
          <w:szCs w:val="32"/>
          <w:highlight w:val="none"/>
          <w:lang w:val="en-US" w:eastAsia="zh-CN"/>
        </w:rPr>
        <w:t>提高绩效认识，重视绩效目标。细化部门工作计划，根据工作计划合理设置绩效目标。</w:t>
      </w:r>
    </w:p>
    <w:p w14:paraId="42055BB2">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eastAsia" w:eastAsia="黑体"/>
          <w:sz w:val="32"/>
          <w:szCs w:val="32"/>
          <w:lang w:eastAsia="zh-CN"/>
        </w:rPr>
      </w:pPr>
      <w:r>
        <w:rPr>
          <w:rFonts w:hint="eastAsia" w:eastAsia="黑体"/>
          <w:sz w:val="32"/>
          <w:szCs w:val="32"/>
          <w:lang w:eastAsia="zh-CN"/>
        </w:rPr>
        <w:t>六、部门整体支出绩效自评结果拟应用和公开情况</w:t>
      </w:r>
    </w:p>
    <w:p w14:paraId="1E9C901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2024年</w:t>
      </w:r>
      <w:r>
        <w:rPr>
          <w:rFonts w:hint="eastAsia" w:eastAsia="仿宋_GB2312" w:cs="Times New Roman"/>
          <w:kern w:val="2"/>
          <w:sz w:val="32"/>
          <w:szCs w:val="32"/>
          <w:highlight w:val="none"/>
          <w:lang w:val="en-US" w:eastAsia="zh-CN" w:bidi="ar-SA"/>
        </w:rPr>
        <w:t>津市高新技术产业开发区管理委员会</w:t>
      </w:r>
      <w:r>
        <w:rPr>
          <w:rFonts w:hint="eastAsia" w:ascii="Times New Roman" w:hAnsi="Times New Roman" w:eastAsia="仿宋_GB2312" w:cs="Times New Roman"/>
          <w:kern w:val="2"/>
          <w:sz w:val="32"/>
          <w:szCs w:val="32"/>
          <w:highlight w:val="none"/>
          <w:lang w:val="en-US" w:eastAsia="zh-CN" w:bidi="ar-SA"/>
        </w:rPr>
        <w:t>部门整体支出绩效被评为优秀。</w:t>
      </w:r>
      <w:r>
        <w:rPr>
          <w:rFonts w:hint="eastAsia" w:eastAsia="仿宋_GB2312" w:cs="Times New Roman"/>
          <w:kern w:val="2"/>
          <w:sz w:val="32"/>
          <w:szCs w:val="32"/>
          <w:highlight w:val="none"/>
          <w:lang w:val="en-US" w:eastAsia="zh-CN" w:bidi="ar-SA"/>
        </w:rPr>
        <w:t>津市高新技术产业开发区管理委员会</w:t>
      </w:r>
      <w:r>
        <w:rPr>
          <w:rFonts w:hint="eastAsia" w:ascii="Times New Roman" w:hAnsi="Times New Roman" w:eastAsia="仿宋_GB2312" w:cs="Times New Roman"/>
          <w:kern w:val="2"/>
          <w:sz w:val="32"/>
          <w:szCs w:val="32"/>
          <w:highlight w:val="none"/>
          <w:lang w:val="en-US" w:eastAsia="zh-CN" w:bidi="ar-SA"/>
        </w:rPr>
        <w:t>按照市财政局的要求在规定时间内将绩效自评报告进行公示。</w:t>
      </w:r>
    </w:p>
    <w:p w14:paraId="5C388E31">
      <w:pPr>
        <w:keepNext w:val="0"/>
        <w:keepLines w:val="0"/>
        <w:pageBreakBefore w:val="0"/>
        <w:widowControl/>
        <w:kinsoku/>
        <w:wordWrap/>
        <w:overflowPunct/>
        <w:topLinePunct w:val="0"/>
        <w:bidi w:val="0"/>
        <w:adjustRightInd/>
        <w:snapToGrid/>
        <w:spacing w:line="580" w:lineRule="exact"/>
        <w:ind w:firstLine="645"/>
        <w:jc w:val="left"/>
        <w:textAlignment w:val="auto"/>
        <w:rPr>
          <w:rFonts w:eastAsia="黑体"/>
          <w:sz w:val="32"/>
          <w:szCs w:val="32"/>
        </w:rPr>
      </w:pPr>
      <w:r>
        <w:rPr>
          <w:rFonts w:hint="eastAsia" w:eastAsia="黑体"/>
          <w:sz w:val="32"/>
          <w:szCs w:val="32"/>
          <w:lang w:eastAsia="zh-CN"/>
        </w:rPr>
        <w:t>七</w:t>
      </w:r>
      <w:r>
        <w:rPr>
          <w:rFonts w:eastAsia="黑体"/>
          <w:sz w:val="32"/>
          <w:szCs w:val="32"/>
        </w:rPr>
        <w:t>、其他需要说明的情况</w:t>
      </w:r>
    </w:p>
    <w:p w14:paraId="56F4966A">
      <w:pPr>
        <w:keepNext w:val="0"/>
        <w:keepLines w:val="0"/>
        <w:pageBreakBefore w:val="0"/>
        <w:widowControl/>
        <w:kinsoku/>
        <w:wordWrap/>
        <w:overflowPunct/>
        <w:topLinePunct w:val="0"/>
        <w:bidi w:val="0"/>
        <w:adjustRightInd/>
        <w:snapToGrid/>
        <w:spacing w:line="580" w:lineRule="exact"/>
        <w:ind w:firstLine="64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00BB1592">
      <w:pPr>
        <w:keepNext w:val="0"/>
        <w:keepLines w:val="0"/>
        <w:pageBreakBefore w:val="0"/>
        <w:widowControl/>
        <w:kinsoku/>
        <w:wordWrap/>
        <w:overflowPunct/>
        <w:topLinePunct w:val="0"/>
        <w:bidi w:val="0"/>
        <w:adjustRightInd/>
        <w:snapToGrid/>
        <w:spacing w:line="580" w:lineRule="exact"/>
        <w:ind w:firstLine="645"/>
        <w:jc w:val="left"/>
        <w:textAlignment w:val="auto"/>
        <w:rPr>
          <w:rFonts w:hint="eastAsia" w:eastAsia="黑体"/>
          <w:sz w:val="32"/>
          <w:szCs w:val="32"/>
          <w:lang w:eastAsia="zh-CN"/>
        </w:rPr>
      </w:pPr>
    </w:p>
    <w:p w14:paraId="070F1761">
      <w:pPr>
        <w:keepNext w:val="0"/>
        <w:keepLines w:val="0"/>
        <w:pageBreakBefore w:val="0"/>
        <w:widowControl/>
        <w:kinsoku/>
        <w:wordWrap/>
        <w:overflowPunct/>
        <w:topLinePunct w:val="0"/>
        <w:bidi w:val="0"/>
        <w:adjustRightInd/>
        <w:snapToGrid/>
        <w:spacing w:line="580" w:lineRule="exact"/>
        <w:ind w:firstLine="645"/>
        <w:jc w:val="left"/>
        <w:textAlignment w:val="auto"/>
        <w:rPr>
          <w:rFonts w:eastAsia="黑体"/>
          <w:sz w:val="32"/>
          <w:szCs w:val="32"/>
        </w:rPr>
      </w:pPr>
    </w:p>
    <w:p w14:paraId="114A4D86">
      <w:pPr>
        <w:keepNext w:val="0"/>
        <w:keepLines w:val="0"/>
        <w:pageBreakBefore w:val="0"/>
        <w:widowControl/>
        <w:kinsoku/>
        <w:wordWrap/>
        <w:overflowPunct/>
        <w:topLinePunct w:val="0"/>
        <w:bidi w:val="0"/>
        <w:adjustRightInd/>
        <w:snapToGrid/>
        <w:spacing w:line="580" w:lineRule="exact"/>
        <w:ind w:firstLine="5120" w:firstLineChars="1600"/>
        <w:jc w:val="both"/>
        <w:textAlignment w:val="auto"/>
        <w:rPr>
          <w:rFonts w:hint="eastAsia" w:eastAsia="仿宋_GB2312"/>
          <w:sz w:val="32"/>
          <w:szCs w:val="32"/>
          <w:lang w:val="en-US" w:eastAsia="zh-CN"/>
        </w:rPr>
      </w:pPr>
      <w:r>
        <w:rPr>
          <w:rFonts w:hint="eastAsia" w:eastAsia="仿宋_GB2312"/>
          <w:sz w:val="32"/>
          <w:szCs w:val="32"/>
          <w:lang w:val="en-US" w:eastAsia="zh-CN"/>
        </w:rPr>
        <w:t>2025年4月27</w:t>
      </w:r>
      <w:bookmarkStart w:id="2" w:name="_GoBack"/>
      <w:bookmarkEnd w:id="2"/>
      <w:r>
        <w:rPr>
          <w:rFonts w:hint="eastAsia" w:eastAsia="仿宋_GB2312"/>
          <w:sz w:val="32"/>
          <w:szCs w:val="32"/>
          <w:lang w:val="en-US" w:eastAsia="zh-CN"/>
        </w:rPr>
        <w:t>日</w:t>
      </w:r>
    </w:p>
    <w:p w14:paraId="599C4093">
      <w:pPr>
        <w:widowControl/>
        <w:spacing w:line="600" w:lineRule="exact"/>
        <w:ind w:firstLine="645"/>
        <w:jc w:val="left"/>
        <w:rPr>
          <w:rFonts w:eastAsia="黑体"/>
          <w:sz w:val="32"/>
          <w:szCs w:val="32"/>
        </w:rPr>
      </w:pPr>
    </w:p>
    <w:p w14:paraId="2E6C6607">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报告需要以下附件：</w:t>
      </w:r>
    </w:p>
    <w:p w14:paraId="451566DB">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14:paraId="48621FBB">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2.部门整体支出绩效自评表</w:t>
      </w:r>
    </w:p>
    <w:p w14:paraId="36816164">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3.项目支出绩效自评表（一个项目支出一张表）</w:t>
      </w:r>
    </w:p>
    <w:p w14:paraId="477E9607">
      <w:pPr>
        <w:widowControl/>
        <w:spacing w:line="600" w:lineRule="exact"/>
        <w:ind w:firstLine="640" w:firstLineChars="200"/>
        <w:jc w:val="left"/>
        <w:rPr>
          <w:rFonts w:hint="default" w:eastAsia="仿宋_GB2312"/>
          <w:sz w:val="32"/>
          <w:szCs w:val="32"/>
          <w:lang w:val="en-US" w:eastAsia="zh-CN"/>
        </w:rPr>
      </w:pPr>
    </w:p>
    <w:p w14:paraId="627EF879">
      <w:pPr>
        <w:jc w:val="both"/>
        <w:rPr>
          <w:rFonts w:hint="eastAsia" w:ascii="宋体" w:hAnsi="宋体" w:eastAsia="宋体" w:cs="宋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_GBK">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600E9"/>
    <w:multiLevelType w:val="singleLevel"/>
    <w:tmpl w:val="CBF600E9"/>
    <w:lvl w:ilvl="0" w:tentative="0">
      <w:start w:val="1"/>
      <w:numFmt w:val="chineseCounting"/>
      <w:suff w:val="nothing"/>
      <w:lvlText w:val="(%1）"/>
      <w:lvlJc w:val="left"/>
      <w:rPr>
        <w:rFonts w:hint="eastAsia"/>
      </w:rPr>
    </w:lvl>
  </w:abstractNum>
  <w:abstractNum w:abstractNumId="1">
    <w:nsid w:val="7FF72D04"/>
    <w:multiLevelType w:val="singleLevel"/>
    <w:tmpl w:val="7FF72D0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jRhZjU4ZWU2Mjc2YTQyNGRmMGQ4MDhlZDBkYWQifQ=="/>
  </w:docVars>
  <w:rsids>
    <w:rsidRoot w:val="7C2F3E9A"/>
    <w:rsid w:val="0CF07AA8"/>
    <w:rsid w:val="1585401F"/>
    <w:rsid w:val="15E5C323"/>
    <w:rsid w:val="16B81BD0"/>
    <w:rsid w:val="23F68839"/>
    <w:rsid w:val="2DEE159F"/>
    <w:rsid w:val="37FC4AAA"/>
    <w:rsid w:val="38F70F1D"/>
    <w:rsid w:val="3D3DAF47"/>
    <w:rsid w:val="3D3FC28C"/>
    <w:rsid w:val="3D57C82F"/>
    <w:rsid w:val="3EFF1554"/>
    <w:rsid w:val="3FDD79DC"/>
    <w:rsid w:val="3FFFF463"/>
    <w:rsid w:val="4BDFEC9E"/>
    <w:rsid w:val="517F3518"/>
    <w:rsid w:val="55B7B47B"/>
    <w:rsid w:val="5CFA13CD"/>
    <w:rsid w:val="5E7F9BD8"/>
    <w:rsid w:val="5FDD718E"/>
    <w:rsid w:val="639E1C19"/>
    <w:rsid w:val="6F5DB8CC"/>
    <w:rsid w:val="6FDF5FB8"/>
    <w:rsid w:val="6FFD4F57"/>
    <w:rsid w:val="72DFC2FA"/>
    <w:rsid w:val="76F5DB31"/>
    <w:rsid w:val="778F8A56"/>
    <w:rsid w:val="77AF0A2C"/>
    <w:rsid w:val="77F08977"/>
    <w:rsid w:val="77F34564"/>
    <w:rsid w:val="77FB4573"/>
    <w:rsid w:val="77FF0AE3"/>
    <w:rsid w:val="79F99D6A"/>
    <w:rsid w:val="7A79B1A5"/>
    <w:rsid w:val="7B35663C"/>
    <w:rsid w:val="7C2F3E9A"/>
    <w:rsid w:val="7D3B09DD"/>
    <w:rsid w:val="7EBF895A"/>
    <w:rsid w:val="7EE1F0CB"/>
    <w:rsid w:val="7EF3ACA1"/>
    <w:rsid w:val="7FAD040A"/>
    <w:rsid w:val="7FBFF683"/>
    <w:rsid w:val="7FF8635F"/>
    <w:rsid w:val="7FFF2CBE"/>
    <w:rsid w:val="7FFF674B"/>
    <w:rsid w:val="8FE92A53"/>
    <w:rsid w:val="9D5B7DFE"/>
    <w:rsid w:val="9F4EA6A4"/>
    <w:rsid w:val="AEFF45D2"/>
    <w:rsid w:val="AF9CB110"/>
    <w:rsid w:val="BBAC49C0"/>
    <w:rsid w:val="BC6BB988"/>
    <w:rsid w:val="BFF7D782"/>
    <w:rsid w:val="D2FF046E"/>
    <w:rsid w:val="D3CFFF5B"/>
    <w:rsid w:val="D69900EE"/>
    <w:rsid w:val="D6DB31CF"/>
    <w:rsid w:val="DF6B81AF"/>
    <w:rsid w:val="E3B77E56"/>
    <w:rsid w:val="EE6A4560"/>
    <w:rsid w:val="EFFDC542"/>
    <w:rsid w:val="F7DEA769"/>
    <w:rsid w:val="F7E7C17B"/>
    <w:rsid w:val="F7FF12E9"/>
    <w:rsid w:val="FAEFEB95"/>
    <w:rsid w:val="FBDB6E9D"/>
    <w:rsid w:val="FBFD0730"/>
    <w:rsid w:val="FD6F7F74"/>
    <w:rsid w:val="FDD73830"/>
    <w:rsid w:val="FDFF5C69"/>
    <w:rsid w:val="FE3F46A1"/>
    <w:rsid w:val="FE7F0AA5"/>
    <w:rsid w:val="FEFFBE98"/>
    <w:rsid w:val="FF9E49ED"/>
    <w:rsid w:val="FFBD9AD5"/>
    <w:rsid w:val="FFF74773"/>
    <w:rsid w:val="FFF762A4"/>
    <w:rsid w:val="FFF952BB"/>
    <w:rsid w:val="FFFB0EED"/>
    <w:rsid w:val="FFFF3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1"/>
    <w:qFormat/>
    <w:uiPriority w:val="99"/>
    <w:pPr>
      <w:autoSpaceDE w:val="0"/>
      <w:autoSpaceDN w:val="0"/>
      <w:adjustRightInd w:val="0"/>
      <w:jc w:val="left"/>
    </w:pPr>
    <w:rPr>
      <w:rFonts w:ascii="?????_GBK" w:hAnsi="Times New Roman"/>
      <w:color w:val="000000"/>
      <w:kern w:val="0"/>
      <w:sz w:val="24"/>
    </w:rPr>
  </w:style>
  <w:style w:type="paragraph" w:styleId="3">
    <w:name w:val="Body Text Indent"/>
    <w:basedOn w:val="1"/>
    <w:qFormat/>
    <w:uiPriority w:val="0"/>
    <w:pPr>
      <w:spacing w:after="120"/>
      <w:ind w:left="420" w:leftChars="200"/>
    </w:pPr>
    <w:rPr>
      <w:rFonts w:ascii="Times New Roman" w:hAnsi="Times New Roman"/>
    </w:rPr>
  </w:style>
  <w:style w:type="paragraph" w:styleId="4">
    <w:name w:val="Body Text First Indent 2"/>
    <w:basedOn w:val="3"/>
    <w:qFormat/>
    <w:uiPriority w:val="0"/>
    <w:pPr>
      <w:spacing w:before="100" w:beforeAutospacing="1" w:after="0"/>
      <w:ind w:left="0" w:firstLine="420" w:firstLineChars="200"/>
    </w:pPr>
    <w:rPr>
      <w:rFonts w:ascii="Calibri" w:hAnsi="Calibri"/>
    </w:rPr>
  </w:style>
  <w:style w:type="paragraph" w:styleId="7">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563</Words>
  <Characters>599</Characters>
  <Lines>0</Lines>
  <Paragraphs>0</Paragraphs>
  <TotalTime>0</TotalTime>
  <ScaleCrop>false</ScaleCrop>
  <LinksUpToDate>false</LinksUpToDate>
  <CharactersWithSpaces>609</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2023-03-18T15:17:00Z</dcterms:created>
  <dc:creator>毛毛</dc:creator>
  <cp:lastModifiedBy>admini</cp:lastModifiedBy>
  <dcterms:modified xsi:type="dcterms:W3CDTF">2025-04-27T11:32:10Z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3E50F5A3659F40C69A158502AC92D306</vt:lpwstr>
  </property>
  <property fmtid="{D5CDD505-2E9C-101B-9397-08002B2CF9AE}" pid="4" name="KSOTemplateDocerSaveRecord">
    <vt:lpwstr>eyJoZGlkIjoiNjA2MjRhZjU4ZWU2Mjc2YTQyNGRmMGQ4MDhlZDBkYWQifQ==</vt:lpwstr>
  </property>
</Properties>
</file>