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82483">
      <w:pPr>
        <w:jc w:val="center"/>
        <w:rPr>
          <w:rFonts w:hint="eastAsia" w:ascii="黑体" w:hAnsi="黑体" w:eastAsia="黑体" w:cs="黑体"/>
          <w:sz w:val="44"/>
          <w:szCs w:val="44"/>
          <w:lang w:val="en-US" w:eastAsia="zh-CN"/>
        </w:rPr>
      </w:pPr>
    </w:p>
    <w:p w14:paraId="0E4262C9">
      <w:pPr>
        <w:jc w:val="center"/>
        <w:rPr>
          <w:rFonts w:hint="eastAsia" w:ascii="黑体" w:hAnsi="黑体" w:eastAsia="黑体" w:cs="黑体"/>
          <w:sz w:val="48"/>
          <w:szCs w:val="48"/>
          <w:lang w:val="en-US" w:eastAsia="zh-CN"/>
        </w:rPr>
      </w:pPr>
    </w:p>
    <w:p w14:paraId="3ACC20A6">
      <w:pPr>
        <w:jc w:val="center"/>
        <w:rPr>
          <w:rFonts w:hint="eastAsia" w:ascii="黑体" w:hAnsi="黑体" w:eastAsia="黑体" w:cs="黑体"/>
          <w:sz w:val="48"/>
          <w:szCs w:val="48"/>
          <w:lang w:val="en-US" w:eastAsia="zh-CN"/>
        </w:rPr>
      </w:pPr>
    </w:p>
    <w:p w14:paraId="06526BDD">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2024年度部门整体支出绩效</w:t>
      </w:r>
    </w:p>
    <w:p w14:paraId="4BCC9A8F">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自评报告</w:t>
      </w:r>
    </w:p>
    <w:p w14:paraId="224ABE35">
      <w:pPr>
        <w:jc w:val="center"/>
        <w:rPr>
          <w:rFonts w:hint="eastAsia" w:ascii="黑体" w:hAnsi="黑体" w:eastAsia="黑体" w:cs="黑体"/>
          <w:sz w:val="48"/>
          <w:szCs w:val="48"/>
          <w:lang w:val="en-US" w:eastAsia="zh-CN"/>
        </w:rPr>
      </w:pPr>
    </w:p>
    <w:p w14:paraId="1677C306">
      <w:pPr>
        <w:jc w:val="center"/>
        <w:rPr>
          <w:rFonts w:hint="eastAsia" w:ascii="黑体" w:hAnsi="黑体" w:eastAsia="黑体" w:cs="黑体"/>
          <w:sz w:val="48"/>
          <w:szCs w:val="48"/>
          <w:lang w:val="en-US" w:eastAsia="zh-CN"/>
        </w:rPr>
      </w:pPr>
    </w:p>
    <w:p w14:paraId="07543CB9">
      <w:pPr>
        <w:jc w:val="center"/>
        <w:rPr>
          <w:rFonts w:hint="eastAsia" w:ascii="黑体" w:hAnsi="黑体" w:eastAsia="黑体" w:cs="黑体"/>
          <w:sz w:val="48"/>
          <w:szCs w:val="48"/>
          <w:lang w:val="en-US" w:eastAsia="zh-CN"/>
        </w:rPr>
      </w:pPr>
    </w:p>
    <w:p w14:paraId="444950BE">
      <w:pPr>
        <w:jc w:val="center"/>
        <w:rPr>
          <w:rFonts w:hint="eastAsia" w:ascii="黑体" w:hAnsi="黑体" w:eastAsia="黑体" w:cs="黑体"/>
          <w:sz w:val="48"/>
          <w:szCs w:val="48"/>
          <w:lang w:val="en-US" w:eastAsia="zh-CN"/>
        </w:rPr>
      </w:pPr>
    </w:p>
    <w:p w14:paraId="575939F5">
      <w:pPr>
        <w:jc w:val="both"/>
        <w:rPr>
          <w:rFonts w:hint="eastAsia" w:ascii="黑体" w:hAnsi="黑体" w:eastAsia="黑体" w:cs="黑体"/>
          <w:sz w:val="48"/>
          <w:szCs w:val="48"/>
          <w:lang w:val="en-US" w:eastAsia="zh-CN"/>
        </w:rPr>
      </w:pPr>
    </w:p>
    <w:p w14:paraId="10E79862">
      <w:pPr>
        <w:jc w:val="center"/>
        <w:rPr>
          <w:rFonts w:hint="eastAsia" w:ascii="黑体" w:hAnsi="黑体" w:eastAsia="黑体" w:cs="黑体"/>
          <w:sz w:val="48"/>
          <w:szCs w:val="48"/>
          <w:lang w:val="en-US" w:eastAsia="zh-CN"/>
        </w:rPr>
      </w:pPr>
    </w:p>
    <w:p w14:paraId="105C4C10">
      <w:pPr>
        <w:jc w:val="center"/>
        <w:rPr>
          <w:rFonts w:hint="eastAsia" w:ascii="黑体" w:hAnsi="黑体" w:eastAsia="黑体" w:cs="黑体"/>
          <w:sz w:val="48"/>
          <w:szCs w:val="48"/>
          <w:lang w:val="en-US" w:eastAsia="zh-CN"/>
        </w:rPr>
      </w:pPr>
    </w:p>
    <w:p w14:paraId="18226903">
      <w:pPr>
        <w:jc w:val="center"/>
        <w:rPr>
          <w:rFonts w:hint="eastAsia" w:ascii="黑体" w:hAnsi="黑体" w:eastAsia="黑体" w:cs="黑体"/>
          <w:sz w:val="48"/>
          <w:szCs w:val="48"/>
          <w:lang w:val="en-US" w:eastAsia="zh-CN"/>
        </w:rPr>
      </w:pPr>
    </w:p>
    <w:p w14:paraId="2D7068FF">
      <w:pPr>
        <w:ind w:firstLine="1080" w:firstLineChars="300"/>
        <w:jc w:val="lef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单位名称（盖章）：</w:t>
      </w:r>
    </w:p>
    <w:p w14:paraId="33B66C4A">
      <w:pPr>
        <w:ind w:firstLine="1080" w:firstLineChars="300"/>
        <w:jc w:val="left"/>
        <w:rPr>
          <w:rFonts w:hint="eastAsia" w:ascii="宋体" w:hAnsi="宋体" w:eastAsia="宋体" w:cs="宋体"/>
          <w:sz w:val="36"/>
          <w:szCs w:val="36"/>
          <w:lang w:val="en-US" w:eastAsia="zh-CN"/>
        </w:rPr>
      </w:pPr>
    </w:p>
    <w:p w14:paraId="43A20881">
      <w:pPr>
        <w:jc w:val="left"/>
        <w:rPr>
          <w:rFonts w:hint="eastAsia" w:ascii="宋体" w:hAnsi="宋体" w:eastAsia="宋体" w:cs="宋体"/>
          <w:sz w:val="36"/>
          <w:szCs w:val="36"/>
          <w:lang w:val="en-US" w:eastAsia="zh-CN"/>
        </w:rPr>
      </w:pPr>
    </w:p>
    <w:p w14:paraId="03C01475">
      <w:pPr>
        <w:ind w:firstLine="1080" w:firstLineChars="300"/>
        <w:jc w:val="left"/>
        <w:rPr>
          <w:rFonts w:hint="eastAsia" w:ascii="宋体" w:hAnsi="宋体" w:eastAsia="宋体" w:cs="宋体"/>
          <w:sz w:val="36"/>
          <w:szCs w:val="36"/>
          <w:lang w:val="en-US" w:eastAsia="zh-CN"/>
        </w:rPr>
      </w:pPr>
    </w:p>
    <w:p w14:paraId="2708F1CC">
      <w:pPr>
        <w:ind w:firstLine="3240" w:firstLineChars="900"/>
        <w:jc w:val="both"/>
        <w:rPr>
          <w:rFonts w:hint="eastAsia" w:ascii="宋体" w:hAnsi="宋体" w:eastAsia="宋体" w:cs="宋体"/>
          <w:sz w:val="36"/>
          <w:szCs w:val="36"/>
          <w:lang w:val="en-US" w:eastAsia="zh-CN"/>
        </w:rPr>
      </w:pPr>
    </w:p>
    <w:p w14:paraId="3703F64D">
      <w:pPr>
        <w:ind w:firstLine="3240" w:firstLineChars="900"/>
        <w:jc w:val="both"/>
        <w:rPr>
          <w:rFonts w:hint="eastAsia" w:ascii="宋体" w:hAnsi="宋体" w:eastAsia="宋体" w:cs="宋体"/>
          <w:sz w:val="36"/>
          <w:szCs w:val="36"/>
          <w:lang w:val="en-US" w:eastAsia="zh-CN"/>
        </w:rPr>
      </w:pPr>
    </w:p>
    <w:p w14:paraId="14054EEB">
      <w:pPr>
        <w:ind w:firstLine="3240" w:firstLineChars="900"/>
        <w:jc w:val="both"/>
        <w:rPr>
          <w:rFonts w:hint="eastAsia" w:ascii="宋体" w:hAnsi="宋体" w:eastAsia="宋体" w:cs="宋体"/>
          <w:sz w:val="36"/>
          <w:szCs w:val="36"/>
          <w:lang w:val="en-US" w:eastAsia="zh-CN"/>
        </w:rPr>
      </w:pPr>
    </w:p>
    <w:p w14:paraId="120B0581">
      <w:pPr>
        <w:ind w:firstLine="3240" w:firstLineChars="900"/>
        <w:jc w:val="both"/>
        <w:rPr>
          <w:rFonts w:hint="eastAsia" w:ascii="宋体" w:hAnsi="宋体" w:eastAsia="宋体" w:cs="宋体"/>
          <w:sz w:val="36"/>
          <w:szCs w:val="36"/>
          <w:lang w:val="en-US" w:eastAsia="zh-CN"/>
        </w:rPr>
      </w:pPr>
    </w:p>
    <w:p w14:paraId="0C358EA4">
      <w:pPr>
        <w:spacing w:line="600" w:lineRule="exact"/>
        <w:jc w:val="center"/>
        <w:rPr>
          <w:rFonts w:hint="eastAsia" w:eastAsia="方正小标宋_GBK"/>
          <w:sz w:val="36"/>
          <w:szCs w:val="36"/>
          <w:lang w:val="en-US" w:eastAsia="zh-CN"/>
        </w:rPr>
      </w:pPr>
    </w:p>
    <w:p w14:paraId="080C125A">
      <w:pPr>
        <w:spacing w:line="600" w:lineRule="exact"/>
        <w:jc w:val="center"/>
        <w:rPr>
          <w:rFonts w:eastAsia="方正小标宋_GBK"/>
          <w:sz w:val="36"/>
          <w:szCs w:val="36"/>
        </w:rPr>
      </w:pPr>
      <w:r>
        <w:rPr>
          <w:rFonts w:hint="eastAsia" w:eastAsia="方正小标宋_GBK"/>
          <w:sz w:val="36"/>
          <w:szCs w:val="36"/>
          <w:lang w:val="en-US" w:eastAsia="zh-CN"/>
        </w:rPr>
        <w:t>共青团津市市委2024年度</w:t>
      </w:r>
      <w:r>
        <w:rPr>
          <w:rFonts w:eastAsia="方正小标宋_GBK"/>
          <w:sz w:val="36"/>
          <w:szCs w:val="36"/>
        </w:rPr>
        <w:t>部门整体支出</w:t>
      </w:r>
    </w:p>
    <w:p w14:paraId="144D2593">
      <w:pPr>
        <w:spacing w:line="600" w:lineRule="exact"/>
        <w:jc w:val="center"/>
        <w:rPr>
          <w:rFonts w:eastAsia="方正小标宋_GBK"/>
          <w:sz w:val="32"/>
          <w:szCs w:val="32"/>
        </w:rPr>
      </w:pPr>
      <w:r>
        <w:rPr>
          <w:rFonts w:eastAsia="方正小标宋_GBK"/>
          <w:sz w:val="36"/>
          <w:szCs w:val="36"/>
        </w:rPr>
        <w:t>绩效</w:t>
      </w:r>
      <w:r>
        <w:rPr>
          <w:rFonts w:hint="eastAsia" w:eastAsia="方正小标宋_GBK"/>
          <w:sz w:val="36"/>
          <w:szCs w:val="36"/>
          <w:lang w:eastAsia="zh-CN"/>
        </w:rPr>
        <w:t>自评</w:t>
      </w:r>
      <w:r>
        <w:rPr>
          <w:rFonts w:eastAsia="方正小标宋_GBK"/>
          <w:sz w:val="36"/>
          <w:szCs w:val="36"/>
        </w:rPr>
        <w:t>报告</w:t>
      </w:r>
    </w:p>
    <w:p w14:paraId="6A2C6300">
      <w:pPr>
        <w:spacing w:line="600" w:lineRule="exact"/>
        <w:jc w:val="center"/>
        <w:rPr>
          <w:rFonts w:eastAsia="方正小标宋_GBK"/>
          <w:sz w:val="32"/>
          <w:szCs w:val="32"/>
        </w:rPr>
      </w:pPr>
    </w:p>
    <w:p w14:paraId="5F6CBEAF">
      <w:pPr>
        <w:pStyle w:val="7"/>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14:paraId="054DB91C">
      <w:pPr>
        <w:pStyle w:val="7"/>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1、单位机构、人员情况</w:t>
      </w:r>
    </w:p>
    <w:p w14:paraId="04EE9F86">
      <w:pPr>
        <w:pStyle w:val="7"/>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共青团津市市委为独立核算的行政单位，属一级预算单位。根据编委核定，我委不含下属单位或机构。</w:t>
      </w:r>
    </w:p>
    <w:p w14:paraId="545713B9">
      <w:pPr>
        <w:pStyle w:val="7"/>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p>
    <w:p w14:paraId="5C420175">
      <w:pPr>
        <w:pStyle w:val="7"/>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共青团津市市委行政编制数核定为3人（其中正科级职数1人，副科级职数2人），2024年末实有在职人数为3人。</w:t>
      </w:r>
    </w:p>
    <w:p w14:paraId="367E615A">
      <w:pPr>
        <w:pStyle w:val="7"/>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单位主要职责</w:t>
      </w:r>
    </w:p>
    <w:p w14:paraId="06835381">
      <w:pPr>
        <w:pStyle w:val="7"/>
        <w:widowControl/>
        <w:numPr>
          <w:ilvl w:val="0"/>
          <w:numId w:val="0"/>
        </w:numPr>
        <w:spacing w:line="600" w:lineRule="exact"/>
        <w:ind w:left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行使中共津市市委赋予的领导全市共青团、青联、学联和少先队工作的职权，对全市性青年社团组织进行指导和管理。参与制定全市青少年事业发展规划和青少年工作的规范性文件，负责青少年文化活动阵地和青少年服务机构的建设与管理。参与有关青少年事务的法律、法规的实施，维护未成年人合法权益，协助市委、市人民政府处理，协调与青少年利益相关的事务。调查青年思想动态和青年工作状况，研究青少年运动、青少年工作理论和思想教育问题，提出相应对策，开展各种活动。研究青少年违法犯罪问题，协同有关部门开展青少年法制教育工作，预防青少年犯罪。协助政府教育部门做好中、小学生的教育管理工作，维护学校稳定和社会安定团结。在全市经济建设中，组织和带领青年发挥生力军和突击队作用。协助各级党组织管理团的干部；负责办理直属单位团组织和团干部的审批手续；指导各级团组织做好团员的教育和管理工作。会同有关部门负责青少年外事和市内外青少年组织、团体的交流工作。做好青年统战对象的团结教育工作。承办市委、市人民政府交办的其它事项。</w:t>
      </w:r>
    </w:p>
    <w:p w14:paraId="718672E2">
      <w:pPr>
        <w:pStyle w:val="7"/>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单位财务情况（资产负债情况）</w:t>
      </w:r>
    </w:p>
    <w:p w14:paraId="58DDFDDF">
      <w:pPr>
        <w:pStyle w:val="7"/>
        <w:widowControl/>
        <w:numPr>
          <w:ilvl w:val="0"/>
          <w:numId w:val="0"/>
        </w:num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无负债</w:t>
      </w:r>
    </w:p>
    <w:p w14:paraId="3F179030">
      <w:pPr>
        <w:pStyle w:val="7"/>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绩效目标</w:t>
      </w:r>
    </w:p>
    <w:p w14:paraId="5253815C">
      <w:pPr>
        <w:pStyle w:val="7"/>
        <w:widowControl/>
        <w:numPr>
          <w:ilvl w:val="0"/>
          <w:numId w:val="0"/>
        </w:numPr>
        <w:spacing w:line="600" w:lineRule="exact"/>
        <w:ind w:left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无</w:t>
      </w:r>
    </w:p>
    <w:p w14:paraId="31952953">
      <w:pPr>
        <w:pStyle w:val="7"/>
        <w:widowControl/>
        <w:spacing w:line="600" w:lineRule="exact"/>
        <w:ind w:left="640" w:firstLine="0" w:firstLineChars="0"/>
        <w:rPr>
          <w:rFonts w:hint="default" w:ascii="Times New Roman" w:hAnsi="Times New Roman" w:eastAsia="黑体"/>
          <w:sz w:val="32"/>
          <w:szCs w:val="32"/>
          <w:lang w:val="en-US" w:eastAsia="zh-CN"/>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部门整体支出情况</w:t>
      </w:r>
    </w:p>
    <w:p w14:paraId="11863998">
      <w:pPr>
        <w:pStyle w:val="7"/>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一般公共预算支出情况</w:t>
      </w:r>
    </w:p>
    <w:p w14:paraId="6FE85071">
      <w:pPr>
        <w:pStyle w:val="7"/>
        <w:widowControl/>
        <w:spacing w:line="600" w:lineRule="exact"/>
        <w:rPr>
          <w:rFonts w:hint="eastAsia" w:eastAsia="仿宋_GB2312"/>
          <w:sz w:val="32"/>
          <w:szCs w:val="32"/>
          <w:lang w:eastAsia="zh-CN"/>
        </w:rPr>
      </w:pPr>
      <w:r>
        <w:rPr>
          <w:rFonts w:hint="eastAsia" w:ascii="Times New Roman" w:hAnsi="Times New Roman" w:eastAsia="黑体"/>
          <w:sz w:val="32"/>
          <w:szCs w:val="32"/>
          <w:lang w:val="en-US" w:eastAsia="zh-CN"/>
        </w:rPr>
        <w:t>1.</w:t>
      </w:r>
      <w:r>
        <w:rPr>
          <w:rFonts w:ascii="Times New Roman" w:hAnsi="Times New Roman" w:eastAsia="黑体"/>
          <w:sz w:val="32"/>
          <w:szCs w:val="32"/>
        </w:rPr>
        <w:t>基本支出情况</w:t>
      </w:r>
      <w:r>
        <w:rPr>
          <w:rFonts w:hint="eastAsia" w:ascii="Times New Roman" w:hAnsi="Times New Roman" w:eastAsia="黑体"/>
          <w:sz w:val="32"/>
          <w:szCs w:val="32"/>
          <w:lang w:eastAsia="zh-CN"/>
        </w:rPr>
        <w:t>：</w:t>
      </w:r>
      <w:r>
        <w:rPr>
          <w:rFonts w:hint="eastAsia" w:ascii="Times New Roman" w:hAnsi="Times New Roman" w:eastAsia="仿宋_GB2312" w:cs="Times New Roman"/>
          <w:color w:val="auto"/>
          <w:kern w:val="0"/>
          <w:sz w:val="32"/>
          <w:szCs w:val="32"/>
          <w:lang w:val="en-US" w:eastAsia="zh-CN"/>
        </w:rPr>
        <w:t>2024</w:t>
      </w:r>
      <w:r>
        <w:rPr>
          <w:rFonts w:hint="default" w:ascii="Times New Roman" w:hAnsi="Times New Roman" w:eastAsia="仿宋_GB2312" w:cs="Times New Roman"/>
          <w:color w:val="auto"/>
          <w:kern w:val="0"/>
          <w:sz w:val="32"/>
          <w:szCs w:val="32"/>
          <w:lang w:val="en-US" w:eastAsia="zh-CN"/>
        </w:rPr>
        <w:t>年本年支出</w:t>
      </w:r>
      <w:r>
        <w:rPr>
          <w:rFonts w:hint="eastAsia" w:ascii="Times New Roman" w:hAnsi="Times New Roman" w:eastAsia="仿宋_GB2312" w:cs="Times New Roman"/>
          <w:color w:val="auto"/>
          <w:kern w:val="0"/>
          <w:sz w:val="32"/>
          <w:szCs w:val="32"/>
          <w:lang w:val="en-US" w:eastAsia="zh-CN"/>
        </w:rPr>
        <w:t>74.11</w:t>
      </w:r>
      <w:r>
        <w:rPr>
          <w:rFonts w:hint="default" w:ascii="Times New Roman" w:hAnsi="Times New Roman" w:eastAsia="仿宋_GB2312" w:cs="Times New Roman"/>
          <w:color w:val="auto"/>
          <w:kern w:val="0"/>
          <w:sz w:val="32"/>
          <w:szCs w:val="32"/>
          <w:lang w:val="en-US" w:eastAsia="zh-CN"/>
        </w:rPr>
        <w:t>万元</w:t>
      </w:r>
      <w:r>
        <w:rPr>
          <w:rFonts w:hint="eastAsia" w:ascii="仿宋_GB2312" w:hAnsi="仿宋_GB2312" w:eastAsia="仿宋_GB2312" w:cs="仿宋_GB2312"/>
          <w:color w:val="auto"/>
          <w:sz w:val="32"/>
          <w:szCs w:val="32"/>
          <w:lang w:val="en-US" w:eastAsia="zh-CN"/>
        </w:rPr>
        <w:t>，其中：工资福利支出37.37万元，一般商品服务支出36.74万元。</w:t>
      </w:r>
    </w:p>
    <w:p w14:paraId="2447C413">
      <w:pPr>
        <w:pStyle w:val="7"/>
        <w:widowControl/>
        <w:spacing w:line="600" w:lineRule="exact"/>
        <w:ind w:left="0" w:leftChars="0" w:firstLine="640" w:firstLineChars="0"/>
        <w:rPr>
          <w:rFonts w:eastAsia="仿宋_GB2312"/>
          <w:sz w:val="32"/>
          <w:szCs w:val="32"/>
        </w:rPr>
      </w:pPr>
      <w:r>
        <w:rPr>
          <w:rFonts w:hint="eastAsia" w:ascii="Times New Roman" w:hAnsi="Times New Roman" w:eastAsia="黑体"/>
          <w:sz w:val="32"/>
          <w:szCs w:val="32"/>
          <w:lang w:val="en-US" w:eastAsia="zh-CN"/>
        </w:rPr>
        <w:t>2.</w:t>
      </w:r>
      <w:r>
        <w:rPr>
          <w:rFonts w:ascii="Times New Roman" w:hAnsi="Times New Roman" w:eastAsia="黑体"/>
          <w:sz w:val="32"/>
          <w:szCs w:val="32"/>
        </w:rPr>
        <w:t>项目支出情况</w:t>
      </w:r>
      <w:r>
        <w:rPr>
          <w:rFonts w:eastAsia="仿宋_GB2312"/>
          <w:sz w:val="32"/>
          <w:szCs w:val="32"/>
        </w:rPr>
        <w:t>：</w:t>
      </w:r>
    </w:p>
    <w:p w14:paraId="6549773B">
      <w:pPr>
        <w:snapToGrid w:val="0"/>
        <w:spacing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我委20</w:t>
      </w:r>
      <w:r>
        <w:rPr>
          <w:rFonts w:hint="eastAsia" w:ascii="Times New Roman" w:hAnsi="Times New Roman" w:eastAsia="仿宋_GB2312" w:cs="Times New Roman"/>
          <w:color w:val="auto"/>
          <w:kern w:val="0"/>
          <w:sz w:val="32"/>
          <w:szCs w:val="32"/>
          <w:lang w:val="en-US" w:eastAsia="zh-CN"/>
        </w:rPr>
        <w:t>24</w:t>
      </w:r>
      <w:r>
        <w:rPr>
          <w:rFonts w:hint="default" w:ascii="Times New Roman" w:hAnsi="Times New Roman" w:eastAsia="仿宋_GB2312" w:cs="Times New Roman"/>
          <w:color w:val="auto"/>
          <w:kern w:val="0"/>
          <w:sz w:val="32"/>
          <w:szCs w:val="32"/>
          <w:lang w:val="en-US" w:eastAsia="zh-CN"/>
        </w:rPr>
        <w:t>年无</w:t>
      </w:r>
      <w:r>
        <w:rPr>
          <w:rFonts w:hint="eastAsia" w:ascii="Times New Roman" w:hAnsi="Times New Roman" w:eastAsia="仿宋_GB2312" w:cs="Times New Roman"/>
          <w:color w:val="auto"/>
          <w:kern w:val="0"/>
          <w:sz w:val="32"/>
          <w:szCs w:val="32"/>
          <w:lang w:val="en-US" w:eastAsia="zh-CN"/>
        </w:rPr>
        <w:t>项目</w:t>
      </w:r>
      <w:r>
        <w:rPr>
          <w:rFonts w:hint="default" w:ascii="Times New Roman" w:hAnsi="Times New Roman" w:eastAsia="仿宋_GB2312" w:cs="Times New Roman"/>
          <w:color w:val="auto"/>
          <w:kern w:val="0"/>
          <w:sz w:val="32"/>
          <w:szCs w:val="32"/>
          <w:lang w:val="en-US" w:eastAsia="zh-CN"/>
        </w:rPr>
        <w:t>收入支出。</w:t>
      </w:r>
    </w:p>
    <w:p w14:paraId="254101F8">
      <w:pPr>
        <w:numPr>
          <w:ilvl w:val="0"/>
          <w:numId w:val="2"/>
        </w:numPr>
        <w:snapToGrid w:val="0"/>
        <w:spacing w:line="520" w:lineRule="exact"/>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政府性基金预算支出情况</w:t>
      </w:r>
      <w:r>
        <w:rPr>
          <w:rFonts w:hint="eastAsia" w:ascii="Times New Roman" w:hAnsi="Times New Roman" w:eastAsia="黑体"/>
          <w:sz w:val="32"/>
          <w:szCs w:val="32"/>
          <w:lang w:eastAsia="zh-CN"/>
        </w:rPr>
        <w:t>：</w:t>
      </w:r>
    </w:p>
    <w:p w14:paraId="37E60B73">
      <w:pPr>
        <w:numPr>
          <w:ilvl w:val="0"/>
          <w:numId w:val="0"/>
        </w:numPr>
        <w:snapToGrid w:val="0"/>
        <w:spacing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我委20</w:t>
      </w:r>
      <w:r>
        <w:rPr>
          <w:rFonts w:hint="eastAsia" w:ascii="Times New Roman" w:hAnsi="Times New Roman" w:eastAsia="仿宋_GB2312" w:cs="Times New Roman"/>
          <w:color w:val="auto"/>
          <w:kern w:val="0"/>
          <w:sz w:val="32"/>
          <w:szCs w:val="32"/>
          <w:lang w:val="en-US" w:eastAsia="zh-CN"/>
        </w:rPr>
        <w:t>24</w:t>
      </w:r>
      <w:r>
        <w:rPr>
          <w:rFonts w:hint="default" w:ascii="Times New Roman" w:hAnsi="Times New Roman" w:eastAsia="仿宋_GB2312" w:cs="Times New Roman"/>
          <w:color w:val="auto"/>
          <w:kern w:val="0"/>
          <w:sz w:val="32"/>
          <w:szCs w:val="32"/>
          <w:lang w:val="en-US" w:eastAsia="zh-CN"/>
        </w:rPr>
        <w:t>年无政府性基金预算收入支出。</w:t>
      </w:r>
    </w:p>
    <w:p w14:paraId="27111A03">
      <w:pPr>
        <w:pStyle w:val="7"/>
        <w:widowControl/>
        <w:spacing w:line="600" w:lineRule="exact"/>
        <w:ind w:left="0" w:leftChars="0" w:firstLine="640" w:firstLineChars="0"/>
        <w:rPr>
          <w:rFonts w:hint="default" w:eastAsia="仿宋_GB2312"/>
          <w:b/>
          <w:bCs/>
          <w:sz w:val="32"/>
          <w:szCs w:val="32"/>
          <w:lang w:val="en-US" w:eastAsia="zh-CN"/>
        </w:rPr>
      </w:pPr>
    </w:p>
    <w:p w14:paraId="230190CA">
      <w:pPr>
        <w:pStyle w:val="7"/>
        <w:widowControl/>
        <w:spacing w:line="600" w:lineRule="exact"/>
        <w:ind w:left="0" w:leftChars="0" w:firstLine="640" w:firstLineChars="0"/>
        <w:rPr>
          <w:rFonts w:hint="eastAsia" w:eastAsia="仿宋_GB2312"/>
          <w:sz w:val="32"/>
          <w:szCs w:val="32"/>
          <w:lang w:val="en-US" w:eastAsia="zh-CN"/>
        </w:rPr>
      </w:pPr>
    </w:p>
    <w:p w14:paraId="2D51642E">
      <w:pPr>
        <w:widowControl/>
        <w:spacing w:line="600" w:lineRule="exact"/>
        <w:ind w:firstLine="645"/>
        <w:jc w:val="left"/>
        <w:rPr>
          <w:rFonts w:eastAsia="黑体"/>
          <w:sz w:val="32"/>
          <w:szCs w:val="32"/>
        </w:rPr>
      </w:pPr>
      <w:r>
        <w:rPr>
          <w:rFonts w:hint="eastAsia" w:eastAsia="黑体"/>
          <w:sz w:val="32"/>
          <w:szCs w:val="32"/>
          <w:lang w:eastAsia="zh-CN"/>
        </w:rPr>
        <w:t>三</w:t>
      </w:r>
      <w:r>
        <w:rPr>
          <w:rFonts w:eastAsia="黑体"/>
          <w:sz w:val="32"/>
          <w:szCs w:val="32"/>
        </w:rPr>
        <w:t>、部门整体支出绩效情况</w:t>
      </w:r>
    </w:p>
    <w:p w14:paraId="2393506C">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（一）全面提升引领力</w:t>
      </w:r>
    </w:p>
    <w:p w14:paraId="757A80BD">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开展“大学习·小课堂”系列活动。促进青年不断深入学习习近平新时代中国特色社会主义思想，特别是全覆盖近5000名团员、青年分4个专题进行了庆祝中华人民共和国成立75周年、党的二十届三中全会精神、习近平总书记五四重要寄语精神、总体国家安全观学习教育的学习。同时，制作团主题记录片《你好！共青团员》，以幸福为主线，分乐在津市、与津同进、以行践德3个版块，横跨近20个地区、联动近800名团员进行了生动展现。制作队主题记录片《你好！少先队员》，以幸福为主线，分红色永传承、欢乐与汗水、传递真善美3个版块，横跨近20个地区、联动近4000名队员进行了生动展现。</w:t>
      </w:r>
    </w:p>
    <w:p w14:paraId="617DE111">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（二）全面提升组织力</w:t>
      </w:r>
    </w:p>
    <w:p w14:paraId="4E89860E">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出队伍建设，搭建完善81162格局。8是扎实开展县域共青团改革，选优配齐团市委本级工作力量，在原有专职1正2副的基础上，通过调研了解、个别座谈、征求地区、部门意见等多种方式，从多个不同领域择优推荐并获任4人为挂、兼职副书记，分管地方、线上工作8项，且聘请1名工作人员，充分统筹利用各方原有资源，更好落实工作、组织活动；1是联系市直、驻津单位团组织、青年组织100家，通过联系青年组织克服相应困难：一些单位有35岁及以下青年，但没有3个及以上团员，不能建立团组织。坚持实事求是，通过团组织、青年组织以实现广泛的组织化联系；162是基层团组织的个数，是横向到边、纵向到底的属地乡镇、街道、村居、社区全覆盖。</w:t>
      </w:r>
    </w:p>
    <w:p w14:paraId="133A1021">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（三）全面提升服务力</w:t>
      </w:r>
    </w:p>
    <w:p w14:paraId="575247D8">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推进“快乐工作·健康生活”主题团日队日活动暨青年文化交流系列活动。紧盯青年需求，不断优化服务，按照津市范围内、常德范围内其他区县、湖南范围内其他地市、全国范围内其他省份4个层次深化推进，每场活动内容分红色教育、民俗交流、网红地区学习、特色文化展演、团建户外拓展5个版块。譬如，汉寿、安乡场，津市近百人到帅孟奇故居陈列馆、颜昌颐故居参观学习，到湖南王饺儿食品股份有限公司进行酱卤文化交流，到野生动物世界考察文化IP打造，到仙桃基地多元体验互动，提升整体凝聚力、战斗力。有益有趣、深入生动，取得了良好效果。</w:t>
      </w:r>
    </w:p>
    <w:p w14:paraId="68249E0D">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（四）全面提升大局贡献度</w:t>
      </w:r>
    </w:p>
    <w:p w14:paraId="05A0EC0C">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断深化帮扶青年创业就业、企业招工、招商引资工作。成立津市青少年希望公益服务中心，以市场化、社会化、专业化方式运作，积极争取企业、社会爱心人士、各级基金会支持，募集资金投入具备一定可行性的青年创业项目；联合中公等培训机构对有志于回津发展的青年进行公考笔试免费培训；联合人社等单位开展招聘招工、培训讲座系列活动，譬如，中秋前夕在望江楼举办的招聘夜市，吸引近500名青年参加；借助省青企协平台，加强同青年企业家线上线下联系联动近10次，推动省青企协津市行落实，另特别收集其中属于动植保产业链企业的青年企业家信息进行拜访及邀请考察，全力完成动植保产业小组分配的招引任务。同时，常态联系服务好本地联系企业渔经生物，经常走访收集企业情况并向上反馈，推动困难解决。</w:t>
      </w:r>
    </w:p>
    <w:p w14:paraId="274A03A4">
      <w:pPr>
        <w:pStyle w:val="7"/>
        <w:widowControl/>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112C3091">
      <w:pPr>
        <w:widowControl/>
        <w:spacing w:line="600" w:lineRule="exact"/>
        <w:ind w:firstLine="640" w:firstLineChars="200"/>
        <w:jc w:val="left"/>
        <w:rPr>
          <w:rFonts w:hint="eastAsia" w:eastAsia="仿宋_GB2312"/>
          <w:sz w:val="32"/>
          <w:szCs w:val="32"/>
          <w:lang w:eastAsia="zh-CN"/>
        </w:rPr>
      </w:pPr>
      <w:r>
        <w:rPr>
          <w:rFonts w:hint="eastAsia" w:ascii="仿宋_GB2312" w:hAnsi="仿宋_GB2312" w:eastAsia="仿宋_GB2312" w:cs="仿宋_GB2312"/>
          <w:sz w:val="32"/>
          <w:szCs w:val="32"/>
        </w:rPr>
        <w:t>本单位无其他对单位影响较大的支出情况</w:t>
      </w:r>
      <w:r>
        <w:rPr>
          <w:rFonts w:hint="eastAsia" w:ascii="仿宋_GB2312" w:hAnsi="仿宋_GB2312" w:eastAsia="仿宋_GB2312" w:cs="仿宋_GB2312"/>
          <w:sz w:val="32"/>
          <w:szCs w:val="32"/>
          <w:lang w:eastAsia="zh-CN"/>
        </w:rPr>
        <w:t>。</w:t>
      </w:r>
    </w:p>
    <w:p w14:paraId="26FA81A1">
      <w:pPr>
        <w:widowControl/>
        <w:numPr>
          <w:ilvl w:val="0"/>
          <w:numId w:val="3"/>
        </w:numPr>
        <w:spacing w:line="600" w:lineRule="exact"/>
        <w:ind w:firstLine="640" w:firstLineChars="200"/>
        <w:jc w:val="left"/>
        <w:rPr>
          <w:rFonts w:eastAsia="黑体"/>
          <w:sz w:val="32"/>
          <w:szCs w:val="32"/>
        </w:rPr>
      </w:pPr>
      <w:r>
        <w:rPr>
          <w:rFonts w:eastAsia="黑体"/>
          <w:sz w:val="32"/>
          <w:szCs w:val="32"/>
        </w:rPr>
        <w:t>下一步改进措施</w:t>
      </w:r>
    </w:p>
    <w:p w14:paraId="44554700">
      <w:pPr>
        <w:snapToGrid w:val="0"/>
        <w:spacing w:line="600" w:lineRule="exact"/>
        <w:ind w:firstLine="640" w:firstLineChars="200"/>
        <w:rPr>
          <w:rFonts w:hAnsi="仿宋" w:eastAsia="仿宋"/>
          <w:kern w:val="0"/>
          <w:sz w:val="32"/>
          <w:szCs w:val="32"/>
        </w:rPr>
      </w:pPr>
      <w:r>
        <w:rPr>
          <w:rFonts w:hAnsi="仿宋" w:eastAsia="仿宋"/>
          <w:kern w:val="0"/>
          <w:sz w:val="32"/>
          <w:szCs w:val="32"/>
        </w:rPr>
        <w:t>（一）本单位财务管理、绩效管理、决算组织、编报、审核情况。本部门对财务管理进行规范化，同财政部门及时沟通学习，积极进行财政部门组织的决算、编报、审核等方面工作按时完成，认真如实填报。</w:t>
      </w:r>
    </w:p>
    <w:p w14:paraId="4B797793">
      <w:pPr>
        <w:pStyle w:val="3"/>
      </w:pPr>
      <w:r>
        <w:rPr>
          <w:rFonts w:hAnsi="仿宋" w:eastAsia="仿宋"/>
          <w:kern w:val="0"/>
          <w:sz w:val="32"/>
          <w:szCs w:val="32"/>
        </w:rPr>
        <w:t>（二）本单位决算及绩效信息公开工作开展情况。本单位对预算和决算公开工作按规定认真执行，该填制及时填制，该公开及时公开，该上报及时上报。</w:t>
      </w:r>
    </w:p>
    <w:p w14:paraId="1B02811E">
      <w:pPr>
        <w:pStyle w:val="3"/>
        <w:numPr>
          <w:ilvl w:val="0"/>
          <w:numId w:val="0"/>
        </w:numPr>
      </w:pPr>
    </w:p>
    <w:p w14:paraId="5F54CA8D">
      <w:pPr>
        <w:widowControl/>
        <w:numPr>
          <w:ilvl w:val="0"/>
          <w:numId w:val="3"/>
        </w:numPr>
        <w:spacing w:line="600" w:lineRule="exact"/>
        <w:ind w:left="0" w:leftChars="0" w:firstLine="640" w:firstLineChars="200"/>
        <w:jc w:val="left"/>
        <w:rPr>
          <w:rFonts w:hint="eastAsia" w:eastAsia="黑体"/>
          <w:sz w:val="32"/>
          <w:szCs w:val="32"/>
          <w:lang w:eastAsia="zh-CN"/>
        </w:rPr>
      </w:pPr>
      <w:r>
        <w:rPr>
          <w:rFonts w:hint="eastAsia" w:eastAsia="黑体"/>
          <w:sz w:val="32"/>
          <w:szCs w:val="32"/>
          <w:lang w:eastAsia="zh-CN"/>
        </w:rPr>
        <w:t>部门整体支出绩效自评结果拟应用和公开情况</w:t>
      </w:r>
    </w:p>
    <w:p w14:paraId="2CBBF493">
      <w:pPr>
        <w:pStyle w:val="3"/>
        <w:numPr>
          <w:ilvl w:val="0"/>
          <w:numId w:val="0"/>
        </w:numPr>
        <w:ind w:leftChars="200"/>
        <w:rPr>
          <w:rFonts w:hint="eastAsia"/>
          <w:lang w:eastAsia="zh-CN"/>
        </w:rPr>
      </w:pPr>
      <w:r>
        <w:rPr>
          <w:rFonts w:hint="eastAsia" w:ascii="仿宋_GB2312" w:hAnsi="仿宋_GB2312" w:eastAsia="仿宋_GB2312" w:cs="仿宋_GB2312"/>
          <w:sz w:val="32"/>
          <w:szCs w:val="32"/>
        </w:rPr>
        <w:t>本单位重点经济分类支出中没有存在的问题。</w:t>
      </w:r>
    </w:p>
    <w:p w14:paraId="6793F29E">
      <w:pPr>
        <w:widowControl/>
        <w:numPr>
          <w:ilvl w:val="0"/>
          <w:numId w:val="3"/>
        </w:numPr>
        <w:spacing w:line="600" w:lineRule="exact"/>
        <w:ind w:left="0" w:leftChars="0" w:firstLine="640" w:firstLineChars="200"/>
        <w:jc w:val="left"/>
        <w:rPr>
          <w:rFonts w:eastAsia="黑体"/>
          <w:sz w:val="32"/>
          <w:szCs w:val="32"/>
        </w:rPr>
      </w:pPr>
      <w:r>
        <w:rPr>
          <w:rFonts w:eastAsia="黑体"/>
          <w:sz w:val="32"/>
          <w:szCs w:val="32"/>
        </w:rPr>
        <w:t>其他需要说明的情况</w:t>
      </w:r>
    </w:p>
    <w:p w14:paraId="099FA875">
      <w:pPr>
        <w:pStyle w:val="3"/>
        <w:numPr>
          <w:ilvl w:val="0"/>
          <w:numId w:val="0"/>
        </w:numPr>
        <w:ind w:leftChars="200"/>
        <w:rPr>
          <w:rFonts w:hint="eastAsia" w:eastAsia="仿宋_GB2312"/>
          <w:lang w:eastAsia="zh-CN"/>
        </w:rPr>
      </w:pP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eastAsia="zh-CN"/>
        </w:rPr>
        <w:t>无</w:t>
      </w:r>
    </w:p>
    <w:p w14:paraId="147736E1">
      <w:pPr>
        <w:widowControl/>
        <w:spacing w:line="600" w:lineRule="exact"/>
        <w:ind w:firstLine="645"/>
        <w:jc w:val="left"/>
        <w:rPr>
          <w:rFonts w:eastAsia="黑体"/>
          <w:sz w:val="32"/>
          <w:szCs w:val="32"/>
        </w:rPr>
      </w:pPr>
    </w:p>
    <w:p w14:paraId="54E30994">
      <w:pPr>
        <w:widowControl/>
        <w:spacing w:line="600" w:lineRule="exact"/>
        <w:ind w:firstLine="4480" w:firstLineChars="1400"/>
        <w:jc w:val="both"/>
        <w:rPr>
          <w:rFonts w:hint="default" w:eastAsia="仿宋_GB2312"/>
          <w:sz w:val="32"/>
          <w:szCs w:val="32"/>
          <w:lang w:val="en-US" w:eastAsia="zh-CN"/>
        </w:rPr>
      </w:pPr>
      <w:r>
        <w:rPr>
          <w:rFonts w:hint="eastAsia" w:eastAsia="仿宋_GB2312"/>
          <w:sz w:val="32"/>
          <w:szCs w:val="32"/>
          <w:lang w:val="en-US" w:eastAsia="zh-CN"/>
        </w:rPr>
        <w:t>2025年6月27</w:t>
      </w:r>
      <w:bookmarkStart w:id="0" w:name="_GoBack"/>
      <w:bookmarkEnd w:id="0"/>
      <w:r>
        <w:rPr>
          <w:rFonts w:hint="eastAsia" w:eastAsia="仿宋_GB2312"/>
          <w:sz w:val="32"/>
          <w:szCs w:val="32"/>
          <w:lang w:val="en-US" w:eastAsia="zh-CN"/>
        </w:rPr>
        <w:t>日</w:t>
      </w:r>
    </w:p>
    <w:p w14:paraId="4D2454C5">
      <w:pPr>
        <w:widowControl/>
        <w:spacing w:line="600" w:lineRule="exact"/>
        <w:ind w:firstLine="645"/>
        <w:jc w:val="left"/>
        <w:rPr>
          <w:rFonts w:eastAsia="黑体"/>
          <w:sz w:val="32"/>
          <w:szCs w:val="32"/>
        </w:rPr>
      </w:pPr>
    </w:p>
    <w:p w14:paraId="15EC80EE">
      <w:pPr>
        <w:widowControl/>
        <w:spacing w:line="600" w:lineRule="exact"/>
        <w:ind w:firstLine="645"/>
        <w:jc w:val="left"/>
        <w:rPr>
          <w:rFonts w:eastAsia="黑体"/>
          <w:sz w:val="32"/>
          <w:szCs w:val="32"/>
        </w:rPr>
      </w:pPr>
    </w:p>
    <w:p w14:paraId="27E46EB0">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报告需要以下附件：</w:t>
      </w:r>
    </w:p>
    <w:p w14:paraId="5353E251">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1.部门整体支出绩效评价基础数据表</w:t>
      </w:r>
    </w:p>
    <w:p w14:paraId="6D9B6080">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2.部门整体支出绩效自评表</w:t>
      </w:r>
    </w:p>
    <w:p w14:paraId="5EC311F1">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3.项目支出绩效自评表（一个项目支出一张表）</w:t>
      </w:r>
    </w:p>
    <w:p w14:paraId="34623B7F">
      <w:pPr>
        <w:widowControl/>
        <w:spacing w:line="600" w:lineRule="exact"/>
        <w:ind w:firstLine="640" w:firstLineChars="200"/>
        <w:jc w:val="left"/>
        <w:rPr>
          <w:rFonts w:hint="default" w:eastAsia="仿宋_GB2312"/>
          <w:sz w:val="32"/>
          <w:szCs w:val="32"/>
          <w:lang w:val="en-US" w:eastAsia="zh-CN"/>
        </w:rPr>
      </w:pPr>
    </w:p>
    <w:p w14:paraId="735621B5">
      <w:pPr>
        <w:jc w:val="both"/>
        <w:rPr>
          <w:rFonts w:hint="eastAsia" w:ascii="宋体" w:hAnsi="宋体" w:eastAsia="宋体" w:cs="宋体"/>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CEB651-6031-4846-954A-112090338E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00CAE47-619F-42EB-B0A5-B1A6329C6366}"/>
  </w:font>
  <w:font w:name="方正小标宋_GBK">
    <w:panose1 w:val="02000000000000000000"/>
    <w:charset w:val="86"/>
    <w:family w:val="script"/>
    <w:pitch w:val="default"/>
    <w:sig w:usb0="A00002BF" w:usb1="38CF7CFA" w:usb2="00082016" w:usb3="00000000" w:csb0="00040001" w:csb1="00000000"/>
    <w:embedRegular r:id="rId3" w:fontKey="{D8356E27-7A43-4815-985A-667DC344C536}"/>
  </w:font>
  <w:font w:name="仿宋_GB2312">
    <w:panose1 w:val="02010609030101010101"/>
    <w:charset w:val="86"/>
    <w:family w:val="modern"/>
    <w:pitch w:val="default"/>
    <w:sig w:usb0="00000001" w:usb1="080E0000" w:usb2="00000000" w:usb3="00000000" w:csb0="00040000" w:csb1="00000000"/>
    <w:embedRegular r:id="rId4" w:fontKey="{6357D7F8-7745-43BD-854E-43BA25F77BC9}"/>
  </w:font>
  <w:font w:name="仿宋">
    <w:panose1 w:val="02010609060101010101"/>
    <w:charset w:val="86"/>
    <w:family w:val="auto"/>
    <w:pitch w:val="default"/>
    <w:sig w:usb0="800002BF" w:usb1="38CF7CFA" w:usb2="00000016" w:usb3="00000000" w:csb0="00040001" w:csb1="00000000"/>
    <w:embedRegular r:id="rId5" w:fontKey="{CBAAB327-A4A5-49A7-B8C2-BD2D47C9D68F}"/>
  </w:font>
  <w:font w:name="楷体_GB2312">
    <w:panose1 w:val="02010609030101010101"/>
    <w:charset w:val="86"/>
    <w:family w:val="auto"/>
    <w:pitch w:val="default"/>
    <w:sig w:usb0="00000001" w:usb1="080E0000" w:usb2="00000000" w:usb3="00000000" w:csb0="00040000" w:csb1="00000000"/>
    <w:embedRegular r:id="rId6" w:fontKey="{8410C82E-E3BD-4570-A1B6-BBABE889702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4E4B6"/>
    <w:multiLevelType w:val="singleLevel"/>
    <w:tmpl w:val="86D4E4B6"/>
    <w:lvl w:ilvl="0" w:tentative="0">
      <w:start w:val="2"/>
      <w:numFmt w:val="chineseCounting"/>
      <w:suff w:val="nothing"/>
      <w:lvlText w:val="（%1）"/>
      <w:lvlJc w:val="left"/>
      <w:rPr>
        <w:rFonts w:hint="eastAsia"/>
      </w:rPr>
    </w:lvl>
  </w:abstractNum>
  <w:abstractNum w:abstractNumId="1">
    <w:nsid w:val="D13CD5AD"/>
    <w:multiLevelType w:val="singleLevel"/>
    <w:tmpl w:val="D13CD5AD"/>
    <w:lvl w:ilvl="0" w:tentative="0">
      <w:start w:val="5"/>
      <w:numFmt w:val="chineseCounting"/>
      <w:suff w:val="nothing"/>
      <w:lvlText w:val="%1、"/>
      <w:lvlJc w:val="left"/>
      <w:rPr>
        <w:rFonts w:hint="eastAsia"/>
      </w:rPr>
    </w:lvl>
  </w:abstractNum>
  <w:abstractNum w:abstractNumId="2">
    <w:nsid w:val="0DE59A63"/>
    <w:multiLevelType w:val="singleLevel"/>
    <w:tmpl w:val="0DE59A63"/>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MWI0NjE0MDUxNTEyYjM2NWEyNzkwYzFjYmQwMGQifQ=="/>
  </w:docVars>
  <w:rsids>
    <w:rsidRoot w:val="7C2F3E9A"/>
    <w:rsid w:val="08EC7703"/>
    <w:rsid w:val="0CF07AA8"/>
    <w:rsid w:val="143E3DC5"/>
    <w:rsid w:val="1585401F"/>
    <w:rsid w:val="16B81BD0"/>
    <w:rsid w:val="1B7B3422"/>
    <w:rsid w:val="2F2429C4"/>
    <w:rsid w:val="38F70F1D"/>
    <w:rsid w:val="584F5B41"/>
    <w:rsid w:val="5D4F6922"/>
    <w:rsid w:val="607061DA"/>
    <w:rsid w:val="61043507"/>
    <w:rsid w:val="62D60087"/>
    <w:rsid w:val="7C2F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Normal (Web)"/>
    <w:basedOn w:val="1"/>
    <w:qFormat/>
    <w:uiPriority w:val="0"/>
    <w:rPr>
      <w:rFonts w:ascii="Calibri" w:hAnsi="Calibri"/>
      <w:sz w:val="24"/>
      <w:szCs w:val="22"/>
    </w:rPr>
  </w:style>
  <w:style w:type="paragraph" w:styleId="7">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2499</Words>
  <Characters>2597</Characters>
  <Lines>0</Lines>
  <Paragraphs>0</Paragraphs>
  <TotalTime>0</TotalTime>
  <ScaleCrop>false</ScaleCrop>
  <LinksUpToDate>false</LinksUpToDate>
  <CharactersWithSpaces>2598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2023-03-17T07:17:00Z</dcterms:created>
  <dc:creator>毛毛</dc:creator>
  <cp:lastModifiedBy>陆行云</cp:lastModifiedBy>
  <cp:lastPrinted>2024-12-02T04:18:00Z</cp:lastPrinted>
  <dcterms:modified xsi:type="dcterms:W3CDTF">2025-06-27T07:06:38Z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FE62861A0681436285F6A73FA015D447_13</vt:lpwstr>
  </property>
  <property fmtid="{D5CDD505-2E9C-101B-9397-08002B2CF9AE}" pid="4" name="KSOTemplateDocerSaveRecord">
    <vt:lpwstr>eyJoZGlkIjoiZTU1NzkwZDRhNDhkMjEyZTY1NjA3NWQ3ZmY3OGQwZTIiLCJ1c2VySWQiOiI0Mzc2MjA2ODEifQ==</vt:lpwstr>
  </property>
</Properties>
</file>