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both"/>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ind w:firstLine="1080" w:firstLineChars="300"/>
        <w:jc w:val="left"/>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单位名称（盖章）：津市市财政局</w:t>
      </w:r>
    </w:p>
    <w:p>
      <w:pPr>
        <w:ind w:firstLine="1080" w:firstLineChars="300"/>
        <w:jc w:val="left"/>
        <w:rPr>
          <w:rFonts w:hint="eastAsia" w:ascii="宋体" w:hAnsi="宋体" w:eastAsia="宋体" w:cs="宋体"/>
          <w:sz w:val="36"/>
          <w:szCs w:val="36"/>
          <w:lang w:val="en-US" w:eastAsia="zh-CN"/>
        </w:rPr>
      </w:pPr>
    </w:p>
    <w:p>
      <w:pPr>
        <w:jc w:val="left"/>
        <w:rPr>
          <w:rFonts w:hint="eastAsia" w:ascii="宋体" w:hAnsi="宋体" w:eastAsia="宋体" w:cs="宋体"/>
          <w:sz w:val="36"/>
          <w:szCs w:val="36"/>
          <w:lang w:val="en-US" w:eastAsia="zh-CN"/>
        </w:rPr>
        <w:sectPr>
          <w:pgSz w:w="11906" w:h="16838"/>
          <w:pgMar w:top="1440" w:right="1800" w:bottom="1440" w:left="1800" w:header="851" w:footer="992" w:gutter="0"/>
          <w:cols w:space="425" w:num="1"/>
          <w:docGrid w:type="lines" w:linePitch="312" w:charSpace="0"/>
        </w:sectPr>
      </w:pPr>
    </w:p>
    <w:p>
      <w:pPr>
        <w:jc w:val="left"/>
        <w:rPr>
          <w:rFonts w:hint="eastAsia" w:ascii="宋体" w:hAnsi="宋体" w:eastAsia="宋体" w:cs="宋体"/>
          <w:sz w:val="36"/>
          <w:szCs w:val="36"/>
          <w:lang w:val="en-US" w:eastAsia="zh-CN"/>
        </w:rPr>
      </w:pPr>
    </w:p>
    <w:p>
      <w:pPr>
        <w:ind w:firstLine="1080" w:firstLineChars="300"/>
        <w:jc w:val="left"/>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spacing w:line="600" w:lineRule="exact"/>
        <w:jc w:val="center"/>
        <w:rPr>
          <w:rFonts w:hint="eastAsia" w:eastAsia="方正小标宋_GBK"/>
          <w:sz w:val="36"/>
          <w:szCs w:val="36"/>
          <w:lang w:val="en-US" w:eastAsia="zh-CN"/>
        </w:rPr>
      </w:pPr>
    </w:p>
    <w:p>
      <w:pPr>
        <w:spacing w:line="600" w:lineRule="exact"/>
        <w:jc w:val="center"/>
        <w:rPr>
          <w:rFonts w:eastAsia="方正小标宋_GBK"/>
          <w:sz w:val="36"/>
          <w:szCs w:val="36"/>
        </w:rPr>
      </w:pPr>
      <w:r>
        <w:rPr>
          <w:rFonts w:hint="eastAsia" w:eastAsia="方正小标宋_GBK"/>
          <w:sz w:val="40"/>
          <w:szCs w:val="36"/>
        </w:rPr>
        <w:t>津市市财政局</w:t>
      </w:r>
      <w:r>
        <w:rPr>
          <w:rFonts w:hint="eastAsia" w:eastAsia="方正小标宋_GBK"/>
          <w:sz w:val="36"/>
          <w:szCs w:val="36"/>
          <w:lang w:val="en-US" w:eastAsia="zh-CN"/>
        </w:rPr>
        <w:t>2024年度</w:t>
      </w:r>
      <w:r>
        <w:rPr>
          <w:rFonts w:eastAsia="方正小标宋_GBK"/>
          <w:sz w:val="36"/>
          <w:szCs w:val="36"/>
        </w:rPr>
        <w:t>部门整体支出</w:t>
      </w:r>
    </w:p>
    <w:p>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pPr>
        <w:spacing w:line="600" w:lineRule="exact"/>
        <w:jc w:val="center"/>
        <w:rPr>
          <w:rFonts w:eastAsia="方正小标宋_GBK"/>
          <w:sz w:val="32"/>
          <w:szCs w:val="32"/>
        </w:rPr>
      </w:pPr>
    </w:p>
    <w:p>
      <w:pPr>
        <w:pStyle w:val="6"/>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基本情况</w:t>
      </w:r>
    </w:p>
    <w:p>
      <w:pPr>
        <w:pStyle w:val="6"/>
        <w:widowControl/>
        <w:spacing w:line="600" w:lineRule="exact"/>
        <w:ind w:left="0" w:leftChars="0"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eastAsia="仿宋_GB2312"/>
          <w:color w:val="auto"/>
          <w:sz w:val="32"/>
          <w:szCs w:val="32"/>
        </w:rPr>
        <w:t>我单位内设科室13个，所属事业单位4个，股级公益一类事业单位3个。分别是办公室、人事教育股、预算股、国库股、文行股、综合股、经建生态股、农业农村股、社会保障股、企业股、金融债务股、会计股、绩效监督股；市财政事务中心、市乡镇财政服务中心、市国库集中支付核算中心、市国有资产经营管理中心；市政府采购管理办公室、市财政投资评审中心、市党政机关财务核算中心。</w:t>
      </w:r>
      <w:r>
        <w:rPr>
          <w:rFonts w:hint="eastAsia" w:ascii="仿宋_GB2312" w:eastAsia="仿宋_GB2312"/>
          <w:color w:val="auto"/>
          <w:sz w:val="32"/>
          <w:szCs w:val="32"/>
          <w:lang w:eastAsia="zh-CN"/>
        </w:rPr>
        <w:t>我局共有全额拨款编制人员</w:t>
      </w:r>
      <w:r>
        <w:rPr>
          <w:rFonts w:hint="eastAsia" w:ascii="仿宋_GB2312" w:eastAsia="仿宋_GB2312"/>
          <w:color w:val="auto"/>
          <w:sz w:val="32"/>
          <w:szCs w:val="32"/>
          <w:lang w:val="en-US" w:eastAsia="zh-CN"/>
        </w:rPr>
        <w:t>148人，其中公务员及参照公务员管理人员95人，事业人员53人。</w:t>
      </w:r>
    </w:p>
    <w:p>
      <w:pPr>
        <w:ind w:firstLine="640" w:firstLineChars="200"/>
        <w:rPr>
          <w:rFonts w:hint="default" w:ascii="仿宋_GB2312" w:eastAsia="仿宋_GB2312"/>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eastAsia="仿宋_GB2312"/>
          <w:color w:val="auto"/>
          <w:sz w:val="32"/>
          <w:szCs w:val="32"/>
        </w:rPr>
        <w:t>津市市财政局是隶属于津市市人民政府的全额预算管理行政单位，主要职能是管理全市财政财务收支，贯彻执行国家财税政策，实施财政监督，对国民经济进行宏观调控。</w:t>
      </w:r>
      <w:r>
        <w:rPr>
          <w:rFonts w:hint="eastAsia" w:ascii="仿宋_GB2312" w:eastAsia="仿宋_GB2312"/>
          <w:color w:val="auto"/>
          <w:sz w:val="32"/>
          <w:szCs w:val="32"/>
          <w:lang w:eastAsia="zh-CN"/>
        </w:rPr>
        <w:t>制定年度财政预算草案，执行人大批准的财政预算，审编年度决算，组织实施国有企业清产核资，指导财产评估业务。管理和指导全市会计工作，监督各镇街的财政收支和各部门的财务活动等。</w:t>
      </w:r>
    </w:p>
    <w:p>
      <w:pPr>
        <w:pStyle w:val="6"/>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3、单位财务情况（资产负债情况）</w:t>
      </w:r>
    </w:p>
    <w:p>
      <w:pPr>
        <w:pStyle w:val="6"/>
        <w:widowControl/>
        <w:spacing w:line="60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本单位资产合计389.8万元，其中其他应收款4万元，非流动资产385.8万元；负债合计0.3万元，所有者权益合计389.5万元。</w:t>
      </w:r>
    </w:p>
    <w:p>
      <w:pPr>
        <w:pStyle w:val="6"/>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绩效目标</w:t>
      </w:r>
    </w:p>
    <w:p>
      <w:pPr>
        <w:pStyle w:val="6"/>
        <w:widowControl/>
        <w:spacing w:line="60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一）在市委、市政府的领导下，贯彻执行国家财政、税收的法律等有关政策，在市财政局和市政府授权的范围内制定有关财政、预算等制度；制定年度财政预算草案，执行人大批准的财政预算，审编年度决算；组织实施国有企业清产核资，指导财产评估业务。 </w:t>
      </w:r>
    </w:p>
    <w:p>
      <w:pPr>
        <w:pStyle w:val="6"/>
        <w:widowControl/>
        <w:spacing w:line="60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（二）参与宏观经济的决策和管理，加强资金使用的宏观调整和监督。</w:t>
      </w:r>
    </w:p>
    <w:p>
      <w:pPr>
        <w:pStyle w:val="6"/>
        <w:widowControl/>
        <w:spacing w:line="60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（三）承担市本级各项财政收支管理的责任。</w:t>
      </w:r>
    </w:p>
    <w:p>
      <w:pPr>
        <w:pStyle w:val="6"/>
        <w:widowControl/>
        <w:spacing w:line="60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（四）管理和指导全市会计工作，监督各乡镇（街道）的财政收支和各部门的财务活动。 </w:t>
      </w:r>
    </w:p>
    <w:p>
      <w:pPr>
        <w:pStyle w:val="6"/>
        <w:widowControl/>
        <w:spacing w:line="600" w:lineRule="exact"/>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pPr>
        <w:pStyle w:val="6"/>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pPr>
        <w:widowControl/>
        <w:spacing w:line="600" w:lineRule="exact"/>
        <w:ind w:firstLine="645"/>
        <w:rPr>
          <w:rFonts w:hint="eastAsia" w:ascii="仿宋_GB2312" w:eastAsia="仿宋_GB2312"/>
          <w:color w:val="auto"/>
          <w:sz w:val="32"/>
          <w:szCs w:val="32"/>
          <w:highlight w:val="none"/>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年度基本支出</w:t>
      </w:r>
      <w:r>
        <w:rPr>
          <w:rFonts w:hint="eastAsia" w:ascii="仿宋_GB2312" w:eastAsia="仿宋_GB2312"/>
          <w:color w:val="auto"/>
          <w:sz w:val="32"/>
          <w:szCs w:val="32"/>
          <w:highlight w:val="none"/>
          <w:lang w:val="en-US" w:eastAsia="zh-CN"/>
        </w:rPr>
        <w:t>2854</w:t>
      </w:r>
      <w:r>
        <w:rPr>
          <w:rFonts w:hint="eastAsia" w:ascii="仿宋_GB2312" w:eastAsia="仿宋_GB2312"/>
          <w:color w:val="auto"/>
          <w:sz w:val="32"/>
          <w:szCs w:val="32"/>
          <w:highlight w:val="none"/>
        </w:rPr>
        <w:t>万元，其中：</w:t>
      </w:r>
      <w:r>
        <w:rPr>
          <w:rFonts w:hint="eastAsia" w:ascii="仿宋_GB2312" w:eastAsia="仿宋_GB2312"/>
          <w:color w:val="auto"/>
          <w:sz w:val="32"/>
          <w:szCs w:val="32"/>
          <w:highlight w:val="none"/>
          <w:lang w:eastAsia="zh-CN"/>
        </w:rPr>
        <w:t>工资福利支出</w:t>
      </w:r>
      <w:r>
        <w:rPr>
          <w:rFonts w:hint="eastAsia" w:ascii="仿宋_GB2312" w:eastAsia="仿宋_GB2312"/>
          <w:color w:val="auto"/>
          <w:sz w:val="32"/>
          <w:szCs w:val="32"/>
          <w:highlight w:val="none"/>
          <w:lang w:val="en-US" w:eastAsia="zh-CN"/>
        </w:rPr>
        <w:t>1560万元，一般商品服务支出1181万元，对个人和家庭补助支出75万元，办公设备购置38万元。</w:t>
      </w:r>
    </w:p>
    <w:p>
      <w:pPr>
        <w:pStyle w:val="6"/>
        <w:widowControl/>
        <w:spacing w:line="600" w:lineRule="exact"/>
        <w:ind w:left="0" w:leftChars="0" w:firstLine="640" w:firstLineChars="200"/>
        <w:rPr>
          <w:rFonts w:hint="eastAsia" w:eastAsia="仿宋_GB2312"/>
          <w:color w:val="auto"/>
          <w:sz w:val="32"/>
          <w:szCs w:val="32"/>
          <w:lang w:val="en-US" w:eastAsia="zh-CN"/>
        </w:rPr>
      </w:pPr>
      <w:r>
        <w:rPr>
          <w:rFonts w:hint="eastAsia" w:ascii="Times New Roman" w:hAnsi="Times New Roman" w:eastAsia="黑体"/>
          <w:color w:val="auto"/>
          <w:sz w:val="32"/>
          <w:szCs w:val="32"/>
          <w:lang w:val="en-US" w:eastAsia="zh-CN"/>
        </w:rPr>
        <w:t>2.</w:t>
      </w:r>
      <w:r>
        <w:rPr>
          <w:rFonts w:ascii="Times New Roman" w:hAnsi="Times New Roman" w:eastAsia="黑体"/>
          <w:color w:val="auto"/>
          <w:sz w:val="32"/>
          <w:szCs w:val="32"/>
        </w:rPr>
        <w:t>项目支出情况</w:t>
      </w:r>
      <w:r>
        <w:rPr>
          <w:rFonts w:eastAsia="仿宋_GB2312"/>
          <w:color w:val="auto"/>
          <w:sz w:val="32"/>
          <w:szCs w:val="32"/>
        </w:rPr>
        <w:t>：</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年度项目支出</w:t>
      </w:r>
      <w:r>
        <w:rPr>
          <w:rFonts w:hint="eastAsia" w:ascii="仿宋_GB2312" w:eastAsia="仿宋_GB2312"/>
          <w:color w:val="auto"/>
          <w:sz w:val="32"/>
          <w:szCs w:val="32"/>
          <w:highlight w:val="none"/>
          <w:lang w:val="en-US" w:eastAsia="zh-CN"/>
        </w:rPr>
        <w:t>2039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其中农业保险保费补贴支出</w:t>
      </w:r>
      <w:r>
        <w:rPr>
          <w:rFonts w:hint="eastAsia" w:ascii="仿宋_GB2312" w:eastAsia="仿宋_GB2312"/>
          <w:color w:val="auto"/>
          <w:sz w:val="32"/>
          <w:szCs w:val="32"/>
          <w:highlight w:val="none"/>
          <w:lang w:val="en-US" w:eastAsia="zh-CN"/>
        </w:rPr>
        <w:t>2019万元，“一元民生”保险20万元</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通过公开竞争性遴选，主要用于政策性农业保险保费，对能繁母猪、育肥猪、水稻、油菜等投保品种予以投保；为全市辖区内户籍人口及暂住人口购买“一元民生”民生救助责任保险等。</w:t>
      </w:r>
    </w:p>
    <w:p>
      <w:pPr>
        <w:pStyle w:val="6"/>
        <w:widowControl/>
        <w:spacing w:line="600" w:lineRule="exact"/>
        <w:ind w:left="0" w:leftChars="0" w:firstLine="640" w:firstLineChars="0"/>
        <w:rPr>
          <w:rFonts w:hint="eastAsia" w:eastAsia="黑体"/>
          <w:b/>
          <w:bCs/>
          <w:sz w:val="32"/>
          <w:szCs w:val="32"/>
          <w:lang w:val="en-US" w:eastAsia="zh-CN"/>
        </w:rPr>
      </w:pPr>
      <w:r>
        <w:rPr>
          <w:rFonts w:hint="eastAsia" w:ascii="Times New Roman" w:hAnsi="Times New Roman" w:eastAsia="黑体"/>
          <w:sz w:val="32"/>
          <w:szCs w:val="32"/>
        </w:rPr>
        <w:t>（二）</w:t>
      </w:r>
      <w:r>
        <w:rPr>
          <w:rFonts w:ascii="Times New Roman" w:hAnsi="Times New Roman" w:eastAsia="黑体"/>
          <w:sz w:val="32"/>
          <w:szCs w:val="32"/>
        </w:rPr>
        <w:t>政府性基金预算支出情况</w:t>
      </w:r>
      <w:r>
        <w:rPr>
          <w:rFonts w:hint="eastAsia" w:ascii="Times New Roman" w:hAnsi="Times New Roman" w:eastAsia="黑体"/>
          <w:sz w:val="32"/>
          <w:szCs w:val="32"/>
          <w:lang w:eastAsia="zh-CN"/>
        </w:rPr>
        <w:t>：</w:t>
      </w:r>
      <w:r>
        <w:rPr>
          <w:rFonts w:hint="eastAsia" w:eastAsia="仿宋_GB2312"/>
          <w:sz w:val="32"/>
          <w:szCs w:val="32"/>
          <w:lang w:eastAsia="zh-CN"/>
        </w:rPr>
        <w:t>无</w:t>
      </w:r>
    </w:p>
    <w:p>
      <w:pPr>
        <w:widowControl/>
        <w:spacing w:line="600" w:lineRule="exact"/>
        <w:ind w:firstLine="645"/>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pPr>
        <w:ind w:firstLine="600" w:firstLineChars="200"/>
        <w:rPr>
          <w:rFonts w:hint="eastAsia" w:ascii="华文仿宋" w:hAnsi="华文仿宋" w:eastAsia="华文仿宋" w:cs="华文仿宋"/>
          <w:color w:val="000000"/>
          <w:sz w:val="30"/>
          <w:szCs w:val="30"/>
          <w:lang w:val="en-US" w:eastAsia="zh-CN"/>
        </w:rPr>
      </w:pPr>
      <w:r>
        <w:rPr>
          <w:rFonts w:hint="eastAsia" w:ascii="华文仿宋" w:hAnsi="华文仿宋" w:eastAsia="华文仿宋" w:cs="华文仿宋"/>
          <w:b/>
          <w:bCs/>
          <w:color w:val="000000"/>
          <w:sz w:val="30"/>
          <w:szCs w:val="30"/>
          <w:lang w:val="en-US" w:eastAsia="zh-CN"/>
        </w:rPr>
        <w:t>一是收入组织成效明显。</w:t>
      </w:r>
      <w:r>
        <w:rPr>
          <w:rFonts w:hint="eastAsia" w:ascii="华文仿宋" w:hAnsi="华文仿宋" w:eastAsia="华文仿宋" w:cs="华文仿宋"/>
          <w:color w:val="000000"/>
          <w:sz w:val="30"/>
          <w:szCs w:val="30"/>
          <w:lang w:val="en-US" w:eastAsia="zh-CN"/>
        </w:rPr>
        <w:t>围绕年初预算收入目标，努力克服经济下行、税源不足等不利因素，千方百计抓收促收，以收入稳定确保大局稳定。</w:t>
      </w:r>
      <w:r>
        <w:rPr>
          <w:rFonts w:hint="eastAsia" w:ascii="华文仿宋" w:hAnsi="华文仿宋" w:eastAsia="华文仿宋" w:cs="华文仿宋"/>
          <w:b/>
          <w:bCs/>
          <w:color w:val="000000"/>
          <w:sz w:val="30"/>
          <w:szCs w:val="30"/>
          <w:lang w:val="en-US" w:eastAsia="zh-CN"/>
        </w:rPr>
        <w:t>二是民生发展保障有力。</w:t>
      </w:r>
      <w:r>
        <w:rPr>
          <w:rFonts w:hint="eastAsia" w:ascii="华文仿宋" w:hAnsi="华文仿宋" w:eastAsia="华文仿宋" w:cs="华文仿宋"/>
          <w:color w:val="000000"/>
          <w:sz w:val="30"/>
          <w:szCs w:val="30"/>
          <w:lang w:val="en-US" w:eastAsia="zh-CN"/>
        </w:rPr>
        <w:t>坚持以人民为中心的发展理念，强化财政保障，不断改善民生福祉。</w:t>
      </w:r>
      <w:r>
        <w:rPr>
          <w:rFonts w:hint="eastAsia" w:ascii="华文仿宋" w:hAnsi="华文仿宋" w:eastAsia="华文仿宋" w:cs="华文仿宋"/>
          <w:b/>
          <w:bCs/>
          <w:color w:val="000000"/>
          <w:sz w:val="30"/>
          <w:szCs w:val="30"/>
          <w:lang w:val="en-US" w:eastAsia="zh-CN"/>
        </w:rPr>
        <w:t>三是改革管理有序推进。</w:t>
      </w:r>
      <w:r>
        <w:rPr>
          <w:rFonts w:hint="eastAsia" w:ascii="华文仿宋" w:hAnsi="华文仿宋" w:eastAsia="华文仿宋" w:cs="华文仿宋"/>
          <w:color w:val="000000"/>
          <w:sz w:val="30"/>
          <w:szCs w:val="30"/>
          <w:lang w:val="en-US" w:eastAsia="zh-CN"/>
        </w:rPr>
        <w:t>探索推进零基预算改革，将所有支出以零为出发点，规范部门预算编制，大力压减一般支出，按人平1.4万元增加单位运转基本保障，优先“三保”保障，统筹财力保障全市重大支出，预算编制执行更加精准、规范。</w:t>
      </w:r>
      <w:r>
        <w:rPr>
          <w:rFonts w:hint="eastAsia" w:ascii="华文仿宋" w:hAnsi="华文仿宋" w:eastAsia="华文仿宋" w:cs="华文仿宋"/>
          <w:b/>
          <w:bCs/>
          <w:color w:val="000000"/>
          <w:sz w:val="30"/>
          <w:szCs w:val="30"/>
          <w:lang w:val="en-US" w:eastAsia="zh-CN"/>
        </w:rPr>
        <w:t>四是风险管控守住底线。</w:t>
      </w:r>
      <w:r>
        <w:rPr>
          <w:rFonts w:hint="eastAsia" w:ascii="华文仿宋" w:hAnsi="华文仿宋" w:eastAsia="华文仿宋" w:cs="华文仿宋"/>
          <w:color w:val="000000"/>
          <w:sz w:val="30"/>
          <w:szCs w:val="30"/>
          <w:lang w:val="en-US" w:eastAsia="zh-CN"/>
        </w:rPr>
        <w:t>围绕“三保”、库款和债务等事关财政安全的重点事项，提高风险意识，落实防控措施，切实筑牢安全防线。</w:t>
      </w:r>
      <w:r>
        <w:rPr>
          <w:rFonts w:hint="eastAsia" w:ascii="华文仿宋" w:hAnsi="华文仿宋" w:eastAsia="华文仿宋" w:cs="华文仿宋"/>
          <w:b/>
          <w:bCs/>
          <w:color w:val="000000"/>
          <w:sz w:val="30"/>
          <w:szCs w:val="30"/>
          <w:lang w:val="en-US" w:eastAsia="zh-CN"/>
        </w:rPr>
        <w:t>五是队伍建设不断加强。</w:t>
      </w:r>
      <w:r>
        <w:rPr>
          <w:rFonts w:hint="eastAsia" w:ascii="华文仿宋" w:hAnsi="华文仿宋" w:eastAsia="华文仿宋" w:cs="华文仿宋"/>
          <w:color w:val="000000"/>
          <w:sz w:val="30"/>
          <w:szCs w:val="30"/>
          <w:lang w:val="en-US" w:eastAsia="zh-CN"/>
        </w:rPr>
        <w:t>全面落实管党治党主体责任，坚持班子带头扎实开展党纪学习教育，坚持中心组理论学习，严格落实“第一议题”制度，抓好意识形态工作。</w:t>
      </w:r>
    </w:p>
    <w:p>
      <w:pPr>
        <w:pStyle w:val="6"/>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600" w:lineRule="exact"/>
        <w:ind w:firstLine="640" w:firstLineChars="200"/>
        <w:jc w:val="left"/>
        <w:rPr>
          <w:rFonts w:eastAsia="仿宋_GB2312"/>
          <w:sz w:val="32"/>
          <w:szCs w:val="32"/>
        </w:rPr>
      </w:pPr>
      <w:r>
        <w:rPr>
          <w:rFonts w:hint="eastAsia" w:eastAsia="仿宋_GB2312"/>
          <w:sz w:val="32"/>
          <w:szCs w:val="32"/>
          <w:lang w:eastAsia="zh-CN"/>
        </w:rPr>
        <w:t>产出指标扣</w:t>
      </w:r>
      <w:r>
        <w:rPr>
          <w:rFonts w:hint="eastAsia" w:eastAsia="仿宋_GB2312"/>
          <w:sz w:val="32"/>
          <w:szCs w:val="32"/>
          <w:lang w:val="en-US" w:eastAsia="zh-CN"/>
        </w:rPr>
        <w:t>3分，分别为预算评审项目个数、项目资料整理数量均未达到年初申报数，共扣3分。</w:t>
      </w:r>
      <w:r>
        <w:rPr>
          <w:rFonts w:hint="eastAsia" w:eastAsia="仿宋_GB2312"/>
          <w:sz w:val="32"/>
          <w:szCs w:val="32"/>
          <w:lang w:eastAsia="zh-CN"/>
        </w:rPr>
        <w:t>主要原因是：</w:t>
      </w:r>
      <w:r>
        <w:rPr>
          <w:rFonts w:hint="eastAsia" w:eastAsia="仿宋_GB2312"/>
          <w:sz w:val="32"/>
          <w:szCs w:val="32"/>
          <w:lang w:val="en-US" w:eastAsia="zh-CN"/>
        </w:rPr>
        <w:t>本级资金新建项目的减少，造成该两项指标与年初绩效目标申报时相比有较大出入。</w:t>
      </w:r>
    </w:p>
    <w:p>
      <w:pPr>
        <w:numPr>
          <w:ilvl w:val="0"/>
          <w:numId w:val="2"/>
        </w:numPr>
        <w:ind w:firstLine="640" w:firstLineChars="200"/>
        <w:rPr>
          <w:rFonts w:eastAsia="黑体"/>
          <w:sz w:val="32"/>
          <w:szCs w:val="32"/>
        </w:rPr>
      </w:pPr>
      <w:r>
        <w:rPr>
          <w:rFonts w:eastAsia="黑体"/>
          <w:sz w:val="32"/>
          <w:szCs w:val="32"/>
        </w:rPr>
        <w:t>下一步改进措施</w:t>
      </w:r>
    </w:p>
    <w:p>
      <w:pPr>
        <w:numPr>
          <w:numId w:val="0"/>
        </w:numPr>
        <w:ind w:firstLine="642" w:firstLineChars="200"/>
        <w:rPr>
          <w:rFonts w:eastAsia="黑体"/>
          <w:sz w:val="32"/>
          <w:szCs w:val="32"/>
        </w:rPr>
      </w:pPr>
      <w:r>
        <w:rPr>
          <w:rFonts w:hint="eastAsia" w:eastAsia="仿宋_GB2312"/>
          <w:b/>
          <w:bCs/>
          <w:sz w:val="32"/>
          <w:szCs w:val="32"/>
          <w:lang w:val="en-US" w:eastAsia="zh-CN"/>
        </w:rPr>
        <w:t>一是</w:t>
      </w:r>
      <w:r>
        <w:rPr>
          <w:rFonts w:hint="eastAsia" w:eastAsia="仿宋_GB2312"/>
          <w:sz w:val="32"/>
          <w:szCs w:val="32"/>
          <w:lang w:val="en-US" w:eastAsia="zh-CN"/>
        </w:rPr>
        <w:t>以贯彻积极政策为引领，加强财政统筹促发展；</w:t>
      </w:r>
      <w:r>
        <w:rPr>
          <w:rFonts w:hint="eastAsia" w:eastAsia="仿宋_GB2312"/>
          <w:b/>
          <w:bCs/>
          <w:sz w:val="32"/>
          <w:szCs w:val="32"/>
          <w:lang w:val="en-US" w:eastAsia="zh-CN"/>
        </w:rPr>
        <w:t>二是</w:t>
      </w:r>
      <w:r>
        <w:rPr>
          <w:rFonts w:hint="eastAsia" w:eastAsia="仿宋_GB2312"/>
          <w:sz w:val="32"/>
          <w:szCs w:val="32"/>
          <w:lang w:val="en-US" w:eastAsia="zh-CN"/>
        </w:rPr>
        <w:t>以深化预算改革为总揽，加强财政质效推改革；</w:t>
      </w:r>
      <w:r>
        <w:rPr>
          <w:rFonts w:hint="eastAsia" w:eastAsia="仿宋_GB2312"/>
          <w:b/>
          <w:bCs/>
          <w:sz w:val="32"/>
          <w:szCs w:val="32"/>
          <w:lang w:val="en-US" w:eastAsia="zh-CN"/>
        </w:rPr>
        <w:t>三是</w:t>
      </w:r>
      <w:r>
        <w:rPr>
          <w:rFonts w:hint="eastAsia" w:eastAsia="仿宋_GB2312"/>
          <w:sz w:val="32"/>
          <w:szCs w:val="32"/>
          <w:lang w:val="en-US" w:eastAsia="zh-CN"/>
        </w:rPr>
        <w:t>以完善保障体系为依托，加强财政投入保民生；</w:t>
      </w:r>
      <w:r>
        <w:rPr>
          <w:rFonts w:hint="eastAsia" w:eastAsia="仿宋_GB2312"/>
          <w:b/>
          <w:bCs/>
          <w:sz w:val="32"/>
          <w:szCs w:val="32"/>
          <w:lang w:val="en-US" w:eastAsia="zh-CN"/>
        </w:rPr>
        <w:t>四是</w:t>
      </w:r>
      <w:r>
        <w:rPr>
          <w:rFonts w:hint="eastAsia" w:eastAsia="仿宋_GB2312"/>
          <w:sz w:val="32"/>
          <w:szCs w:val="32"/>
          <w:lang w:val="en-US" w:eastAsia="zh-CN"/>
        </w:rPr>
        <w:t>以落实债务安全为重点，加强财政监管防风险；</w:t>
      </w:r>
      <w:r>
        <w:rPr>
          <w:rFonts w:hint="eastAsia" w:eastAsia="仿宋_GB2312"/>
          <w:b/>
          <w:bCs/>
          <w:sz w:val="32"/>
          <w:szCs w:val="32"/>
          <w:lang w:val="en-US" w:eastAsia="zh-CN"/>
        </w:rPr>
        <w:t>五是</w:t>
      </w:r>
      <w:r>
        <w:rPr>
          <w:rFonts w:hint="eastAsia" w:eastAsia="仿宋_GB2312"/>
          <w:sz w:val="32"/>
          <w:szCs w:val="32"/>
          <w:lang w:val="en-US" w:eastAsia="zh-CN"/>
        </w:rPr>
        <w:t>以优化营商环境为导向，加强财政管理优服务，努力开创我市财政工作的新局面，为建设现代化新津市贡献新的更大力量。</w:t>
      </w:r>
    </w:p>
    <w:p>
      <w:pPr>
        <w:widowControl/>
        <w:spacing w:line="600" w:lineRule="exact"/>
        <w:ind w:firstLine="640" w:firstLineChars="200"/>
        <w:jc w:val="left"/>
        <w:rPr>
          <w:rFonts w:hint="eastAsia" w:eastAsia="黑体"/>
          <w:sz w:val="32"/>
          <w:szCs w:val="32"/>
          <w:lang w:eastAsia="zh-CN"/>
        </w:rPr>
      </w:pPr>
      <w:r>
        <w:rPr>
          <w:rFonts w:hint="eastAsia" w:eastAsia="黑体"/>
          <w:sz w:val="32"/>
          <w:szCs w:val="32"/>
          <w:lang w:eastAsia="zh-CN"/>
        </w:rPr>
        <w:t>六、部门整体支出绩效自评结果拟应用和公开情况</w:t>
      </w:r>
    </w:p>
    <w:p>
      <w:pPr>
        <w:widowControl/>
        <w:numPr>
          <w:ilvl w:val="0"/>
          <w:numId w:val="0"/>
        </w:numPr>
        <w:spacing w:line="60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本单位部门整体支出绩效自评结果已在津市市人民政府网站预算绩效管理模板公开。面对社会经济高速发展的新形势，我们要进一步加强体制与机制创新，科学、规范、和谐、高效的财政管理机制，促进财政管理的科学化、精细化、规范化，实现有限政府资金约束条件下的职能最大化。</w:t>
      </w:r>
    </w:p>
    <w:p>
      <w:pPr>
        <w:widowControl/>
        <w:spacing w:line="600" w:lineRule="exact"/>
        <w:ind w:firstLine="645"/>
        <w:jc w:val="left"/>
        <w:rPr>
          <w:rFonts w:hint="eastAsia" w:eastAsia="黑体"/>
          <w:sz w:val="32"/>
          <w:szCs w:val="32"/>
          <w:lang w:eastAsia="zh-CN"/>
        </w:rPr>
      </w:pPr>
      <w:r>
        <w:rPr>
          <w:rFonts w:hint="eastAsia" w:eastAsia="黑体"/>
          <w:sz w:val="32"/>
          <w:szCs w:val="32"/>
          <w:lang w:eastAsia="zh-CN"/>
        </w:rPr>
        <w:t>七</w:t>
      </w:r>
      <w:r>
        <w:rPr>
          <w:rFonts w:eastAsia="黑体"/>
          <w:sz w:val="32"/>
          <w:szCs w:val="32"/>
        </w:rPr>
        <w:t>、其他需要说明的情况</w:t>
      </w:r>
    </w:p>
    <w:p>
      <w:pPr>
        <w:widowControl/>
        <w:numPr>
          <w:ilvl w:val="0"/>
          <w:numId w:val="0"/>
        </w:numPr>
        <w:spacing w:line="60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无</w:t>
      </w:r>
    </w:p>
    <w:p>
      <w:pPr>
        <w:widowControl/>
        <w:spacing w:line="600" w:lineRule="exact"/>
        <w:ind w:firstLine="645"/>
        <w:jc w:val="left"/>
        <w:rPr>
          <w:rFonts w:eastAsia="黑体"/>
          <w:sz w:val="32"/>
          <w:szCs w:val="32"/>
        </w:rPr>
      </w:pPr>
    </w:p>
    <w:p>
      <w:pPr>
        <w:widowControl/>
        <w:spacing w:line="600" w:lineRule="exact"/>
        <w:ind w:firstLine="4480" w:firstLineChars="1400"/>
        <w:jc w:val="both"/>
        <w:rPr>
          <w:rFonts w:hint="default" w:eastAsia="仿宋_GB2312"/>
          <w:sz w:val="32"/>
          <w:szCs w:val="32"/>
          <w:lang w:val="en-US" w:eastAsia="zh-CN"/>
        </w:rPr>
      </w:pPr>
      <w:r>
        <w:rPr>
          <w:rFonts w:hint="eastAsia" w:eastAsia="仿宋_GB2312"/>
          <w:sz w:val="32"/>
          <w:szCs w:val="32"/>
          <w:lang w:val="en-US" w:eastAsia="zh-CN"/>
        </w:rPr>
        <w:t>2025年6月23日</w:t>
      </w:r>
    </w:p>
    <w:p>
      <w:pPr>
        <w:widowControl/>
        <w:spacing w:line="600" w:lineRule="exact"/>
        <w:ind w:firstLine="645"/>
        <w:jc w:val="left"/>
        <w:rPr>
          <w:rFonts w:eastAsia="黑体"/>
          <w:sz w:val="32"/>
          <w:szCs w:val="32"/>
        </w:rPr>
      </w:pPr>
    </w:p>
    <w:p>
      <w:pPr>
        <w:widowControl/>
        <w:spacing w:line="600" w:lineRule="exact"/>
        <w:ind w:firstLine="645"/>
        <w:jc w:val="left"/>
        <w:rPr>
          <w:rFonts w:eastAsia="黑体"/>
          <w:sz w:val="32"/>
          <w:szCs w:val="32"/>
        </w:rPr>
      </w:pP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w:t>
      </w:r>
      <w:bookmarkStart w:id="0" w:name="_GoBack"/>
      <w:bookmarkEnd w:id="0"/>
      <w:r>
        <w:rPr>
          <w:rFonts w:hint="eastAsia" w:eastAsia="仿宋_GB2312"/>
          <w:sz w:val="32"/>
          <w:szCs w:val="32"/>
          <w:lang w:val="en-US" w:eastAsia="zh-CN"/>
        </w:rPr>
        <w:t>张表）</w:t>
      </w:r>
    </w:p>
    <w:sectPr>
      <w:footerReference r:id="rId3"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BC00C"/>
    <w:multiLevelType w:val="singleLevel"/>
    <w:tmpl w:val="9F7BC00C"/>
    <w:lvl w:ilvl="0" w:tentative="0">
      <w:start w:val="5"/>
      <w:numFmt w:val="chineseCounting"/>
      <w:suff w:val="nothing"/>
      <w:lvlText w:val="%1、"/>
      <w:lvlJc w:val="left"/>
      <w:rPr>
        <w:rFonts w:hint="eastAsia"/>
      </w:rPr>
    </w:lvl>
  </w:abstractNum>
  <w:abstractNum w:abstractNumId="1">
    <w:nsid w:val="FDF77489"/>
    <w:multiLevelType w:val="singleLevel"/>
    <w:tmpl w:val="FDF77489"/>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CF07AA8"/>
    <w:rsid w:val="1585401F"/>
    <w:rsid w:val="16B81BD0"/>
    <w:rsid w:val="1FF7790C"/>
    <w:rsid w:val="1FF9FFD9"/>
    <w:rsid w:val="27F63128"/>
    <w:rsid w:val="2AFF7DDF"/>
    <w:rsid w:val="2B1FCFAF"/>
    <w:rsid w:val="38F70F1D"/>
    <w:rsid w:val="3B8AF49C"/>
    <w:rsid w:val="5F7E04D6"/>
    <w:rsid w:val="66FE7B95"/>
    <w:rsid w:val="73BF5E76"/>
    <w:rsid w:val="73BFB8A1"/>
    <w:rsid w:val="767F75D9"/>
    <w:rsid w:val="798DF763"/>
    <w:rsid w:val="7BFD6056"/>
    <w:rsid w:val="7C2F3E9A"/>
    <w:rsid w:val="7D7FC052"/>
    <w:rsid w:val="7D7FF01D"/>
    <w:rsid w:val="7EDF9617"/>
    <w:rsid w:val="7F7FD867"/>
    <w:rsid w:val="7FBFF4F1"/>
    <w:rsid w:val="7FEA9721"/>
    <w:rsid w:val="99FF3AC3"/>
    <w:rsid w:val="B67F2491"/>
    <w:rsid w:val="BBFD14B9"/>
    <w:rsid w:val="BEF7081B"/>
    <w:rsid w:val="BFEF1053"/>
    <w:rsid w:val="D4DCDC8B"/>
    <w:rsid w:val="DB5FE530"/>
    <w:rsid w:val="DFDF2075"/>
    <w:rsid w:val="E9F349B6"/>
    <w:rsid w:val="EAFD1C08"/>
    <w:rsid w:val="EBF7A71E"/>
    <w:rsid w:val="EFEDA7D7"/>
    <w:rsid w:val="F57F47DF"/>
    <w:rsid w:val="F5FB3585"/>
    <w:rsid w:val="F99F7098"/>
    <w:rsid w:val="FA3AB63C"/>
    <w:rsid w:val="FADF8202"/>
    <w:rsid w:val="FBF7F3C4"/>
    <w:rsid w:val="FDD75F6C"/>
    <w:rsid w:val="FDE7204D"/>
    <w:rsid w:val="FF7FDF52"/>
    <w:rsid w:val="FFBFF32D"/>
    <w:rsid w:val="FFEF11A9"/>
    <w:rsid w:val="FFF18101"/>
    <w:rsid w:val="FFFB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Words>
  <Characters>34</Characters>
  <Lines>0</Lines>
  <Paragraphs>0</Paragraphs>
  <TotalTime>8</TotalTime>
  <ScaleCrop>false</ScaleCrop>
  <LinksUpToDate>false</LinksUpToDate>
  <CharactersWithSpaces>34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2023-03-20T07:17:00Z</dcterms:created>
  <dc:creator>毛毛</dc:creator>
  <cp:lastModifiedBy>kylin</cp:lastModifiedBy>
  <cp:lastPrinted>2024-05-11T01:42:00Z</cp:lastPrinted>
  <dcterms:modified xsi:type="dcterms:W3CDTF">2025-06-23T15:58:31Z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3E50F5A3659F40C69A158502AC92D306</vt:lpwstr>
  </property>
</Properties>
</file>