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2B2" w:rsidRDefault="00C402B2">
      <w:pPr>
        <w:jc w:val="center"/>
        <w:rPr>
          <w:rFonts w:ascii="黑体" w:eastAsia="黑体" w:hAnsi="黑体" w:cs="黑体"/>
          <w:sz w:val="44"/>
          <w:szCs w:val="44"/>
        </w:rPr>
      </w:pPr>
    </w:p>
    <w:p w:rsidR="00C402B2" w:rsidRDefault="00C402B2">
      <w:pPr>
        <w:jc w:val="center"/>
        <w:rPr>
          <w:rFonts w:ascii="黑体" w:eastAsia="黑体" w:hAnsi="黑体" w:cs="黑体"/>
          <w:sz w:val="48"/>
          <w:szCs w:val="48"/>
        </w:rPr>
      </w:pPr>
    </w:p>
    <w:p w:rsidR="00C402B2" w:rsidRDefault="00C402B2">
      <w:pPr>
        <w:jc w:val="center"/>
        <w:rPr>
          <w:rFonts w:ascii="黑体" w:eastAsia="黑体" w:hAnsi="黑体" w:cs="黑体"/>
          <w:sz w:val="48"/>
          <w:szCs w:val="48"/>
        </w:rPr>
      </w:pPr>
    </w:p>
    <w:p w:rsidR="00C402B2" w:rsidRDefault="003714FF">
      <w:pPr>
        <w:jc w:val="center"/>
        <w:rPr>
          <w:rFonts w:ascii="黑体" w:eastAsia="黑体" w:hAnsi="黑体" w:cs="黑体"/>
          <w:sz w:val="48"/>
          <w:szCs w:val="48"/>
        </w:rPr>
      </w:pPr>
      <w:r>
        <w:rPr>
          <w:rFonts w:ascii="黑体" w:eastAsia="黑体" w:hAnsi="黑体" w:cs="黑体" w:hint="eastAsia"/>
          <w:sz w:val="48"/>
          <w:szCs w:val="48"/>
        </w:rPr>
        <w:t>2024年度部门整体支出绩效</w:t>
      </w:r>
    </w:p>
    <w:p w:rsidR="00C402B2" w:rsidRDefault="003714FF">
      <w:pPr>
        <w:jc w:val="center"/>
        <w:rPr>
          <w:rFonts w:ascii="黑体" w:eastAsia="黑体" w:hAnsi="黑体" w:cs="黑体"/>
          <w:sz w:val="48"/>
          <w:szCs w:val="48"/>
        </w:rPr>
      </w:pPr>
      <w:r>
        <w:rPr>
          <w:rFonts w:ascii="黑体" w:eastAsia="黑体" w:hAnsi="黑体" w:cs="黑体" w:hint="eastAsia"/>
          <w:sz w:val="48"/>
          <w:szCs w:val="48"/>
        </w:rPr>
        <w:t>自评报告</w:t>
      </w:r>
    </w:p>
    <w:p w:rsidR="00C402B2" w:rsidRDefault="00C402B2">
      <w:pPr>
        <w:jc w:val="center"/>
        <w:rPr>
          <w:rFonts w:ascii="黑体" w:eastAsia="黑体" w:hAnsi="黑体" w:cs="黑体"/>
          <w:sz w:val="48"/>
          <w:szCs w:val="48"/>
        </w:rPr>
      </w:pPr>
    </w:p>
    <w:p w:rsidR="00C402B2" w:rsidRDefault="00C402B2">
      <w:pPr>
        <w:jc w:val="center"/>
        <w:rPr>
          <w:rFonts w:ascii="黑体" w:eastAsia="黑体" w:hAnsi="黑体" w:cs="黑体"/>
          <w:sz w:val="48"/>
          <w:szCs w:val="48"/>
        </w:rPr>
      </w:pPr>
    </w:p>
    <w:p w:rsidR="00C402B2" w:rsidRDefault="00C402B2">
      <w:pPr>
        <w:jc w:val="center"/>
        <w:rPr>
          <w:rFonts w:ascii="黑体" w:eastAsia="黑体" w:hAnsi="黑体" w:cs="黑体"/>
          <w:sz w:val="48"/>
          <w:szCs w:val="48"/>
        </w:rPr>
      </w:pPr>
    </w:p>
    <w:p w:rsidR="00C402B2" w:rsidRDefault="00C402B2">
      <w:pPr>
        <w:jc w:val="center"/>
        <w:rPr>
          <w:rFonts w:ascii="黑体" w:eastAsia="黑体" w:hAnsi="黑体" w:cs="黑体"/>
          <w:sz w:val="48"/>
          <w:szCs w:val="48"/>
        </w:rPr>
      </w:pPr>
    </w:p>
    <w:p w:rsidR="00C402B2" w:rsidRDefault="00C402B2">
      <w:pPr>
        <w:rPr>
          <w:rFonts w:ascii="黑体" w:eastAsia="黑体" w:hAnsi="黑体" w:cs="黑体"/>
          <w:sz w:val="48"/>
          <w:szCs w:val="48"/>
        </w:rPr>
      </w:pPr>
    </w:p>
    <w:p w:rsidR="00C402B2" w:rsidRDefault="00C402B2">
      <w:pPr>
        <w:jc w:val="center"/>
        <w:rPr>
          <w:rFonts w:ascii="黑体" w:eastAsia="黑体" w:hAnsi="黑体" w:cs="黑体"/>
          <w:sz w:val="48"/>
          <w:szCs w:val="48"/>
        </w:rPr>
      </w:pPr>
    </w:p>
    <w:p w:rsidR="00C402B2" w:rsidRDefault="00C402B2">
      <w:pPr>
        <w:jc w:val="center"/>
        <w:rPr>
          <w:rFonts w:ascii="黑体" w:eastAsia="黑体" w:hAnsi="黑体" w:cs="黑体"/>
          <w:sz w:val="48"/>
          <w:szCs w:val="48"/>
        </w:rPr>
      </w:pPr>
    </w:p>
    <w:p w:rsidR="00C402B2" w:rsidRDefault="00C402B2">
      <w:pPr>
        <w:jc w:val="center"/>
        <w:rPr>
          <w:rFonts w:ascii="黑体" w:eastAsia="黑体" w:hAnsi="黑体" w:cs="黑体"/>
          <w:sz w:val="48"/>
          <w:szCs w:val="48"/>
        </w:rPr>
      </w:pPr>
    </w:p>
    <w:p w:rsidR="00C402B2" w:rsidRDefault="003714FF" w:rsidP="004A44C2">
      <w:pPr>
        <w:ind w:firstLineChars="250" w:firstLine="900"/>
        <w:jc w:val="left"/>
        <w:rPr>
          <w:rFonts w:ascii="宋体" w:eastAsia="宋体" w:hAnsi="宋体" w:cs="宋体"/>
          <w:sz w:val="36"/>
          <w:szCs w:val="36"/>
        </w:rPr>
      </w:pPr>
      <w:r>
        <w:rPr>
          <w:rFonts w:ascii="宋体" w:eastAsia="宋体" w:hAnsi="宋体" w:cs="宋体" w:hint="eastAsia"/>
          <w:sz w:val="36"/>
          <w:szCs w:val="36"/>
        </w:rPr>
        <w:t>单位名称（盖章）：</w:t>
      </w:r>
      <w:r w:rsidR="004A44C2">
        <w:rPr>
          <w:rFonts w:ascii="宋体" w:eastAsia="宋体" w:hAnsi="宋体" w:cs="宋体" w:hint="eastAsia"/>
          <w:sz w:val="36"/>
          <w:szCs w:val="36"/>
        </w:rPr>
        <w:t>津市</w:t>
      </w:r>
      <w:proofErr w:type="gramStart"/>
      <w:r w:rsidR="004A44C2">
        <w:rPr>
          <w:rFonts w:ascii="宋体" w:eastAsia="宋体" w:hAnsi="宋体" w:cs="宋体" w:hint="eastAsia"/>
          <w:sz w:val="36"/>
          <w:szCs w:val="36"/>
        </w:rPr>
        <w:t>市</w:t>
      </w:r>
      <w:proofErr w:type="gramEnd"/>
      <w:r w:rsidR="004A44C2">
        <w:rPr>
          <w:rFonts w:ascii="宋体" w:eastAsia="宋体" w:hAnsi="宋体" w:cs="宋体" w:hint="eastAsia"/>
          <w:sz w:val="36"/>
          <w:szCs w:val="36"/>
        </w:rPr>
        <w:t>住房和城乡建设局</w:t>
      </w:r>
    </w:p>
    <w:p w:rsidR="00C402B2" w:rsidRDefault="00C402B2">
      <w:pPr>
        <w:ind w:firstLineChars="300" w:firstLine="1080"/>
        <w:jc w:val="left"/>
        <w:rPr>
          <w:rFonts w:ascii="宋体" w:eastAsia="宋体" w:hAnsi="宋体" w:cs="宋体"/>
          <w:sz w:val="36"/>
          <w:szCs w:val="36"/>
        </w:rPr>
      </w:pPr>
    </w:p>
    <w:p w:rsidR="00C402B2" w:rsidRDefault="00C402B2">
      <w:pPr>
        <w:jc w:val="left"/>
        <w:rPr>
          <w:rFonts w:ascii="宋体" w:eastAsia="宋体" w:hAnsi="宋体" w:cs="宋体"/>
          <w:sz w:val="36"/>
          <w:szCs w:val="36"/>
        </w:rPr>
      </w:pPr>
    </w:p>
    <w:p w:rsidR="00C402B2" w:rsidRDefault="00C402B2">
      <w:pPr>
        <w:ind w:firstLineChars="300" w:firstLine="1080"/>
        <w:jc w:val="left"/>
        <w:rPr>
          <w:rFonts w:ascii="宋体" w:eastAsia="宋体" w:hAnsi="宋体" w:cs="宋体"/>
          <w:sz w:val="36"/>
          <w:szCs w:val="36"/>
        </w:rPr>
      </w:pPr>
    </w:p>
    <w:p w:rsidR="00C402B2" w:rsidRDefault="00C402B2">
      <w:pPr>
        <w:ind w:firstLineChars="900" w:firstLine="3240"/>
        <w:rPr>
          <w:rFonts w:ascii="宋体" w:eastAsia="宋体" w:hAnsi="宋体" w:cs="宋体"/>
          <w:sz w:val="36"/>
          <w:szCs w:val="36"/>
        </w:rPr>
      </w:pPr>
    </w:p>
    <w:p w:rsidR="00C402B2" w:rsidRDefault="00C402B2">
      <w:pPr>
        <w:ind w:firstLineChars="900" w:firstLine="3240"/>
        <w:rPr>
          <w:rFonts w:ascii="宋体" w:eastAsia="宋体" w:hAnsi="宋体" w:cs="宋体"/>
          <w:sz w:val="36"/>
          <w:szCs w:val="36"/>
        </w:rPr>
      </w:pPr>
    </w:p>
    <w:p w:rsidR="00C402B2" w:rsidRDefault="00C402B2">
      <w:pPr>
        <w:ind w:firstLineChars="900" w:firstLine="3240"/>
        <w:rPr>
          <w:rFonts w:ascii="宋体" w:eastAsia="宋体" w:hAnsi="宋体" w:cs="宋体"/>
          <w:sz w:val="36"/>
          <w:szCs w:val="36"/>
        </w:rPr>
      </w:pPr>
    </w:p>
    <w:p w:rsidR="00C402B2" w:rsidRDefault="00C402B2">
      <w:pPr>
        <w:ind w:firstLineChars="900" w:firstLine="3240"/>
        <w:rPr>
          <w:rFonts w:ascii="宋体" w:eastAsia="宋体" w:hAnsi="宋体" w:cs="宋体"/>
          <w:sz w:val="36"/>
          <w:szCs w:val="36"/>
        </w:rPr>
      </w:pPr>
    </w:p>
    <w:p w:rsidR="00C402B2" w:rsidRDefault="00C402B2">
      <w:pPr>
        <w:spacing w:line="600" w:lineRule="exact"/>
        <w:jc w:val="center"/>
        <w:rPr>
          <w:rFonts w:eastAsia="方正小标宋_GBK"/>
          <w:sz w:val="36"/>
          <w:szCs w:val="36"/>
        </w:rPr>
      </w:pPr>
    </w:p>
    <w:p w:rsidR="00C402B2" w:rsidRDefault="00CA35A1">
      <w:pPr>
        <w:spacing w:line="600" w:lineRule="exact"/>
        <w:jc w:val="center"/>
        <w:rPr>
          <w:rFonts w:eastAsia="方正小标宋_GBK"/>
          <w:sz w:val="36"/>
          <w:szCs w:val="36"/>
        </w:rPr>
      </w:pPr>
      <w:r>
        <w:rPr>
          <w:rFonts w:eastAsia="方正小标宋_GBK" w:hint="eastAsia"/>
          <w:sz w:val="36"/>
          <w:szCs w:val="36"/>
        </w:rPr>
        <w:lastRenderedPageBreak/>
        <w:t>津市</w:t>
      </w:r>
      <w:proofErr w:type="gramStart"/>
      <w:r>
        <w:rPr>
          <w:rFonts w:eastAsia="方正小标宋_GBK" w:hint="eastAsia"/>
          <w:sz w:val="36"/>
          <w:szCs w:val="36"/>
        </w:rPr>
        <w:t>市</w:t>
      </w:r>
      <w:proofErr w:type="gramEnd"/>
      <w:r>
        <w:rPr>
          <w:rFonts w:eastAsia="方正小标宋_GBK" w:hint="eastAsia"/>
          <w:sz w:val="36"/>
          <w:szCs w:val="36"/>
        </w:rPr>
        <w:t>住房和城乡建设局</w:t>
      </w:r>
      <w:r w:rsidR="003714FF">
        <w:rPr>
          <w:rFonts w:eastAsia="方正小标宋_GBK" w:hint="eastAsia"/>
          <w:sz w:val="36"/>
          <w:szCs w:val="36"/>
        </w:rPr>
        <w:t>202</w:t>
      </w:r>
      <w:r>
        <w:rPr>
          <w:rFonts w:eastAsia="方正小标宋_GBK" w:hint="eastAsia"/>
          <w:sz w:val="36"/>
          <w:szCs w:val="36"/>
        </w:rPr>
        <w:t>4</w:t>
      </w:r>
      <w:r w:rsidR="003714FF">
        <w:rPr>
          <w:rFonts w:eastAsia="方正小标宋_GBK" w:hint="eastAsia"/>
          <w:sz w:val="36"/>
          <w:szCs w:val="36"/>
        </w:rPr>
        <w:t>年度</w:t>
      </w:r>
      <w:r w:rsidR="003714FF">
        <w:rPr>
          <w:rFonts w:eastAsia="方正小标宋_GBK"/>
          <w:sz w:val="36"/>
          <w:szCs w:val="36"/>
        </w:rPr>
        <w:t>部门整体支出</w:t>
      </w:r>
    </w:p>
    <w:p w:rsidR="00C402B2" w:rsidRDefault="003714FF">
      <w:pPr>
        <w:spacing w:line="600" w:lineRule="exact"/>
        <w:jc w:val="center"/>
        <w:rPr>
          <w:rFonts w:eastAsia="方正小标宋_GBK"/>
          <w:sz w:val="32"/>
          <w:szCs w:val="32"/>
        </w:rPr>
      </w:pPr>
      <w:r>
        <w:rPr>
          <w:rFonts w:eastAsia="方正小标宋_GBK"/>
          <w:sz w:val="36"/>
          <w:szCs w:val="36"/>
        </w:rPr>
        <w:t>绩效</w:t>
      </w:r>
      <w:r>
        <w:rPr>
          <w:rFonts w:eastAsia="方正小标宋_GBK" w:hint="eastAsia"/>
          <w:sz w:val="36"/>
          <w:szCs w:val="36"/>
        </w:rPr>
        <w:t>自评</w:t>
      </w:r>
      <w:r>
        <w:rPr>
          <w:rFonts w:eastAsia="方正小标宋_GBK"/>
          <w:sz w:val="36"/>
          <w:szCs w:val="36"/>
        </w:rPr>
        <w:t>报告</w:t>
      </w:r>
    </w:p>
    <w:p w:rsidR="00C402B2" w:rsidRDefault="00C402B2">
      <w:pPr>
        <w:spacing w:line="600" w:lineRule="exact"/>
        <w:jc w:val="center"/>
        <w:rPr>
          <w:rFonts w:eastAsia="方正小标宋_GBK"/>
          <w:sz w:val="32"/>
          <w:szCs w:val="32"/>
        </w:rPr>
      </w:pPr>
    </w:p>
    <w:p w:rsidR="00C402B2" w:rsidRDefault="003714FF">
      <w:pPr>
        <w:pStyle w:val="a3"/>
        <w:widowControl/>
        <w:spacing w:line="60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一、</w:t>
      </w:r>
      <w:r>
        <w:rPr>
          <w:rFonts w:ascii="Times New Roman" w:eastAsia="黑体" w:hAnsi="Times New Roman"/>
          <w:sz w:val="32"/>
          <w:szCs w:val="32"/>
        </w:rPr>
        <w:t>部门、单位基本情况</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1、单位机构、人员情况</w:t>
      </w:r>
    </w:p>
    <w:p w:rsidR="00CA35A1" w:rsidRPr="00675066" w:rsidRDefault="00CA35A1" w:rsidP="00CA35A1">
      <w:pPr>
        <w:ind w:firstLine="640"/>
        <w:rPr>
          <w:rFonts w:ascii="仿宋_GB2312" w:eastAsia="仿宋_GB2312"/>
          <w:sz w:val="32"/>
          <w:szCs w:val="32"/>
        </w:rPr>
      </w:pPr>
      <w:r w:rsidRPr="00675066">
        <w:rPr>
          <w:rFonts w:ascii="仿宋_GB2312" w:eastAsia="仿宋_GB2312" w:hint="eastAsia"/>
          <w:sz w:val="32"/>
          <w:szCs w:val="32"/>
        </w:rPr>
        <w:t>津市</w:t>
      </w:r>
      <w:proofErr w:type="gramStart"/>
      <w:r w:rsidRPr="00675066">
        <w:rPr>
          <w:rFonts w:ascii="仿宋_GB2312" w:eastAsia="仿宋_GB2312" w:hint="eastAsia"/>
          <w:sz w:val="32"/>
          <w:szCs w:val="32"/>
        </w:rPr>
        <w:t>市</w:t>
      </w:r>
      <w:proofErr w:type="gramEnd"/>
      <w:r w:rsidRPr="00675066">
        <w:rPr>
          <w:rFonts w:ascii="仿宋_GB2312" w:eastAsia="仿宋_GB2312" w:hint="eastAsia"/>
          <w:sz w:val="32"/>
          <w:szCs w:val="32"/>
        </w:rPr>
        <w:t>住房和城乡建设局为财政拨款一级预算行政事业单位，根据编委核定，我单位内设科室9个，所属事业单位6个。内设科室分别是办公室、人事股、财务审计股、法制股、行政审批服务办公室、城镇建设管理股、建筑业管理股、消防工程监督管理股、住房保障管理股。所属事业单位分别是海绵城市建设服务中心、城市燃气热力管理办公室、市建设工程招标管理办公室、市村镇建设管理站、市建设工程交易中心、市城建档案馆六个事业单位。</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2、单位主要职责</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（1）贯彻执行国家、省、常德市有关住房和城乡建设工作的法律法规和方针政策；拟订全市住房和城乡建设相关行业发展战略、中长期规划和年度计划并组织实施；组织开展行业诚信体系建设。</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（2）贯彻执行住房保障政策措施；拟订全市住房保障政策，编制</w:t>
      </w:r>
      <w:proofErr w:type="gramStart"/>
      <w:r w:rsidRPr="00675066">
        <w:rPr>
          <w:rFonts w:ascii="仿宋_GB2312" w:eastAsia="仿宋_GB2312" w:hint="eastAsia"/>
          <w:sz w:val="32"/>
          <w:szCs w:val="32"/>
        </w:rPr>
        <w:t>全市保障</w:t>
      </w:r>
      <w:proofErr w:type="gramEnd"/>
      <w:r w:rsidRPr="00675066">
        <w:rPr>
          <w:rFonts w:ascii="仿宋_GB2312" w:eastAsia="仿宋_GB2312" w:hint="eastAsia"/>
          <w:sz w:val="32"/>
          <w:szCs w:val="32"/>
        </w:rPr>
        <w:t>性住房、国有工矿和城市棚户区改造整体规划并组织实施；会同相关部门做好保障性住房资金筹集、监管和使用。</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lastRenderedPageBreak/>
        <w:t>（3）负责建筑业企业资质、建筑工程、市政工程施工许可、竣工验收备案和城市建设档案管理；牵头组织全市房屋建筑和市政基础设施工程项目的联合验收工作；对全市房屋建筑和市政基础设施工程招标投标进行监督管理。</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 xml:space="preserve">（4）贯彻执行建设工程强制性标准并组织监督实施；负责全市建设工程造价管理，发布权限内建设工程造价信息   </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（5）指导、监督全市建设工程勘察设计；负责全市本级建设工程项目初步设计审批；负责全市城区房屋建筑、市政基础设施工程施工图审查及备案；负责全市房屋、建设工程消防、防震的设计审查验收。</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6）规范房地产市场秩序，监督管理房地产市场行为；负责全市房地产综合开发、房屋租赁的监督管理；负责全市城区房地产开发项目手册备案；负责全市城市商品房预（销）售管理；负责全市城区商品房预售款和存量房交易资金的监督管理；负责房地产开发企业资质管理；负责全市房地产信息管理。</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7）负责全市房屋建筑和市政基础设施工程的质量监督管理、施工安全监督；负责全市城市危险房屋管理；负责全市城区房屋白蚁防治工作的监督管理；会同有关部门调查处理涉及建设工程质量和安全生产责任事故。</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（8）组织全市推进新型城镇化工作；拟订全市村镇建设发展规划、措施并组织实施；负责全市村庄、集镇建设管</w:t>
      </w:r>
      <w:r w:rsidRPr="00675066">
        <w:rPr>
          <w:rFonts w:ascii="仿宋_GB2312" w:eastAsia="仿宋_GB2312" w:hint="eastAsia"/>
          <w:sz w:val="32"/>
          <w:szCs w:val="32"/>
        </w:rPr>
        <w:lastRenderedPageBreak/>
        <w:t>理；指导重点镇、示范镇（村）、中心镇、特色镇、传统村落等品牌村镇的创建和建设；指导规范农村建房和农村危房改造，推进城乡一体化建设；负责市推进新型城镇化工作领导小组的日常工作。</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（9）负责全市物业服务行为的监督管理；指导全市物业服务招标投标工作；组织、指导、监督市城区房地产项目房屋维修资金归集和使用管理。</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10）组织、指导全市建筑节能与建设科技进步工作。组织拟订全市建筑节能与建设科技发展的措施、规划并监督实施；组织住房和城乡建设相关行业重大科技项目攻关和新技术开发利用；编制并实施全市建筑工程绿色施工管理规定。</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11）承担城市基础设施建设管理责任。负责城市道路、市政公用设施及城市桥梁的维护管理，负责城市道路临时占用、挖掘修复审批和监督管理，负责地下管网建设及运行等工作；负责城市燃气热力、节约用水、给排水、污水处理及其附属设施的规划建设管理工作。</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（12）负责房屋建筑和市政基础设施工程、保障性安居工程、海绵城市建设、房地产市场的行政执法工作。</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13）负责全市住房和城乡建设行业企业资质的注册管理及从业人员资格证书、执业资格的管理和专业技术职称初审；拟订行业人才发展规划，指导行业人才队伍建设，组织管理住房和城乡建设系统职工队伍培训和继续教育工作。</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lastRenderedPageBreak/>
        <w:t>（14）负责住房保障对象资格审核，发放相关证件；负责</w:t>
      </w:r>
      <w:proofErr w:type="gramStart"/>
      <w:r w:rsidRPr="00675066">
        <w:rPr>
          <w:rFonts w:ascii="仿宋_GB2312" w:eastAsia="仿宋_GB2312" w:hint="eastAsia"/>
          <w:sz w:val="32"/>
          <w:szCs w:val="32"/>
        </w:rPr>
        <w:t>廉</w:t>
      </w:r>
      <w:proofErr w:type="gramEnd"/>
      <w:r w:rsidRPr="00675066">
        <w:rPr>
          <w:rFonts w:ascii="仿宋_GB2312" w:eastAsia="仿宋_GB2312" w:hint="eastAsia"/>
          <w:sz w:val="32"/>
          <w:szCs w:val="32"/>
        </w:rPr>
        <w:t>租房实物配租、货币补贴、租金核减等工作；负责全市城乡保障性住房建设的规划执行、计划下达和牵头组织、竣工验收工作，参与城乡保障性住房的质量监管；负责拟定保障性住房的准入标准、审核程序、动态管理、退出执行等管理办法；负责考核、监督、管理全市住房保障工作。</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（15）负责建设工程消防设计审核、参与消防工程验收、备案；负责消防工程检验等日常监督管理</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3、单位财务情况（资产负债情况）</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截止2024年12月31日，资产总额345.37万元，负债总额37.04万元，净资产303.32万元。</w:t>
      </w:r>
      <w:proofErr w:type="gramStart"/>
      <w:r w:rsidRPr="00675066">
        <w:rPr>
          <w:rFonts w:ascii="仿宋_GB2312" w:eastAsia="仿宋_GB2312" w:hint="eastAsia"/>
          <w:sz w:val="32"/>
          <w:szCs w:val="32"/>
        </w:rPr>
        <w:t>较期初</w:t>
      </w:r>
      <w:proofErr w:type="gramEnd"/>
      <w:r w:rsidRPr="00675066">
        <w:rPr>
          <w:rFonts w:ascii="仿宋_GB2312" w:eastAsia="仿宋_GB2312" w:hint="eastAsia"/>
          <w:sz w:val="32"/>
          <w:szCs w:val="32"/>
        </w:rPr>
        <w:t>资产减少18.45万元，负债减少0.02万元，净资产减少23.43万元，减少主要原因是财政应返还额度收回。</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4、绩效目标</w:t>
      </w:r>
    </w:p>
    <w:p w:rsidR="00CA35A1" w:rsidRPr="00675066" w:rsidRDefault="00CA35A1" w:rsidP="00CA35A1">
      <w:pPr>
        <w:pStyle w:val="a3"/>
        <w:ind w:firstLine="640"/>
        <w:rPr>
          <w:rFonts w:ascii="仿宋_GB2312" w:eastAsia="仿宋_GB2312"/>
          <w:sz w:val="32"/>
          <w:szCs w:val="32"/>
        </w:rPr>
      </w:pPr>
      <w:r w:rsidRPr="00675066">
        <w:rPr>
          <w:rFonts w:ascii="仿宋_GB2312" w:eastAsia="仿宋_GB2312" w:hint="eastAsia"/>
          <w:sz w:val="32"/>
          <w:szCs w:val="32"/>
        </w:rPr>
        <w:t>以建设“澧水流域现代化中心城市”为目标，通过打造“红色住建、活力住建、清廉住建”，全面落实城市基础设施建设、水体环境治理、供水供气保障、建筑行业管理、村镇建设、安全生产等各项住房城乡建设工作，为把津市打造成“宜居之城、活力之城、智慧之城、健康之城、低碳之城”</w:t>
      </w:r>
      <w:proofErr w:type="gramStart"/>
      <w:r w:rsidRPr="00675066">
        <w:rPr>
          <w:rFonts w:ascii="仿宋_GB2312" w:eastAsia="仿宋_GB2312" w:hint="eastAsia"/>
          <w:sz w:val="32"/>
          <w:szCs w:val="32"/>
        </w:rPr>
        <w:t>贡献住</w:t>
      </w:r>
      <w:proofErr w:type="gramEnd"/>
      <w:r w:rsidRPr="00675066">
        <w:rPr>
          <w:rFonts w:ascii="仿宋_GB2312" w:eastAsia="仿宋_GB2312" w:hint="eastAsia"/>
          <w:sz w:val="32"/>
          <w:szCs w:val="32"/>
        </w:rPr>
        <w:t>建力量。</w:t>
      </w:r>
    </w:p>
    <w:p w:rsidR="00C402B2" w:rsidRDefault="003714FF">
      <w:pPr>
        <w:pStyle w:val="a3"/>
        <w:widowControl/>
        <w:spacing w:line="60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二、部门整体支出情况</w:t>
      </w:r>
    </w:p>
    <w:p w:rsidR="00C402B2" w:rsidRDefault="003714FF">
      <w:pPr>
        <w:pStyle w:val="a3"/>
        <w:widowControl/>
        <w:spacing w:line="60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（一）</w:t>
      </w:r>
      <w:r>
        <w:rPr>
          <w:rFonts w:ascii="Times New Roman" w:eastAsia="黑体" w:hAnsi="Times New Roman"/>
          <w:sz w:val="32"/>
          <w:szCs w:val="32"/>
        </w:rPr>
        <w:t>一般公共预算支出情况</w:t>
      </w:r>
    </w:p>
    <w:p w:rsidR="00C402B2" w:rsidRDefault="003714FF" w:rsidP="005175F0">
      <w:pPr>
        <w:pStyle w:val="a3"/>
        <w:widowControl/>
        <w:spacing w:line="600" w:lineRule="exact"/>
        <w:ind w:firstLine="640"/>
        <w:rPr>
          <w:rFonts w:eastAsia="仿宋_GB2312"/>
          <w:sz w:val="32"/>
          <w:szCs w:val="32"/>
        </w:rPr>
      </w:pPr>
      <w:r>
        <w:rPr>
          <w:rFonts w:ascii="Times New Roman" w:eastAsia="黑体" w:hAnsi="Times New Roman" w:hint="eastAsia"/>
          <w:sz w:val="32"/>
          <w:szCs w:val="32"/>
        </w:rPr>
        <w:lastRenderedPageBreak/>
        <w:t>1.</w:t>
      </w:r>
      <w:r>
        <w:rPr>
          <w:rFonts w:ascii="Times New Roman" w:eastAsia="黑体" w:hAnsi="Times New Roman"/>
          <w:sz w:val="32"/>
          <w:szCs w:val="32"/>
        </w:rPr>
        <w:t>基本支出情况</w:t>
      </w:r>
      <w:r>
        <w:rPr>
          <w:rFonts w:ascii="Times New Roman" w:eastAsia="黑体" w:hAnsi="Times New Roman" w:hint="eastAsia"/>
          <w:sz w:val="32"/>
          <w:szCs w:val="32"/>
        </w:rPr>
        <w:t>：</w:t>
      </w:r>
      <w:r>
        <w:rPr>
          <w:rFonts w:ascii="Times New Roman" w:eastAsia="黑体" w:hAnsi="Times New Roman" w:hint="eastAsia"/>
          <w:sz w:val="32"/>
          <w:szCs w:val="32"/>
        </w:rPr>
        <w:t>20</w:t>
      </w:r>
      <w:r w:rsidR="00CA35A1">
        <w:rPr>
          <w:rFonts w:ascii="Times New Roman" w:eastAsia="黑体" w:hAnsi="Times New Roman" w:hint="eastAsia"/>
          <w:sz w:val="32"/>
          <w:szCs w:val="32"/>
        </w:rPr>
        <w:t>24</w:t>
      </w:r>
      <w:r>
        <w:rPr>
          <w:rFonts w:ascii="仿宋_GB2312" w:eastAsia="仿宋_GB2312" w:hAnsi="仿宋_GB2312" w:cs="仿宋_GB2312" w:hint="eastAsia"/>
          <w:sz w:val="32"/>
          <w:szCs w:val="32"/>
        </w:rPr>
        <w:t>年基本支出</w:t>
      </w:r>
      <w:r w:rsidR="00CA35A1">
        <w:rPr>
          <w:rFonts w:ascii="仿宋_GB2312" w:eastAsia="仿宋_GB2312" w:hAnsi="仿宋_GB2312" w:cs="仿宋_GB2312" w:hint="eastAsia"/>
          <w:sz w:val="32"/>
          <w:szCs w:val="32"/>
        </w:rPr>
        <w:t>531.86</w:t>
      </w:r>
      <w:r>
        <w:rPr>
          <w:rFonts w:ascii="仿宋_GB2312" w:eastAsia="仿宋_GB2312" w:hAnsi="仿宋_GB2312" w:cs="仿宋_GB2312" w:hint="eastAsia"/>
          <w:sz w:val="32"/>
          <w:szCs w:val="32"/>
        </w:rPr>
        <w:t xml:space="preserve"> 万元，其中：工资福利支出</w:t>
      </w:r>
      <w:r w:rsidR="00CA35A1">
        <w:rPr>
          <w:rFonts w:ascii="仿宋_GB2312" w:eastAsia="仿宋_GB2312" w:hAnsi="仿宋_GB2312" w:cs="仿宋_GB2312" w:hint="eastAsia"/>
          <w:sz w:val="32"/>
          <w:szCs w:val="32"/>
        </w:rPr>
        <w:t>493.88</w:t>
      </w:r>
      <w:r>
        <w:rPr>
          <w:rFonts w:ascii="仿宋_GB2312" w:eastAsia="仿宋_GB2312" w:hAnsi="仿宋_GB2312" w:cs="仿宋_GB2312" w:hint="eastAsia"/>
          <w:sz w:val="32"/>
          <w:szCs w:val="32"/>
        </w:rPr>
        <w:t xml:space="preserve">  万元，一般商品服务支出</w:t>
      </w:r>
      <w:r w:rsidR="00CA35A1">
        <w:rPr>
          <w:rFonts w:ascii="仿宋_GB2312" w:eastAsia="仿宋_GB2312" w:hAnsi="仿宋_GB2312" w:cs="仿宋_GB2312" w:hint="eastAsia"/>
          <w:sz w:val="32"/>
          <w:szCs w:val="32"/>
        </w:rPr>
        <w:t xml:space="preserve">97.98 </w:t>
      </w:r>
      <w:r>
        <w:rPr>
          <w:rFonts w:ascii="仿宋_GB2312" w:eastAsia="仿宋_GB2312" w:hAnsi="仿宋_GB2312" w:cs="仿宋_GB2312" w:hint="eastAsia"/>
          <w:sz w:val="32"/>
          <w:szCs w:val="32"/>
        </w:rPr>
        <w:t>万元，对个人和家庭补助支出</w:t>
      </w:r>
      <w:r w:rsidR="00CA35A1">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 xml:space="preserve"> 万元。</w:t>
      </w:r>
    </w:p>
    <w:p w:rsidR="00C402B2" w:rsidRDefault="003714FF">
      <w:pPr>
        <w:pStyle w:val="a3"/>
        <w:widowControl/>
        <w:spacing w:line="600" w:lineRule="exact"/>
        <w:ind w:firstLine="640"/>
        <w:rPr>
          <w:rFonts w:eastAsia="仿宋_GB2312"/>
          <w:sz w:val="32"/>
          <w:szCs w:val="32"/>
        </w:rPr>
      </w:pPr>
      <w:r>
        <w:rPr>
          <w:rFonts w:ascii="Times New Roman" w:eastAsia="黑体" w:hAnsi="Times New Roman" w:hint="eastAsia"/>
          <w:sz w:val="32"/>
          <w:szCs w:val="32"/>
        </w:rPr>
        <w:t>2.</w:t>
      </w:r>
      <w:r>
        <w:rPr>
          <w:rFonts w:ascii="Times New Roman" w:eastAsia="黑体" w:hAnsi="Times New Roman"/>
          <w:sz w:val="32"/>
          <w:szCs w:val="32"/>
        </w:rPr>
        <w:t>项目支出情况</w:t>
      </w:r>
      <w:r>
        <w:rPr>
          <w:rFonts w:eastAsia="仿宋_GB2312"/>
          <w:sz w:val="32"/>
          <w:szCs w:val="32"/>
        </w:rPr>
        <w:t>：</w:t>
      </w:r>
      <w:r w:rsidR="00CA35A1">
        <w:rPr>
          <w:rFonts w:eastAsia="仿宋_GB2312" w:hint="eastAsia"/>
          <w:sz w:val="32"/>
          <w:szCs w:val="32"/>
        </w:rPr>
        <w:t>2024</w:t>
      </w:r>
      <w:r>
        <w:rPr>
          <w:rFonts w:eastAsia="仿宋_GB2312"/>
          <w:sz w:val="32"/>
          <w:szCs w:val="32"/>
        </w:rPr>
        <w:t>年度</w:t>
      </w:r>
      <w:r>
        <w:rPr>
          <w:rFonts w:eastAsia="仿宋_GB2312" w:hint="eastAsia"/>
          <w:sz w:val="32"/>
          <w:szCs w:val="32"/>
        </w:rPr>
        <w:t>项目支出</w:t>
      </w:r>
      <w:r w:rsidR="00CA35A1">
        <w:rPr>
          <w:rFonts w:eastAsia="仿宋_GB2312" w:hint="eastAsia"/>
          <w:sz w:val="32"/>
          <w:szCs w:val="32"/>
        </w:rPr>
        <w:t>124</w:t>
      </w:r>
      <w:r>
        <w:rPr>
          <w:rFonts w:eastAsia="仿宋_GB2312" w:hint="eastAsia"/>
          <w:sz w:val="32"/>
          <w:szCs w:val="32"/>
        </w:rPr>
        <w:t>万元，其中：</w:t>
      </w:r>
    </w:p>
    <w:p w:rsidR="00C402B2" w:rsidRPr="004A44C2" w:rsidRDefault="003714FF" w:rsidP="004A44C2">
      <w:pPr>
        <w:pStyle w:val="a3"/>
        <w:widowControl/>
        <w:spacing w:line="600" w:lineRule="exact"/>
        <w:ind w:left="640" w:firstLineChars="0" w:firstLine="0"/>
        <w:rPr>
          <w:rFonts w:eastAsia="仿宋_GB2312"/>
          <w:sz w:val="32"/>
          <w:szCs w:val="32"/>
        </w:rPr>
      </w:pPr>
      <w:r>
        <w:rPr>
          <w:rFonts w:ascii="仿宋" w:eastAsia="仿宋" w:hAnsi="仿宋" w:cs="仿宋" w:hint="eastAsia"/>
          <w:sz w:val="32"/>
          <w:szCs w:val="32"/>
        </w:rPr>
        <w:t>①</w:t>
      </w:r>
      <w:r w:rsidR="00CA35A1" w:rsidRPr="00675066">
        <w:rPr>
          <w:rFonts w:ascii="仿宋_GB2312" w:eastAsia="仿宋_GB2312" w:hint="eastAsia"/>
          <w:sz w:val="32"/>
          <w:szCs w:val="32"/>
        </w:rPr>
        <w:t>商品和服务支出117万元</w:t>
      </w:r>
      <w:r w:rsidR="004A44C2">
        <w:rPr>
          <w:rFonts w:ascii="仿宋_GB2312" w:eastAsia="仿宋_GB2312" w:hint="eastAsia"/>
          <w:sz w:val="32"/>
          <w:szCs w:val="32"/>
        </w:rPr>
        <w:t>；</w:t>
      </w:r>
      <w:r w:rsidRPr="004A44C2">
        <w:rPr>
          <w:rFonts w:ascii="仿宋" w:eastAsia="仿宋" w:hAnsi="仿宋" w:cs="仿宋" w:hint="eastAsia"/>
          <w:sz w:val="32"/>
          <w:szCs w:val="32"/>
        </w:rPr>
        <w:t>②</w:t>
      </w:r>
      <w:r w:rsidR="00CA35A1" w:rsidRPr="004A44C2">
        <w:rPr>
          <w:rFonts w:ascii="仿宋_GB2312" w:eastAsia="仿宋_GB2312" w:hint="eastAsia"/>
          <w:sz w:val="32"/>
          <w:szCs w:val="32"/>
        </w:rPr>
        <w:t>资本性支出7万元。</w:t>
      </w:r>
    </w:p>
    <w:p w:rsidR="00C402B2" w:rsidRPr="00CA35A1" w:rsidRDefault="003714FF" w:rsidP="00CA35A1">
      <w:pPr>
        <w:pStyle w:val="a3"/>
        <w:ind w:firstLine="640"/>
        <w:rPr>
          <w:rFonts w:ascii="仿宋_GB2312" w:eastAsia="仿宋_GB2312"/>
          <w:sz w:val="32"/>
          <w:szCs w:val="32"/>
        </w:rPr>
      </w:pPr>
      <w:r>
        <w:rPr>
          <w:rFonts w:ascii="Times New Roman" w:eastAsia="黑体" w:hAnsi="Times New Roman" w:hint="eastAsia"/>
          <w:sz w:val="32"/>
          <w:szCs w:val="32"/>
        </w:rPr>
        <w:t>（二）</w:t>
      </w:r>
      <w:r>
        <w:rPr>
          <w:rFonts w:ascii="Times New Roman" w:eastAsia="黑体" w:hAnsi="Times New Roman"/>
          <w:sz w:val="32"/>
          <w:szCs w:val="32"/>
        </w:rPr>
        <w:t>政府性基金预算支出情况</w:t>
      </w:r>
      <w:r>
        <w:rPr>
          <w:rFonts w:ascii="Times New Roman" w:eastAsia="黑体" w:hAnsi="Times New Roman" w:hint="eastAsia"/>
          <w:sz w:val="32"/>
          <w:szCs w:val="32"/>
        </w:rPr>
        <w:t>：</w:t>
      </w:r>
      <w:r w:rsidR="00CA35A1">
        <w:rPr>
          <w:rFonts w:eastAsia="仿宋_GB2312" w:hint="eastAsia"/>
          <w:sz w:val="32"/>
          <w:szCs w:val="32"/>
        </w:rPr>
        <w:t>2024</w:t>
      </w:r>
      <w:r>
        <w:rPr>
          <w:rFonts w:eastAsia="仿宋_GB2312"/>
          <w:sz w:val="32"/>
          <w:szCs w:val="32"/>
        </w:rPr>
        <w:t>年度</w:t>
      </w:r>
      <w:r w:rsidR="00CA35A1" w:rsidRPr="00675066">
        <w:rPr>
          <w:rFonts w:ascii="仿宋_GB2312" w:eastAsia="仿宋_GB2312" w:hint="eastAsia"/>
          <w:sz w:val="32"/>
          <w:szCs w:val="32"/>
        </w:rPr>
        <w:t>政府性预算拨款收入和支出安排。</w:t>
      </w:r>
    </w:p>
    <w:p w:rsidR="00C402B2" w:rsidRDefault="003714FF">
      <w:pPr>
        <w:widowControl/>
        <w:spacing w:line="600" w:lineRule="exact"/>
        <w:ind w:firstLine="645"/>
        <w:jc w:val="left"/>
        <w:rPr>
          <w:rFonts w:eastAsia="黑体"/>
          <w:sz w:val="32"/>
          <w:szCs w:val="32"/>
        </w:rPr>
      </w:pPr>
      <w:r>
        <w:rPr>
          <w:rFonts w:eastAsia="黑体" w:hint="eastAsia"/>
          <w:sz w:val="32"/>
          <w:szCs w:val="32"/>
        </w:rPr>
        <w:t>三</w:t>
      </w:r>
      <w:r>
        <w:rPr>
          <w:rFonts w:eastAsia="黑体"/>
          <w:sz w:val="32"/>
          <w:szCs w:val="32"/>
        </w:rPr>
        <w:t>、部门整体支出绩效情况</w:t>
      </w:r>
    </w:p>
    <w:p w:rsidR="00E65748" w:rsidRPr="00675066" w:rsidRDefault="00E65748" w:rsidP="00E65748">
      <w:pPr>
        <w:ind w:firstLine="640"/>
        <w:rPr>
          <w:rFonts w:ascii="仿宋_GB2312" w:eastAsia="仿宋_GB2312"/>
          <w:kern w:val="1"/>
          <w:sz w:val="32"/>
          <w:szCs w:val="32"/>
        </w:rPr>
      </w:pPr>
      <w:r w:rsidRPr="00675066">
        <w:rPr>
          <w:rFonts w:ascii="仿宋_GB2312" w:eastAsia="仿宋_GB2312" w:hint="eastAsia"/>
          <w:bCs/>
          <w:kern w:val="1"/>
          <w:sz w:val="32"/>
          <w:szCs w:val="32"/>
        </w:rPr>
        <w:t>扎实推进降本增效</w:t>
      </w:r>
      <w:r w:rsidRPr="00675066">
        <w:rPr>
          <w:rFonts w:ascii="仿宋_GB2312" w:eastAsia="仿宋_GB2312" w:hint="eastAsia"/>
          <w:b/>
          <w:bCs/>
          <w:kern w:val="1"/>
          <w:sz w:val="32"/>
          <w:szCs w:val="32"/>
        </w:rPr>
        <w:t>。</w:t>
      </w:r>
      <w:r w:rsidRPr="00675066">
        <w:rPr>
          <w:rFonts w:ascii="仿宋_GB2312" w:eastAsia="仿宋_GB2312" w:hint="eastAsia"/>
          <w:kern w:val="1"/>
          <w:sz w:val="32"/>
          <w:szCs w:val="32"/>
        </w:rPr>
        <w:t>开展城区生活污水处理单价测算评估，目前正在进行磋商谈判。乡镇污水经评估谈判，支付2023年污水处理费用181.41万元，</w:t>
      </w:r>
      <w:proofErr w:type="gramStart"/>
      <w:r w:rsidRPr="00675066">
        <w:rPr>
          <w:rFonts w:ascii="仿宋_GB2312" w:eastAsia="仿宋_GB2312" w:hint="eastAsia"/>
          <w:kern w:val="1"/>
          <w:sz w:val="32"/>
          <w:szCs w:val="32"/>
        </w:rPr>
        <w:t>同比原</w:t>
      </w:r>
      <w:proofErr w:type="gramEnd"/>
      <w:r w:rsidRPr="00675066">
        <w:rPr>
          <w:rFonts w:ascii="仿宋_GB2312" w:eastAsia="仿宋_GB2312" w:hint="eastAsia"/>
          <w:kern w:val="1"/>
          <w:sz w:val="32"/>
          <w:szCs w:val="32"/>
        </w:rPr>
        <w:t>结算方式减少政府支出56.77万元，年度核减率23.83%,年度费用下降为原结算方式的67.18%。2024年城建计划项目31个，总投资26383.67万元，民生实事</w:t>
      </w:r>
      <w:proofErr w:type="gramStart"/>
      <w:r w:rsidRPr="00675066">
        <w:rPr>
          <w:rFonts w:ascii="仿宋_GB2312" w:eastAsia="仿宋_GB2312" w:hint="eastAsia"/>
          <w:kern w:val="1"/>
          <w:sz w:val="32"/>
          <w:szCs w:val="32"/>
        </w:rPr>
        <w:t>项目双济中路</w:t>
      </w:r>
      <w:proofErr w:type="gramEnd"/>
      <w:r w:rsidRPr="00675066">
        <w:rPr>
          <w:rFonts w:ascii="仿宋_GB2312" w:eastAsia="仿宋_GB2312" w:hint="eastAsia"/>
          <w:kern w:val="1"/>
          <w:sz w:val="32"/>
          <w:szCs w:val="32"/>
        </w:rPr>
        <w:t>改造已建成通车，建成区黑臭水体消除比例达到100%。新建及改造排水管网10.4千米、供水管网25.84千米。“</w:t>
      </w:r>
      <w:proofErr w:type="gramStart"/>
      <w:r w:rsidRPr="00675066">
        <w:rPr>
          <w:rFonts w:ascii="仿宋_GB2312" w:eastAsia="仿宋_GB2312" w:hint="eastAsia"/>
          <w:kern w:val="1"/>
          <w:sz w:val="32"/>
          <w:szCs w:val="32"/>
        </w:rPr>
        <w:t>一</w:t>
      </w:r>
      <w:proofErr w:type="gramEnd"/>
      <w:r w:rsidRPr="00675066">
        <w:rPr>
          <w:rFonts w:ascii="仿宋_GB2312" w:eastAsia="仿宋_GB2312" w:hint="eastAsia"/>
          <w:kern w:val="1"/>
          <w:sz w:val="32"/>
          <w:szCs w:val="32"/>
        </w:rPr>
        <w:t>拆四增”一、二期建设基本完成，累计投入资金约800万元，共拆除围挡5473米，新增绿地60969平方米、车位594个、口袋公园14个、健身休闲场所9处，引进游乐园项目1个。做好精细维管和城市长效管理。对全市140余万平米主次干道及人行道、7000多盏路灯、160余公里雨污水管网、117万平米公用绿地、240亩城市水体进行了精细化维护管理。加强三湖公园维护管理，投放锦</w:t>
      </w:r>
      <w:proofErr w:type="gramStart"/>
      <w:r w:rsidRPr="00675066">
        <w:rPr>
          <w:rFonts w:ascii="仿宋_GB2312" w:eastAsia="仿宋_GB2312" w:hint="eastAsia"/>
          <w:kern w:val="1"/>
          <w:sz w:val="32"/>
          <w:szCs w:val="32"/>
        </w:rPr>
        <w:t>鲤</w:t>
      </w:r>
      <w:r w:rsidRPr="00675066">
        <w:rPr>
          <w:rFonts w:ascii="仿宋_GB2312" w:eastAsia="仿宋_GB2312" w:hint="eastAsia"/>
          <w:kern w:val="1"/>
          <w:sz w:val="32"/>
          <w:szCs w:val="32"/>
        </w:rPr>
        <w:lastRenderedPageBreak/>
        <w:t>鱼苗近2万尾</w:t>
      </w:r>
      <w:proofErr w:type="gramEnd"/>
      <w:r w:rsidRPr="00675066">
        <w:rPr>
          <w:rFonts w:ascii="仿宋_GB2312" w:eastAsia="仿宋_GB2312" w:hint="eastAsia"/>
          <w:kern w:val="1"/>
          <w:sz w:val="32"/>
          <w:szCs w:val="32"/>
        </w:rPr>
        <w:t>，新增</w:t>
      </w:r>
      <w:proofErr w:type="gramStart"/>
      <w:r w:rsidRPr="00675066">
        <w:rPr>
          <w:rFonts w:ascii="仿宋_GB2312" w:eastAsia="仿宋_GB2312" w:hint="eastAsia"/>
          <w:kern w:val="1"/>
          <w:sz w:val="32"/>
          <w:szCs w:val="32"/>
        </w:rPr>
        <w:t>各类亮化</w:t>
      </w:r>
      <w:proofErr w:type="gramEnd"/>
      <w:r w:rsidRPr="00675066">
        <w:rPr>
          <w:rFonts w:ascii="仿宋_GB2312" w:eastAsia="仿宋_GB2312" w:hint="eastAsia"/>
          <w:kern w:val="1"/>
          <w:sz w:val="32"/>
          <w:szCs w:val="32"/>
        </w:rPr>
        <w:t>照明灯具800套、灯带2000米。完成路面及人行道维护6100平方米，路面沥青灌缝及</w:t>
      </w:r>
      <w:proofErr w:type="gramStart"/>
      <w:r w:rsidRPr="00675066">
        <w:rPr>
          <w:rFonts w:ascii="仿宋_GB2312" w:eastAsia="仿宋_GB2312" w:hint="eastAsia"/>
          <w:kern w:val="1"/>
          <w:sz w:val="32"/>
          <w:szCs w:val="32"/>
        </w:rPr>
        <w:t>侧平石维护</w:t>
      </w:r>
      <w:proofErr w:type="gramEnd"/>
      <w:r w:rsidRPr="00675066">
        <w:rPr>
          <w:rFonts w:ascii="仿宋_GB2312" w:eastAsia="仿宋_GB2312" w:hint="eastAsia"/>
          <w:kern w:val="1"/>
          <w:sz w:val="32"/>
          <w:szCs w:val="32"/>
        </w:rPr>
        <w:t>18433米，疏通排水管网、子沟14.6千米，清理泄水井3252座，更换各类路灯1124套。</w:t>
      </w:r>
      <w:r w:rsidRPr="00675066">
        <w:rPr>
          <w:rFonts w:ascii="仿宋_GB2312" w:eastAsia="仿宋_GB2312" w:hint="eastAsia"/>
          <w:bCs/>
          <w:spacing w:val="11"/>
          <w:w w:val="95"/>
          <w:sz w:val="32"/>
          <w:szCs w:val="32"/>
        </w:rPr>
        <w:t>紧盯重点消除安全隐患</w:t>
      </w:r>
      <w:r w:rsidRPr="00675066">
        <w:rPr>
          <w:rFonts w:ascii="仿宋_GB2312" w:eastAsia="仿宋_GB2312" w:hint="eastAsia"/>
          <w:b/>
          <w:bCs/>
          <w:spacing w:val="11"/>
          <w:w w:val="95"/>
          <w:sz w:val="32"/>
          <w:szCs w:val="32"/>
        </w:rPr>
        <w:t>。</w:t>
      </w:r>
      <w:r w:rsidRPr="00675066">
        <w:rPr>
          <w:rFonts w:ascii="仿宋_GB2312" w:eastAsia="仿宋_GB2312" w:hint="eastAsia"/>
          <w:spacing w:val="11"/>
          <w:w w:val="95"/>
          <w:sz w:val="32"/>
          <w:szCs w:val="32"/>
        </w:rPr>
        <w:t>深入开展了建筑施工、城镇燃气、房屋安全、人密场所等专项检查以及各专委会交叉检查，累计发现一般隐患360个，重大事故隐患7个，均已限期整改完毕。</w:t>
      </w:r>
      <w:r w:rsidRPr="00675066">
        <w:rPr>
          <w:rFonts w:ascii="仿宋_GB2312" w:eastAsia="仿宋_GB2312" w:hint="eastAsia"/>
          <w:bCs/>
          <w:spacing w:val="12"/>
          <w:w w:val="95"/>
          <w:sz w:val="32"/>
          <w:szCs w:val="32"/>
        </w:rPr>
        <w:t>严格执法守住安全底线</w:t>
      </w:r>
      <w:r w:rsidRPr="00675066">
        <w:rPr>
          <w:rFonts w:ascii="仿宋_GB2312" w:eastAsia="仿宋_GB2312" w:hint="eastAsia"/>
          <w:b/>
          <w:bCs/>
          <w:spacing w:val="12"/>
          <w:w w:val="95"/>
          <w:sz w:val="32"/>
          <w:szCs w:val="32"/>
        </w:rPr>
        <w:t>。</w:t>
      </w:r>
      <w:r w:rsidRPr="00675066">
        <w:rPr>
          <w:rFonts w:ascii="仿宋_GB2312" w:eastAsia="仿宋_GB2312" w:hint="eastAsia"/>
          <w:spacing w:val="12"/>
          <w:w w:val="95"/>
          <w:sz w:val="32"/>
          <w:szCs w:val="32"/>
        </w:rPr>
        <w:t>牢固树立“违法违规就是安全隐患”理念，深入开展“打非治违”行动，重点查处未批先建、非法供气、未经验收擅自投入使用等违法违规行为。</w:t>
      </w:r>
      <w:r w:rsidRPr="00675066">
        <w:rPr>
          <w:rFonts w:ascii="仿宋_GB2312" w:eastAsia="仿宋_GB2312" w:hint="eastAsia"/>
          <w:bCs/>
          <w:sz w:val="32"/>
          <w:szCs w:val="32"/>
        </w:rPr>
        <w:t>持续开展梯位惠民</w:t>
      </w:r>
      <w:r w:rsidRPr="00675066">
        <w:rPr>
          <w:rFonts w:ascii="仿宋_GB2312" w:eastAsia="仿宋_GB2312" w:hint="eastAsia"/>
          <w:b/>
          <w:bCs/>
          <w:sz w:val="32"/>
          <w:szCs w:val="32"/>
        </w:rPr>
        <w:t>。</w:t>
      </w:r>
      <w:r w:rsidRPr="00675066">
        <w:rPr>
          <w:rFonts w:ascii="仿宋_GB2312" w:eastAsia="仿宋_GB2312" w:hint="eastAsia"/>
          <w:spacing w:val="12"/>
          <w:w w:val="95"/>
          <w:kern w:val="1"/>
          <w:sz w:val="32"/>
          <w:szCs w:val="32"/>
        </w:rPr>
        <w:t>2024年已审批电梯加装7台，其中5台已竣工、2台正在施工。</w:t>
      </w:r>
      <w:r w:rsidRPr="00675066">
        <w:rPr>
          <w:rFonts w:ascii="仿宋_GB2312" w:eastAsia="仿宋_GB2312" w:hint="eastAsia"/>
          <w:bCs/>
          <w:sz w:val="32"/>
          <w:szCs w:val="32"/>
        </w:rPr>
        <w:t>切实保障农房安全</w:t>
      </w:r>
      <w:r w:rsidRPr="00675066">
        <w:rPr>
          <w:rFonts w:ascii="仿宋_GB2312" w:eastAsia="仿宋_GB2312" w:hint="eastAsia"/>
          <w:b/>
          <w:bCs/>
          <w:sz w:val="32"/>
          <w:szCs w:val="32"/>
        </w:rPr>
        <w:t>,</w:t>
      </w:r>
      <w:r w:rsidRPr="00675066">
        <w:rPr>
          <w:rFonts w:ascii="仿宋_GB2312" w:eastAsia="仿宋_GB2312" w:hint="eastAsia"/>
          <w:spacing w:val="12"/>
          <w:w w:val="95"/>
          <w:kern w:val="1"/>
          <w:sz w:val="32"/>
          <w:szCs w:val="32"/>
        </w:rPr>
        <w:t>鉴定农村“六类”重点对象房屋4998户，完成危房改造35户，拨付危改补助资金94.9万元。</w:t>
      </w:r>
      <w:r w:rsidRPr="00675066">
        <w:rPr>
          <w:rFonts w:ascii="仿宋_GB2312" w:eastAsia="仿宋_GB2312" w:hint="eastAsia"/>
          <w:kern w:val="1"/>
          <w:sz w:val="32"/>
          <w:szCs w:val="32"/>
        </w:rPr>
        <w:t>培训并考核发证乡村建设工匠72人，继续教育53人。</w:t>
      </w:r>
      <w:r w:rsidRPr="00675066">
        <w:rPr>
          <w:rFonts w:ascii="仿宋_GB2312" w:eastAsia="仿宋_GB2312" w:hint="eastAsia"/>
          <w:spacing w:val="11"/>
          <w:w w:val="95"/>
          <w:kern w:val="1"/>
          <w:sz w:val="32"/>
          <w:szCs w:val="32"/>
        </w:rPr>
        <w:t>全市新建农房198户，开展农房建设质量安全管理集中抽查3次，发现施工风险隐患48户，均已督促整改到位，切实保障了新建农房质量安全。</w:t>
      </w:r>
      <w:r w:rsidRPr="00675066">
        <w:rPr>
          <w:rFonts w:ascii="仿宋_GB2312" w:eastAsia="仿宋_GB2312" w:hint="eastAsia"/>
          <w:bCs/>
          <w:sz w:val="32"/>
          <w:szCs w:val="32"/>
        </w:rPr>
        <w:t>稳步推进保交房工作,</w:t>
      </w:r>
      <w:proofErr w:type="gramStart"/>
      <w:r w:rsidRPr="00675066">
        <w:rPr>
          <w:rFonts w:ascii="仿宋_GB2312" w:eastAsia="仿宋_GB2312" w:hint="eastAsia"/>
          <w:kern w:val="1"/>
          <w:sz w:val="32"/>
          <w:szCs w:val="32"/>
        </w:rPr>
        <w:t>兆源贤庄</w:t>
      </w:r>
      <w:proofErr w:type="gramEnd"/>
      <w:r w:rsidRPr="00675066">
        <w:rPr>
          <w:rFonts w:ascii="仿宋_GB2312" w:eastAsia="仿宋_GB2312" w:hint="eastAsia"/>
          <w:kern w:val="1"/>
          <w:sz w:val="32"/>
          <w:szCs w:val="32"/>
        </w:rPr>
        <w:t>104套、金鼎大厦47套、新天地三期2#、3#楼201套，总计352套已经交付，</w:t>
      </w:r>
      <w:r w:rsidRPr="00675066">
        <w:rPr>
          <w:rFonts w:ascii="仿宋_GB2312" w:eastAsia="仿宋_GB2312" w:hint="eastAsia"/>
          <w:spacing w:val="11"/>
          <w:w w:val="95"/>
          <w:kern w:val="1"/>
          <w:sz w:val="32"/>
          <w:szCs w:val="32"/>
        </w:rPr>
        <w:t>仅剩新天地三期1#楼106套未交付（其中61套已逾期），计划2025年5月31日前完成新天地三期整个项目剩余配套建设，6月完成项目竣工验收，启动不动</w:t>
      </w:r>
      <w:proofErr w:type="gramStart"/>
      <w:r w:rsidRPr="00675066">
        <w:rPr>
          <w:rFonts w:ascii="仿宋_GB2312" w:eastAsia="仿宋_GB2312" w:hint="eastAsia"/>
          <w:spacing w:val="11"/>
          <w:w w:val="95"/>
          <w:kern w:val="1"/>
          <w:sz w:val="32"/>
          <w:szCs w:val="32"/>
        </w:rPr>
        <w:t>产登记</w:t>
      </w:r>
      <w:proofErr w:type="gramEnd"/>
      <w:r w:rsidRPr="00675066">
        <w:rPr>
          <w:rFonts w:ascii="仿宋_GB2312" w:eastAsia="仿宋_GB2312" w:hint="eastAsia"/>
          <w:spacing w:val="11"/>
          <w:w w:val="95"/>
          <w:kern w:val="1"/>
          <w:sz w:val="32"/>
          <w:szCs w:val="32"/>
        </w:rPr>
        <w:t>办理工作。</w:t>
      </w:r>
    </w:p>
    <w:p w:rsidR="00C402B2" w:rsidRDefault="003714FF">
      <w:pPr>
        <w:pStyle w:val="a3"/>
        <w:widowControl/>
        <w:spacing w:line="600" w:lineRule="exact"/>
        <w:ind w:left="640" w:firstLineChars="0" w:firstLine="0"/>
        <w:jc w:val="left"/>
        <w:rPr>
          <w:rFonts w:ascii="Times New Roman" w:eastAsia="黑体" w:hAnsi="Times New Roman"/>
          <w:sz w:val="32"/>
          <w:szCs w:val="32"/>
        </w:rPr>
      </w:pPr>
      <w:r>
        <w:rPr>
          <w:rFonts w:ascii="Times New Roman" w:eastAsia="黑体" w:hAnsi="Times New Roman" w:hint="eastAsia"/>
          <w:sz w:val="32"/>
          <w:szCs w:val="32"/>
        </w:rPr>
        <w:lastRenderedPageBreak/>
        <w:t>四、</w:t>
      </w:r>
      <w:r>
        <w:rPr>
          <w:rFonts w:ascii="Times New Roman" w:eastAsia="黑体" w:hAnsi="Times New Roman"/>
          <w:sz w:val="32"/>
          <w:szCs w:val="32"/>
        </w:rPr>
        <w:t>存在的问题及原因分析</w:t>
      </w:r>
    </w:p>
    <w:p w:rsidR="00E65748" w:rsidRPr="00675066" w:rsidRDefault="00E65748" w:rsidP="00E65748">
      <w:pPr>
        <w:ind w:firstLine="640"/>
        <w:rPr>
          <w:rFonts w:ascii="仿宋_GB2312" w:eastAsia="仿宋_GB2312"/>
          <w:sz w:val="32"/>
          <w:szCs w:val="32"/>
        </w:rPr>
      </w:pPr>
      <w:r w:rsidRPr="00675066">
        <w:rPr>
          <w:rFonts w:ascii="仿宋_GB2312" w:eastAsia="仿宋_GB2312" w:hint="eastAsia"/>
          <w:sz w:val="32"/>
          <w:szCs w:val="32"/>
        </w:rPr>
        <w:t>社会成本、生态成本偏差在于城市基础老化，提质更新技术需加快，生态环境维护需持续跟进，经济效益指标为公益性服务得到认可要不断改进方法，适应城市发展的需要，以提升市民的幸福感，保持优美的环境，并持续发挥</w:t>
      </w:r>
      <w:proofErr w:type="gramStart"/>
      <w:r w:rsidRPr="00675066">
        <w:rPr>
          <w:rFonts w:ascii="仿宋_GB2312" w:eastAsia="仿宋_GB2312" w:hint="eastAsia"/>
          <w:sz w:val="32"/>
          <w:szCs w:val="32"/>
        </w:rPr>
        <w:t>作用让</w:t>
      </w:r>
      <w:proofErr w:type="gramEnd"/>
      <w:r w:rsidRPr="00675066">
        <w:rPr>
          <w:rFonts w:ascii="仿宋_GB2312" w:eastAsia="仿宋_GB2312" w:hint="eastAsia"/>
          <w:sz w:val="32"/>
          <w:szCs w:val="32"/>
        </w:rPr>
        <w:t>服务对象满意。</w:t>
      </w:r>
    </w:p>
    <w:p w:rsidR="00C402B2" w:rsidRDefault="003714FF">
      <w:pPr>
        <w:widowControl/>
        <w:spacing w:line="600" w:lineRule="exact"/>
        <w:ind w:firstLineChars="200" w:firstLine="640"/>
        <w:jc w:val="left"/>
        <w:rPr>
          <w:rFonts w:eastAsia="黑体"/>
          <w:sz w:val="32"/>
          <w:szCs w:val="32"/>
        </w:rPr>
      </w:pPr>
      <w:r>
        <w:rPr>
          <w:rFonts w:eastAsia="黑体" w:hint="eastAsia"/>
          <w:sz w:val="32"/>
          <w:szCs w:val="32"/>
        </w:rPr>
        <w:t>五</w:t>
      </w:r>
      <w:r>
        <w:rPr>
          <w:rFonts w:eastAsia="黑体"/>
          <w:sz w:val="32"/>
          <w:szCs w:val="32"/>
        </w:rPr>
        <w:t>、下一步改进措施</w:t>
      </w:r>
    </w:p>
    <w:p w:rsidR="00E65748" w:rsidRPr="00E65748" w:rsidRDefault="00E65748" w:rsidP="00E65748">
      <w:pPr>
        <w:ind w:firstLine="640"/>
        <w:rPr>
          <w:rFonts w:ascii="仿宋_GB2312" w:eastAsia="仿宋_GB2312"/>
          <w:sz w:val="32"/>
          <w:szCs w:val="32"/>
        </w:rPr>
      </w:pPr>
      <w:r w:rsidRPr="00675066">
        <w:rPr>
          <w:rFonts w:ascii="仿宋_GB2312" w:eastAsia="仿宋_GB2312" w:hint="eastAsia"/>
          <w:sz w:val="32"/>
          <w:szCs w:val="32"/>
        </w:rPr>
        <w:t>不断更新技术，在控制</w:t>
      </w:r>
      <w:proofErr w:type="gramStart"/>
      <w:r w:rsidRPr="00675066">
        <w:rPr>
          <w:rFonts w:ascii="仿宋_GB2312" w:eastAsia="仿宋_GB2312" w:hint="eastAsia"/>
          <w:sz w:val="32"/>
          <w:szCs w:val="32"/>
        </w:rPr>
        <w:t>好成本</w:t>
      </w:r>
      <w:proofErr w:type="gramEnd"/>
      <w:r w:rsidRPr="00675066">
        <w:rPr>
          <w:rFonts w:ascii="仿宋_GB2312" w:eastAsia="仿宋_GB2312" w:hint="eastAsia"/>
          <w:sz w:val="32"/>
          <w:szCs w:val="32"/>
        </w:rPr>
        <w:t>的情况下开展好日常工作。</w:t>
      </w:r>
    </w:p>
    <w:p w:rsidR="00C402B2" w:rsidRDefault="003714FF">
      <w:pPr>
        <w:widowControl/>
        <w:spacing w:line="600" w:lineRule="exact"/>
        <w:ind w:firstLineChars="200" w:firstLine="640"/>
        <w:jc w:val="left"/>
        <w:rPr>
          <w:rFonts w:eastAsia="黑体"/>
          <w:sz w:val="32"/>
          <w:szCs w:val="32"/>
        </w:rPr>
      </w:pPr>
      <w:r>
        <w:rPr>
          <w:rFonts w:eastAsia="黑体" w:hint="eastAsia"/>
          <w:sz w:val="32"/>
          <w:szCs w:val="32"/>
        </w:rPr>
        <w:t>六、部门整体支出绩效自评结果拟应用和公开情况</w:t>
      </w:r>
    </w:p>
    <w:p w:rsidR="00C402B2" w:rsidRDefault="003714FF">
      <w:pPr>
        <w:widowControl/>
        <w:spacing w:line="600" w:lineRule="exact"/>
        <w:ind w:firstLine="645"/>
        <w:jc w:val="left"/>
        <w:rPr>
          <w:rFonts w:eastAsia="黑体"/>
          <w:sz w:val="32"/>
          <w:szCs w:val="32"/>
        </w:rPr>
      </w:pPr>
      <w:r>
        <w:rPr>
          <w:rFonts w:eastAsia="黑体" w:hint="eastAsia"/>
          <w:sz w:val="32"/>
          <w:szCs w:val="32"/>
        </w:rPr>
        <w:t>七</w:t>
      </w:r>
      <w:r>
        <w:rPr>
          <w:rFonts w:eastAsia="黑体"/>
          <w:sz w:val="32"/>
          <w:szCs w:val="32"/>
        </w:rPr>
        <w:t>、其他需要说明的情况</w:t>
      </w:r>
      <w:bookmarkStart w:id="0" w:name="_GoBack"/>
      <w:bookmarkEnd w:id="0"/>
    </w:p>
    <w:p w:rsidR="00C402B2" w:rsidRDefault="00C402B2">
      <w:pPr>
        <w:widowControl/>
        <w:spacing w:line="600" w:lineRule="exact"/>
        <w:ind w:firstLine="645"/>
        <w:jc w:val="left"/>
        <w:rPr>
          <w:rFonts w:eastAsia="黑体"/>
          <w:sz w:val="32"/>
          <w:szCs w:val="32"/>
        </w:rPr>
      </w:pPr>
    </w:p>
    <w:p w:rsidR="00C402B2" w:rsidRDefault="003714FF">
      <w:pPr>
        <w:widowControl/>
        <w:spacing w:line="600" w:lineRule="exact"/>
        <w:ind w:firstLineChars="1400" w:firstLine="4480"/>
        <w:rPr>
          <w:rFonts w:eastAsia="仿宋_GB2312"/>
          <w:sz w:val="32"/>
          <w:szCs w:val="32"/>
        </w:rPr>
      </w:pPr>
      <w:r>
        <w:rPr>
          <w:rFonts w:eastAsia="仿宋_GB2312" w:hint="eastAsia"/>
          <w:sz w:val="32"/>
          <w:szCs w:val="32"/>
        </w:rPr>
        <w:t>20</w:t>
      </w:r>
      <w:r w:rsidR="00E65748">
        <w:rPr>
          <w:rFonts w:eastAsia="仿宋_GB2312" w:hint="eastAsia"/>
          <w:sz w:val="32"/>
          <w:szCs w:val="32"/>
        </w:rPr>
        <w:t>25</w:t>
      </w:r>
      <w:r>
        <w:rPr>
          <w:rFonts w:eastAsia="仿宋_GB2312" w:hint="eastAsia"/>
          <w:sz w:val="32"/>
          <w:szCs w:val="32"/>
        </w:rPr>
        <w:t>年</w:t>
      </w:r>
      <w:r w:rsidR="00E65748">
        <w:rPr>
          <w:rFonts w:eastAsia="仿宋_GB2312" w:hint="eastAsia"/>
          <w:sz w:val="32"/>
          <w:szCs w:val="32"/>
        </w:rPr>
        <w:t>06</w:t>
      </w:r>
      <w:r>
        <w:rPr>
          <w:rFonts w:eastAsia="仿宋_GB2312" w:hint="eastAsia"/>
          <w:sz w:val="32"/>
          <w:szCs w:val="32"/>
        </w:rPr>
        <w:t>月</w:t>
      </w:r>
      <w:r w:rsidR="00E65748">
        <w:rPr>
          <w:rFonts w:eastAsia="仿宋_GB2312" w:hint="eastAsia"/>
          <w:sz w:val="32"/>
          <w:szCs w:val="32"/>
        </w:rPr>
        <w:t>23</w:t>
      </w:r>
      <w:r>
        <w:rPr>
          <w:rFonts w:eastAsia="仿宋_GB2312" w:hint="eastAsia"/>
          <w:sz w:val="32"/>
          <w:szCs w:val="32"/>
        </w:rPr>
        <w:t>日</w:t>
      </w:r>
    </w:p>
    <w:p w:rsidR="00C402B2" w:rsidRDefault="00C402B2">
      <w:pPr>
        <w:widowControl/>
        <w:spacing w:line="600" w:lineRule="exact"/>
        <w:ind w:firstLine="645"/>
        <w:jc w:val="left"/>
        <w:rPr>
          <w:rFonts w:eastAsia="黑体"/>
          <w:sz w:val="32"/>
          <w:szCs w:val="32"/>
        </w:rPr>
      </w:pPr>
    </w:p>
    <w:p w:rsidR="00C402B2" w:rsidRDefault="00C402B2">
      <w:pPr>
        <w:widowControl/>
        <w:spacing w:line="600" w:lineRule="exact"/>
        <w:ind w:firstLine="645"/>
        <w:jc w:val="left"/>
        <w:rPr>
          <w:rFonts w:eastAsia="黑体"/>
          <w:sz w:val="32"/>
          <w:szCs w:val="32"/>
        </w:rPr>
      </w:pPr>
    </w:p>
    <w:p w:rsidR="00C402B2" w:rsidRDefault="003714FF">
      <w:pPr>
        <w:widowControl/>
        <w:spacing w:line="600" w:lineRule="exact"/>
        <w:ind w:firstLineChars="200" w:firstLine="640"/>
        <w:jc w:val="left"/>
        <w:rPr>
          <w:rFonts w:eastAsia="仿宋_GB2312"/>
          <w:sz w:val="32"/>
          <w:szCs w:val="32"/>
        </w:rPr>
      </w:pPr>
      <w:r>
        <w:rPr>
          <w:rFonts w:eastAsia="仿宋_GB2312" w:hint="eastAsia"/>
          <w:sz w:val="32"/>
          <w:szCs w:val="32"/>
        </w:rPr>
        <w:t>报告需要以下附件：</w:t>
      </w:r>
    </w:p>
    <w:p w:rsidR="00C402B2" w:rsidRDefault="003714FF">
      <w:pPr>
        <w:widowControl/>
        <w:spacing w:line="600" w:lineRule="exact"/>
        <w:ind w:firstLineChars="200" w:firstLine="640"/>
        <w:jc w:val="left"/>
        <w:rPr>
          <w:rFonts w:eastAsia="仿宋_GB2312"/>
          <w:sz w:val="32"/>
          <w:szCs w:val="32"/>
        </w:rPr>
      </w:pPr>
      <w:r>
        <w:rPr>
          <w:rFonts w:eastAsia="仿宋_GB2312" w:hint="eastAsia"/>
          <w:sz w:val="32"/>
          <w:szCs w:val="32"/>
        </w:rPr>
        <w:t>1.</w:t>
      </w:r>
      <w:r>
        <w:rPr>
          <w:rFonts w:eastAsia="仿宋_GB2312" w:hint="eastAsia"/>
          <w:sz w:val="32"/>
          <w:szCs w:val="32"/>
        </w:rPr>
        <w:t>部门整体支出绩效评价基础数据表</w:t>
      </w:r>
    </w:p>
    <w:p w:rsidR="00C402B2" w:rsidRDefault="003714FF">
      <w:pPr>
        <w:widowControl/>
        <w:spacing w:line="600" w:lineRule="exact"/>
        <w:ind w:firstLineChars="200" w:firstLine="640"/>
        <w:jc w:val="left"/>
        <w:rPr>
          <w:rFonts w:eastAsia="仿宋_GB2312"/>
          <w:sz w:val="32"/>
          <w:szCs w:val="32"/>
        </w:rPr>
      </w:pPr>
      <w:r>
        <w:rPr>
          <w:rFonts w:eastAsia="仿宋_GB2312" w:hint="eastAsia"/>
          <w:sz w:val="32"/>
          <w:szCs w:val="32"/>
        </w:rPr>
        <w:t>2.</w:t>
      </w:r>
      <w:r>
        <w:rPr>
          <w:rFonts w:eastAsia="仿宋_GB2312" w:hint="eastAsia"/>
          <w:sz w:val="32"/>
          <w:szCs w:val="32"/>
        </w:rPr>
        <w:t>部门整体支出绩效自评表</w:t>
      </w:r>
    </w:p>
    <w:p w:rsidR="00C402B2" w:rsidRDefault="003714FF">
      <w:pPr>
        <w:widowControl/>
        <w:spacing w:line="600" w:lineRule="exact"/>
        <w:ind w:firstLineChars="200" w:firstLine="640"/>
        <w:jc w:val="left"/>
        <w:rPr>
          <w:rFonts w:eastAsia="仿宋_GB2312"/>
          <w:sz w:val="32"/>
          <w:szCs w:val="32"/>
        </w:rPr>
      </w:pPr>
      <w:r>
        <w:rPr>
          <w:rFonts w:eastAsia="仿宋_GB2312" w:hint="eastAsia"/>
          <w:sz w:val="32"/>
          <w:szCs w:val="32"/>
        </w:rPr>
        <w:t>3.</w:t>
      </w:r>
      <w:r>
        <w:rPr>
          <w:rFonts w:eastAsia="仿宋_GB2312" w:hint="eastAsia"/>
          <w:sz w:val="32"/>
          <w:szCs w:val="32"/>
        </w:rPr>
        <w:t>项目支出绩效自评表（一个项目支出一张表）</w:t>
      </w:r>
    </w:p>
    <w:p w:rsidR="00C402B2" w:rsidRDefault="00C402B2">
      <w:pPr>
        <w:widowControl/>
        <w:spacing w:line="600" w:lineRule="exact"/>
        <w:ind w:firstLineChars="200" w:firstLine="640"/>
        <w:jc w:val="left"/>
        <w:rPr>
          <w:rFonts w:eastAsia="仿宋_GB2312"/>
          <w:sz w:val="32"/>
          <w:szCs w:val="32"/>
        </w:rPr>
      </w:pPr>
    </w:p>
    <w:p w:rsidR="00C402B2" w:rsidRDefault="00C402B2">
      <w:pPr>
        <w:rPr>
          <w:rFonts w:ascii="宋体" w:eastAsia="宋体" w:hAnsi="宋体" w:cs="宋体"/>
          <w:sz w:val="36"/>
          <w:szCs w:val="36"/>
        </w:rPr>
      </w:pPr>
    </w:p>
    <w:sectPr w:rsidR="00C402B2" w:rsidSect="00C402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C65" w:rsidRDefault="00910C65" w:rsidP="005175F0">
      <w:r>
        <w:separator/>
      </w:r>
    </w:p>
  </w:endnote>
  <w:endnote w:type="continuationSeparator" w:id="0">
    <w:p w:rsidR="00910C65" w:rsidRDefault="00910C65" w:rsidP="005175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C65" w:rsidRDefault="00910C65" w:rsidP="005175F0">
      <w:r>
        <w:separator/>
      </w:r>
    </w:p>
  </w:footnote>
  <w:footnote w:type="continuationSeparator" w:id="0">
    <w:p w:rsidR="00910C65" w:rsidRDefault="00910C65" w:rsidP="005175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A2MjRhZjU4ZWU2Mjc2YTQyNGRmMGQ4MDhlZDBkYWQifQ=="/>
  </w:docVars>
  <w:rsids>
    <w:rsidRoot w:val="7C2F3E9A"/>
    <w:rsid w:val="003714FF"/>
    <w:rsid w:val="004A44C2"/>
    <w:rsid w:val="005175F0"/>
    <w:rsid w:val="008935FD"/>
    <w:rsid w:val="00910C65"/>
    <w:rsid w:val="00C402B2"/>
    <w:rsid w:val="00CA0B23"/>
    <w:rsid w:val="00CA35A1"/>
    <w:rsid w:val="00D9172C"/>
    <w:rsid w:val="00E65748"/>
    <w:rsid w:val="0CF07AA8"/>
    <w:rsid w:val="1585401F"/>
    <w:rsid w:val="16B81BD0"/>
    <w:rsid w:val="38F70F1D"/>
    <w:rsid w:val="5CFA13CD"/>
    <w:rsid w:val="7C2F3E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C402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uiPriority w:val="99"/>
    <w:qFormat/>
    <w:rsid w:val="00C402B2"/>
    <w:pPr>
      <w:ind w:firstLineChars="200" w:firstLine="420"/>
    </w:pPr>
    <w:rPr>
      <w:rFonts w:ascii="Calibri" w:eastAsia="宋体" w:hAnsi="Calibri" w:cs="Times New Roman"/>
      <w:szCs w:val="22"/>
    </w:rPr>
  </w:style>
  <w:style w:type="paragraph" w:styleId="a4">
    <w:name w:val="header"/>
    <w:basedOn w:val="a"/>
    <w:link w:val="Char"/>
    <w:rsid w:val="005175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175F0"/>
    <w:rPr>
      <w:kern w:val="2"/>
      <w:sz w:val="18"/>
      <w:szCs w:val="18"/>
    </w:rPr>
  </w:style>
  <w:style w:type="paragraph" w:styleId="a5">
    <w:name w:val="footer"/>
    <w:basedOn w:val="a"/>
    <w:link w:val="Char0"/>
    <w:rsid w:val="005175F0"/>
    <w:pPr>
      <w:tabs>
        <w:tab w:val="center" w:pos="4153"/>
        <w:tab w:val="right" w:pos="8306"/>
      </w:tabs>
      <w:snapToGrid w:val="0"/>
      <w:jc w:val="left"/>
    </w:pPr>
    <w:rPr>
      <w:sz w:val="18"/>
      <w:szCs w:val="18"/>
    </w:rPr>
  </w:style>
  <w:style w:type="character" w:customStyle="1" w:styleId="Char0">
    <w:name w:val="页脚 Char"/>
    <w:basedOn w:val="a0"/>
    <w:link w:val="a5"/>
    <w:rsid w:val="005175F0"/>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520</Words>
  <Characters>2970</Characters>
  <Application>Microsoft Office Word</Application>
  <DocSecurity>0</DocSecurity>
  <Lines>24</Lines>
  <Paragraphs>6</Paragraphs>
  <ScaleCrop>false</ScaleCrop>
  <Company>微软中国</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毛毛</dc:creator>
  <cp:lastModifiedBy>微软用户</cp:lastModifiedBy>
  <cp:revision>6</cp:revision>
  <cp:lastPrinted>2025-06-23T08:47:00Z</cp:lastPrinted>
  <dcterms:created xsi:type="dcterms:W3CDTF">2025-06-23T03:49:00Z</dcterms:created>
  <dcterms:modified xsi:type="dcterms:W3CDTF">2025-06-23T08:48:00Z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3E50F5A3659F40C69A158502AC92D306</vt:lpwstr>
  </property>
  <property fmtid="{D5CDD505-2E9C-101B-9397-08002B2CF9AE}" pid="4" name="KSOTemplateDocerSaveRecord">
    <vt:lpwstr>eyJoZGlkIjoiNjA2MjRhZjU4ZWU2Mjc2YTQyNGRmMGQ4MDhlZDBkYWQifQ==</vt:lpwstr>
  </property>
</Properties>
</file>