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1A3A8">
      <w:pPr>
        <w:rPr>
          <w:rFonts w:hint="eastAsia"/>
        </w:rPr>
      </w:pPr>
    </w:p>
    <w:p w14:paraId="79E64244">
      <w:pPr>
        <w:jc w:val="center"/>
        <w:rPr>
          <w:rFonts w:hint="eastAsia" w:ascii="宋体" w:hAnsi="宋体" w:eastAsia="宋体" w:cs="宋体"/>
          <w:sz w:val="44"/>
          <w:szCs w:val="44"/>
        </w:rPr>
      </w:pPr>
    </w:p>
    <w:p w14:paraId="760033AC">
      <w:pPr>
        <w:jc w:val="center"/>
        <w:rPr>
          <w:rFonts w:hint="eastAsia" w:ascii="宋体" w:hAnsi="宋体" w:eastAsia="宋体" w:cs="宋体"/>
          <w:sz w:val="44"/>
          <w:szCs w:val="44"/>
        </w:rPr>
      </w:pPr>
    </w:p>
    <w:p w14:paraId="2F27F77E">
      <w:pPr>
        <w:jc w:val="center"/>
        <w:rPr>
          <w:rFonts w:hint="eastAsia" w:ascii="宋体" w:hAnsi="宋体" w:eastAsia="宋体" w:cs="宋体"/>
          <w:b/>
          <w:bCs/>
          <w:sz w:val="44"/>
          <w:szCs w:val="44"/>
        </w:rPr>
      </w:pPr>
      <w:r>
        <w:rPr>
          <w:rFonts w:hint="eastAsia" w:ascii="方正小标宋简体" w:hAnsi="方正小标宋简体" w:eastAsia="方正小标宋简体" w:cs="方正小标宋简体"/>
          <w:b/>
          <w:bCs/>
          <w:sz w:val="44"/>
          <w:szCs w:val="44"/>
        </w:rPr>
        <w:t>行政处罚决定书</w:t>
      </w:r>
    </w:p>
    <w:p w14:paraId="2B80C410">
      <w:pPr>
        <w:keepNext w:val="0"/>
        <w:keepLines w:val="0"/>
        <w:pageBreakBefore w:val="0"/>
        <w:wordWrap/>
        <w:overflowPunct/>
        <w:topLinePunct w:val="0"/>
        <w:bidi w:val="0"/>
        <w:spacing w:line="320" w:lineRule="exact"/>
        <w:jc w:val="center"/>
        <w:rPr>
          <w:rFonts w:hint="eastAsia" w:ascii="楷体" w:hAnsi="楷体" w:eastAsia="楷体" w:cs="楷体"/>
          <w:sz w:val="28"/>
          <w:szCs w:val="28"/>
        </w:rPr>
      </w:pPr>
    </w:p>
    <w:p w14:paraId="50F0C1F5">
      <w:pPr>
        <w:keepNext w:val="0"/>
        <w:keepLines w:val="0"/>
        <w:pageBreakBefore w:val="0"/>
        <w:wordWrap/>
        <w:overflowPunct/>
        <w:topLinePunct w:val="0"/>
        <w:bidi w:val="0"/>
        <w:spacing w:line="320" w:lineRule="exact"/>
        <w:jc w:val="center"/>
        <w:rPr>
          <w:rFonts w:hint="eastAsia" w:ascii="楷体" w:hAnsi="楷体" w:eastAsia="楷体" w:cs="楷体"/>
          <w:sz w:val="28"/>
          <w:szCs w:val="28"/>
        </w:rPr>
      </w:pPr>
      <w:r>
        <w:rPr>
          <w:rFonts w:hint="eastAsia" w:ascii="楷体" w:hAnsi="楷体" w:eastAsia="楷体" w:cs="楷体"/>
          <w:sz w:val="28"/>
          <w:szCs w:val="28"/>
        </w:rPr>
        <w:t>常环</w:t>
      </w:r>
      <w:r>
        <w:rPr>
          <w:rFonts w:hint="eastAsia" w:ascii="楷体" w:hAnsi="楷体" w:eastAsia="楷体" w:cs="楷体"/>
          <w:sz w:val="28"/>
          <w:szCs w:val="28"/>
          <w:lang w:eastAsia="zh-CN"/>
        </w:rPr>
        <w:t>津</w:t>
      </w:r>
      <w:r>
        <w:rPr>
          <w:rFonts w:hint="eastAsia" w:ascii="楷体" w:hAnsi="楷体" w:eastAsia="楷体" w:cs="楷体"/>
          <w:sz w:val="28"/>
          <w:szCs w:val="28"/>
        </w:rPr>
        <w:t>罚字〔202</w:t>
      </w:r>
      <w:r>
        <w:rPr>
          <w:rFonts w:hint="eastAsia" w:ascii="楷体" w:hAnsi="楷体" w:eastAsia="楷体" w:cs="楷体"/>
          <w:sz w:val="28"/>
          <w:szCs w:val="28"/>
          <w:lang w:val="en-US" w:eastAsia="zh-CN"/>
        </w:rPr>
        <w:t>5</w:t>
      </w:r>
      <w:r>
        <w:rPr>
          <w:rFonts w:hint="eastAsia" w:ascii="楷体" w:hAnsi="楷体" w:eastAsia="楷体" w:cs="楷体"/>
          <w:sz w:val="28"/>
          <w:szCs w:val="28"/>
        </w:rPr>
        <w:t>〕</w:t>
      </w:r>
      <w:r>
        <w:rPr>
          <w:rFonts w:hint="eastAsia" w:ascii="楷体" w:hAnsi="楷体" w:eastAsia="楷体" w:cs="楷体"/>
          <w:color w:val="auto"/>
          <w:sz w:val="28"/>
          <w:szCs w:val="28"/>
          <w:lang w:val="en-US" w:eastAsia="zh-CN"/>
        </w:rPr>
        <w:t>12</w:t>
      </w:r>
      <w:r>
        <w:rPr>
          <w:rFonts w:hint="eastAsia" w:ascii="楷体" w:hAnsi="楷体" w:eastAsia="楷体" w:cs="楷体"/>
          <w:sz w:val="28"/>
          <w:szCs w:val="28"/>
        </w:rPr>
        <w:t>号</w:t>
      </w:r>
    </w:p>
    <w:p w14:paraId="05ECCC68">
      <w:pPr>
        <w:pStyle w:val="2"/>
        <w:keepNext w:val="0"/>
        <w:keepLines w:val="0"/>
        <w:pageBreakBefore w:val="0"/>
        <w:wordWrap/>
        <w:overflowPunct/>
        <w:topLinePunct w:val="0"/>
        <w:bidi w:val="0"/>
        <w:spacing w:line="320" w:lineRule="exact"/>
        <w:rPr>
          <w:rFonts w:hint="eastAsia"/>
        </w:rPr>
      </w:pPr>
    </w:p>
    <w:p w14:paraId="7B5CA9D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eastAsia="仿宋" w:cs="Times New Roman"/>
          <w:color w:val="auto"/>
          <w:sz w:val="32"/>
          <w:szCs w:val="32"/>
          <w:lang w:val="en-US" w:eastAsia="zh-CN"/>
        </w:rPr>
      </w:pPr>
      <w:r>
        <w:rPr>
          <w:rFonts w:hint="eastAsia" w:ascii="黑体" w:hAnsi="黑体" w:eastAsia="黑体" w:cs="黑体"/>
          <w:b/>
          <w:bCs/>
          <w:spacing w:val="120"/>
          <w:kern w:val="0"/>
          <w:sz w:val="32"/>
          <w:szCs w:val="32"/>
          <w:fitText w:val="2560" w:id="1843335949"/>
        </w:rPr>
        <w:t>当事人名</w:t>
      </w:r>
      <w:r>
        <w:rPr>
          <w:rFonts w:hint="eastAsia" w:ascii="黑体" w:hAnsi="黑体" w:eastAsia="黑体" w:cs="黑体"/>
          <w:b/>
          <w:bCs/>
          <w:spacing w:val="0"/>
          <w:kern w:val="0"/>
          <w:sz w:val="32"/>
          <w:szCs w:val="32"/>
          <w:fitText w:val="2560" w:id="1843335949"/>
        </w:rPr>
        <w:t>称</w:t>
      </w:r>
      <w:r>
        <w:rPr>
          <w:rFonts w:hint="eastAsia" w:ascii="黑体" w:hAnsi="黑体" w:eastAsia="黑体" w:cs="黑体"/>
          <w:b/>
          <w:bCs/>
          <w:sz w:val="32"/>
          <w:szCs w:val="32"/>
        </w:rPr>
        <w:t>：</w:t>
      </w:r>
      <w:r>
        <w:rPr>
          <w:rFonts w:hint="eastAsia" w:ascii="华文仿宋" w:hAnsi="华文仿宋" w:eastAsia="华文仿宋" w:cs="华文仿宋"/>
          <w:b w:val="0"/>
          <w:i w:val="0"/>
          <w:strike w:val="0"/>
          <w:color w:val="auto"/>
          <w:sz w:val="32"/>
          <w:szCs w:val="32"/>
          <w:lang w:val="en-US" w:eastAsia="zh-CN"/>
        </w:rPr>
        <w:t>津市市毛里湖镇艳琳牲猪养殖场</w:t>
      </w:r>
      <w:r>
        <w:rPr>
          <w:rFonts w:hint="eastAsia" w:ascii="华文仿宋" w:hAnsi="华文仿宋" w:eastAsia="华文仿宋" w:cs="华文仿宋"/>
          <w:b w:val="0"/>
          <w:i w:val="0"/>
          <w:strike w:val="0"/>
          <w:color w:val="auto"/>
          <w:sz w:val="32"/>
          <w:szCs w:val="32"/>
          <w:lang w:eastAsia="zh-CN"/>
        </w:rPr>
        <w:t xml:space="preserve"> </w:t>
      </w:r>
    </w:p>
    <w:p w14:paraId="530A17F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华文仿宋" w:hAnsi="华文仿宋" w:eastAsia="华文仿宋" w:cs="华文仿宋"/>
          <w:b w:val="0"/>
          <w:i w:val="0"/>
          <w:strike w:val="0"/>
          <w:color w:val="000000"/>
          <w:sz w:val="32"/>
          <w:szCs w:val="32"/>
          <w:lang w:eastAsia="zh-CN"/>
        </w:rPr>
      </w:pPr>
      <w:r>
        <w:rPr>
          <w:rFonts w:hint="eastAsia" w:ascii="黑体" w:hAnsi="黑体" w:eastAsia="黑体" w:cs="黑体"/>
          <w:b/>
          <w:bCs/>
          <w:spacing w:val="400"/>
          <w:kern w:val="0"/>
          <w:sz w:val="32"/>
          <w:szCs w:val="32"/>
          <w:fitText w:val="2560" w:id="837301078"/>
          <w:lang w:eastAsia="zh-CN"/>
        </w:rPr>
        <w:t>投资</w:t>
      </w:r>
      <w:r>
        <w:rPr>
          <w:rFonts w:hint="eastAsia" w:ascii="黑体" w:hAnsi="黑体" w:eastAsia="黑体" w:cs="黑体"/>
          <w:b/>
          <w:bCs/>
          <w:spacing w:val="0"/>
          <w:kern w:val="0"/>
          <w:sz w:val="32"/>
          <w:szCs w:val="32"/>
          <w:fitText w:val="2560" w:id="837301078"/>
        </w:rPr>
        <w:t>人</w:t>
      </w:r>
      <w:r>
        <w:rPr>
          <w:rFonts w:hint="eastAsia" w:ascii="黑体" w:hAnsi="黑体" w:eastAsia="黑体" w:cs="黑体"/>
          <w:b/>
          <w:bCs/>
          <w:sz w:val="32"/>
          <w:szCs w:val="32"/>
        </w:rPr>
        <w:t>：</w:t>
      </w:r>
      <w:r>
        <w:rPr>
          <w:rFonts w:hint="eastAsia" w:ascii="华文仿宋" w:hAnsi="华文仿宋" w:eastAsia="华文仿宋" w:cs="华文仿宋"/>
          <w:b w:val="0"/>
          <w:i w:val="0"/>
          <w:strike w:val="0"/>
          <w:color w:val="000000"/>
          <w:sz w:val="32"/>
          <w:szCs w:val="32"/>
          <w:lang w:val="en-US" w:eastAsia="zh-CN"/>
        </w:rPr>
        <w:t>祁艳琳</w:t>
      </w:r>
    </w:p>
    <w:p w14:paraId="0389E786">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华文仿宋" w:hAnsi="华文仿宋" w:eastAsia="华文仿宋" w:cs="华文仿宋"/>
          <w:b w:val="0"/>
          <w:i w:val="0"/>
          <w:strike w:val="0"/>
          <w:color w:val="000000"/>
          <w:sz w:val="32"/>
          <w:szCs w:val="32"/>
          <w:lang w:val="en-US" w:eastAsia="zh-CN"/>
        </w:rPr>
      </w:pPr>
      <w:r>
        <w:rPr>
          <w:rFonts w:hint="eastAsia" w:ascii="黑体" w:hAnsi="黑体" w:eastAsia="黑体" w:cs="黑体"/>
          <w:b/>
          <w:bCs/>
          <w:sz w:val="32"/>
          <w:szCs w:val="32"/>
        </w:rPr>
        <w:t>统一社会信用代码：</w:t>
      </w:r>
      <w:r>
        <w:rPr>
          <w:rFonts w:hint="eastAsia" w:ascii="华文仿宋" w:hAnsi="华文仿宋" w:eastAsia="华文仿宋" w:cs="华文仿宋"/>
          <w:b w:val="0"/>
          <w:i w:val="0"/>
          <w:strike w:val="0"/>
          <w:color w:val="000000"/>
          <w:sz w:val="32"/>
          <w:szCs w:val="32"/>
          <w:lang w:val="en-US" w:eastAsia="zh-CN"/>
        </w:rPr>
        <w:t>91430781MA4PUWX757</w:t>
      </w:r>
    </w:p>
    <w:p w14:paraId="1AABB3A6">
      <w:pPr>
        <w:wordWrap w:val="0"/>
        <w:spacing w:before="0" w:after="0" w:line="540" w:lineRule="atLeast"/>
        <w:ind w:right="0"/>
        <w:jc w:val="both"/>
        <w:textAlignment w:val="baseline"/>
        <w:rPr>
          <w:rFonts w:hint="eastAsia" w:eastAsia="仿宋" w:cs="Times New Roman"/>
          <w:sz w:val="28"/>
          <w:szCs w:val="28"/>
          <w:lang w:val="en-US" w:eastAsia="zh-CN"/>
        </w:rPr>
      </w:pPr>
      <w:r>
        <w:rPr>
          <w:rFonts w:hint="eastAsia" w:ascii="黑体" w:hAnsi="黑体" w:eastAsia="黑体" w:cs="黑体"/>
          <w:b/>
          <w:bCs/>
          <w:spacing w:val="960"/>
          <w:kern w:val="0"/>
          <w:sz w:val="32"/>
          <w:szCs w:val="32"/>
          <w:fitText w:val="2560" w:id="1660635880"/>
        </w:rPr>
        <w:t>地</w:t>
      </w:r>
      <w:r>
        <w:rPr>
          <w:rFonts w:hint="eastAsia" w:ascii="黑体" w:hAnsi="黑体" w:eastAsia="黑体" w:cs="黑体"/>
          <w:b/>
          <w:bCs/>
          <w:spacing w:val="0"/>
          <w:kern w:val="0"/>
          <w:sz w:val="32"/>
          <w:szCs w:val="32"/>
          <w:fitText w:val="2560" w:id="1660635880"/>
        </w:rPr>
        <w:t>址</w:t>
      </w:r>
      <w:r>
        <w:rPr>
          <w:rFonts w:hint="eastAsia" w:ascii="黑体" w:hAnsi="黑体" w:eastAsia="黑体" w:cs="黑体"/>
          <w:b/>
          <w:bCs/>
          <w:sz w:val="32"/>
          <w:szCs w:val="32"/>
        </w:rPr>
        <w:t>：</w:t>
      </w:r>
      <w:r>
        <w:rPr>
          <w:rFonts w:hint="eastAsia" w:ascii="华文仿宋" w:hAnsi="华文仿宋" w:eastAsia="华文仿宋" w:cs="华文仿宋"/>
          <w:b w:val="0"/>
          <w:i w:val="0"/>
          <w:strike w:val="0"/>
          <w:color w:val="000000"/>
          <w:sz w:val="28"/>
          <w:szCs w:val="28"/>
          <w:lang w:val="en-US" w:eastAsia="zh-CN"/>
        </w:rPr>
        <w:t>湖南省常德市津市市毛里湖镇双坪村二毛咀</w:t>
      </w:r>
    </w:p>
    <w:p w14:paraId="55974F83">
      <w:pPr>
        <w:keepNext w:val="0"/>
        <w:pageBreakBefore w:val="0"/>
        <w:wordWrap w:val="0"/>
        <w:overflowPunct/>
        <w:topLinePunct w:val="0"/>
        <w:bidi w:val="0"/>
        <w:spacing w:before="0" w:after="0" w:line="560" w:lineRule="exact"/>
        <w:ind w:right="0"/>
        <w:jc w:val="both"/>
        <w:textAlignment w:val="baseline"/>
        <w:rPr>
          <w:rFonts w:hint="eastAsia" w:ascii="黑体" w:hAnsi="黑体" w:eastAsia="黑体" w:cs="黑体"/>
          <w:snapToGrid w:val="0"/>
          <w:color w:val="000000"/>
          <w:kern w:val="0"/>
          <w:sz w:val="32"/>
          <w:szCs w:val="32"/>
          <w:lang w:val="en-US" w:eastAsia="zh-CN" w:bidi="ar-SA"/>
        </w:rPr>
      </w:pPr>
      <w:r>
        <w:rPr>
          <w:rFonts w:hint="eastAsia" w:eastAsia="仿宋" w:cs="Times New Roman"/>
          <w:sz w:val="32"/>
          <w:szCs w:val="32"/>
          <w:lang w:val="en-US" w:eastAsia="zh-CN"/>
        </w:rPr>
        <w:t xml:space="preserve"> </w:t>
      </w:r>
      <w:r>
        <w:rPr>
          <w:rFonts w:hint="eastAsia" w:ascii="黑体" w:hAnsi="黑体" w:eastAsia="黑体" w:cs="黑体"/>
          <w:snapToGrid w:val="0"/>
          <w:color w:val="000000"/>
          <w:kern w:val="0"/>
          <w:sz w:val="32"/>
          <w:szCs w:val="32"/>
          <w:lang w:val="en-US" w:eastAsia="zh-CN" w:bidi="ar-SA"/>
        </w:rPr>
        <w:t>一、环境违法事实和证据</w:t>
      </w:r>
    </w:p>
    <w:p w14:paraId="3B8200B6">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600" w:firstLineChars="200"/>
        <w:jc w:val="both"/>
        <w:textAlignment w:val="baseline"/>
        <w:rPr>
          <w:rFonts w:hint="eastAsia" w:ascii="仿宋" w:hAnsi="仿宋" w:eastAsia="仿宋" w:cs="仿宋"/>
          <w:b w:val="0"/>
          <w:i w:val="0"/>
          <w:strike w:val="0"/>
          <w:color w:val="000000"/>
          <w:sz w:val="30"/>
          <w:szCs w:val="30"/>
          <w:highlight w:val="none"/>
          <w:lang w:val="en-US" w:eastAsia="zh-CN"/>
        </w:rPr>
      </w:pPr>
      <w:r>
        <w:rPr>
          <w:rFonts w:hint="eastAsia" w:ascii="仿宋" w:hAnsi="仿宋" w:eastAsia="仿宋" w:cs="仿宋"/>
          <w:b w:val="0"/>
          <w:i w:val="0"/>
          <w:strike w:val="0"/>
          <w:color w:val="000000"/>
          <w:sz w:val="30"/>
          <w:szCs w:val="30"/>
          <w:highlight w:val="none"/>
          <w:lang w:val="en-US" w:eastAsia="zh-CN"/>
        </w:rPr>
        <w:t>2025年3月28、29日，常德市生态环境局津市分局执法人员闫俊声、龚德智对你养殖场进行现场检查。现场检查时，你养殖场牲猪存栏量约600头。现场检查发现，你养殖场南面铁皮围挡下有污水溢出，污水流入莲藕池内。2025年3月28日，我局监测站工作人员对你养殖场南面围挡下溢出污水和莲藕池内的水进行了现场样品采集。根据常德市津市生态环境监测站出具《监测报告》（津环监站字ZF（2025）-3-11号）显示：铁皮围挡下溢出污水化学需氧量为8510mg/L、氨氮为1630mg/L、总磷为47.8mg/L；莲藕池内污水中化学需氧量为2060mg/L、氨氮为2090mg/L、总磷为47.8mg/L。</w:t>
      </w:r>
    </w:p>
    <w:p w14:paraId="6BC9B6D0">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600" w:firstLineChars="200"/>
        <w:jc w:val="both"/>
        <w:textAlignment w:val="baseline"/>
        <w:rPr>
          <w:rFonts w:hint="eastAsia" w:ascii="仿宋" w:hAnsi="仿宋" w:eastAsia="仿宋" w:cs="仿宋"/>
          <w:b w:val="0"/>
          <w:i w:val="0"/>
          <w:strike w:val="0"/>
          <w:color w:val="000000"/>
          <w:sz w:val="30"/>
          <w:szCs w:val="30"/>
          <w:highlight w:val="none"/>
          <w:lang w:val="en-US" w:eastAsia="zh-CN"/>
        </w:rPr>
      </w:pPr>
      <w:r>
        <w:rPr>
          <w:rFonts w:hint="eastAsia" w:ascii="仿宋" w:hAnsi="仿宋" w:eastAsia="仿宋" w:cs="仿宋"/>
          <w:b w:val="0"/>
          <w:i w:val="0"/>
          <w:strike w:val="0"/>
          <w:color w:val="000000"/>
          <w:sz w:val="30"/>
          <w:szCs w:val="30"/>
          <w:highlight w:val="none"/>
          <w:lang w:val="en-US" w:eastAsia="zh-CN"/>
        </w:rPr>
        <w:t>以上事实，有以下证据证明：</w:t>
      </w:r>
    </w:p>
    <w:p w14:paraId="3E564895">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600" w:firstLineChars="200"/>
        <w:jc w:val="both"/>
        <w:textAlignment w:val="baseline"/>
        <w:rPr>
          <w:rFonts w:hint="default" w:ascii="仿宋" w:hAnsi="仿宋" w:eastAsia="仿宋" w:cs="仿宋"/>
          <w:b w:val="0"/>
          <w:i w:val="0"/>
          <w:strike w:val="0"/>
          <w:color w:val="000000"/>
          <w:sz w:val="30"/>
          <w:szCs w:val="30"/>
          <w:highlight w:val="none"/>
          <w:lang w:val="en-US" w:eastAsia="zh-CN"/>
        </w:rPr>
      </w:pPr>
      <w:r>
        <w:rPr>
          <w:rFonts w:hint="eastAsia" w:ascii="仿宋" w:hAnsi="仿宋" w:eastAsia="仿宋" w:cs="仿宋"/>
          <w:b w:val="0"/>
          <w:i w:val="0"/>
          <w:strike w:val="0"/>
          <w:color w:val="000000"/>
          <w:sz w:val="30"/>
          <w:szCs w:val="30"/>
          <w:highlight w:val="none"/>
          <w:lang w:val="en-US" w:eastAsia="zh-CN"/>
        </w:rPr>
        <w:t>1.</w:t>
      </w:r>
      <w:r>
        <w:rPr>
          <w:rFonts w:hint="default" w:ascii="仿宋" w:hAnsi="仿宋" w:eastAsia="仿宋" w:cs="仿宋"/>
          <w:b w:val="0"/>
          <w:i w:val="0"/>
          <w:strike w:val="0"/>
          <w:color w:val="000000"/>
          <w:sz w:val="30"/>
          <w:szCs w:val="30"/>
          <w:highlight w:val="none"/>
          <w:lang w:val="en-US" w:eastAsia="zh-CN"/>
        </w:rPr>
        <w:t>证据名称：</w:t>
      </w:r>
      <w:r>
        <w:rPr>
          <w:rFonts w:hint="eastAsia" w:ascii="仿宋" w:hAnsi="仿宋" w:eastAsia="仿宋" w:cs="仿宋"/>
          <w:b w:val="0"/>
          <w:i w:val="0"/>
          <w:strike w:val="0"/>
          <w:color w:val="000000"/>
          <w:sz w:val="30"/>
          <w:szCs w:val="30"/>
          <w:highlight w:val="none"/>
          <w:lang w:val="en-US" w:eastAsia="zh-CN"/>
        </w:rPr>
        <w:t>2025年《湖南省生态环境保护委员会办公室关于移交2025年省生态环境警示披露问题清单的函》</w:t>
      </w:r>
      <w:r>
        <w:rPr>
          <w:rFonts w:hint="default" w:ascii="仿宋" w:hAnsi="仿宋" w:eastAsia="仿宋" w:cs="仿宋"/>
          <w:b w:val="0"/>
          <w:i w:val="0"/>
          <w:strike w:val="0"/>
          <w:color w:val="000000"/>
          <w:sz w:val="30"/>
          <w:szCs w:val="30"/>
          <w:highlight w:val="none"/>
          <w:lang w:val="en-US" w:eastAsia="zh-CN"/>
        </w:rPr>
        <w:t>1份</w:t>
      </w:r>
      <w:r>
        <w:rPr>
          <w:rFonts w:hint="eastAsia" w:ascii="仿宋" w:hAnsi="仿宋" w:eastAsia="仿宋" w:cs="仿宋"/>
          <w:b w:val="0"/>
          <w:i w:val="0"/>
          <w:strike w:val="0"/>
          <w:color w:val="000000"/>
          <w:sz w:val="30"/>
          <w:szCs w:val="30"/>
          <w:highlight w:val="none"/>
          <w:lang w:val="en-US" w:eastAsia="zh-CN"/>
        </w:rPr>
        <w:t>；提取时间：2025年6月13日</w:t>
      </w:r>
      <w:r>
        <w:rPr>
          <w:rFonts w:hint="default" w:ascii="仿宋" w:hAnsi="仿宋" w:eastAsia="仿宋" w:cs="仿宋"/>
          <w:b w:val="0"/>
          <w:i w:val="0"/>
          <w:strike w:val="0"/>
          <w:color w:val="000000"/>
          <w:sz w:val="30"/>
          <w:szCs w:val="30"/>
          <w:highlight w:val="none"/>
          <w:lang w:val="en-US" w:eastAsia="zh-CN"/>
        </w:rPr>
        <w:t>；提供单位：</w:t>
      </w:r>
      <w:r>
        <w:rPr>
          <w:rFonts w:hint="eastAsia" w:ascii="仿宋" w:hAnsi="仿宋" w:eastAsia="仿宋" w:cs="仿宋"/>
          <w:b w:val="0"/>
          <w:i w:val="0"/>
          <w:strike w:val="0"/>
          <w:color w:val="000000"/>
          <w:sz w:val="30"/>
          <w:szCs w:val="30"/>
          <w:highlight w:val="none"/>
          <w:lang w:val="en-US" w:eastAsia="zh-CN"/>
        </w:rPr>
        <w:t>湖南省生态环境保护委员会办公室；</w:t>
      </w:r>
      <w:r>
        <w:rPr>
          <w:rFonts w:hint="default" w:ascii="仿宋" w:hAnsi="仿宋" w:eastAsia="仿宋" w:cs="仿宋"/>
          <w:b w:val="0"/>
          <w:i w:val="0"/>
          <w:strike w:val="0"/>
          <w:color w:val="000000"/>
          <w:sz w:val="30"/>
          <w:szCs w:val="30"/>
          <w:highlight w:val="none"/>
          <w:lang w:val="en-US" w:eastAsia="zh-CN"/>
        </w:rPr>
        <w:t>证明内容：证明案件线索来源</w:t>
      </w:r>
      <w:r>
        <w:rPr>
          <w:rFonts w:hint="eastAsia" w:ascii="仿宋" w:hAnsi="仿宋" w:eastAsia="仿宋" w:cs="仿宋"/>
          <w:b w:val="0"/>
          <w:i w:val="0"/>
          <w:strike w:val="0"/>
          <w:color w:val="000000"/>
          <w:sz w:val="30"/>
          <w:szCs w:val="30"/>
          <w:highlight w:val="none"/>
          <w:lang w:val="en-US" w:eastAsia="zh-CN"/>
        </w:rPr>
        <w:t>。</w:t>
      </w:r>
    </w:p>
    <w:p w14:paraId="37AA60E6">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600" w:firstLineChars="200"/>
        <w:jc w:val="both"/>
        <w:textAlignment w:val="baseline"/>
        <w:rPr>
          <w:rFonts w:hint="eastAsia" w:ascii="仿宋" w:hAnsi="仿宋" w:eastAsia="仿宋" w:cs="仿宋"/>
          <w:b w:val="0"/>
          <w:i w:val="0"/>
          <w:strike w:val="0"/>
          <w:color w:val="000000"/>
          <w:sz w:val="30"/>
          <w:szCs w:val="30"/>
          <w:highlight w:val="none"/>
          <w:lang w:val="en-US" w:eastAsia="zh-CN"/>
        </w:rPr>
      </w:pPr>
      <w:r>
        <w:rPr>
          <w:rFonts w:hint="eastAsia" w:ascii="仿宋" w:hAnsi="仿宋" w:eastAsia="仿宋" w:cs="仿宋"/>
          <w:b w:val="0"/>
          <w:i w:val="0"/>
          <w:strike w:val="0"/>
          <w:color w:val="000000"/>
          <w:sz w:val="30"/>
          <w:szCs w:val="30"/>
          <w:highlight w:val="none"/>
          <w:lang w:val="en-US" w:eastAsia="zh-CN"/>
        </w:rPr>
        <w:t>2.证据名称：营业执照、投资人身份证复印件各1份；固定污染源排污登记表复印件1份；建设项目环境影响登记表1份，提取时间:2025年4月2日；提供单位：当事人。证明内容：证明当事人</w:t>
      </w:r>
      <w:r>
        <w:rPr>
          <w:rFonts w:hint="default" w:ascii="仿宋" w:hAnsi="仿宋" w:eastAsia="仿宋" w:cs="仿宋"/>
          <w:b w:val="0"/>
          <w:i w:val="0"/>
          <w:strike w:val="0"/>
          <w:color w:val="000000"/>
          <w:sz w:val="30"/>
          <w:szCs w:val="30"/>
          <w:highlight w:val="none"/>
          <w:lang w:val="en-US" w:eastAsia="zh-CN"/>
        </w:rPr>
        <w:t>主体资格</w:t>
      </w:r>
      <w:r>
        <w:rPr>
          <w:rFonts w:hint="eastAsia" w:ascii="仿宋" w:hAnsi="仿宋" w:eastAsia="仿宋" w:cs="仿宋"/>
          <w:b w:val="0"/>
          <w:i w:val="0"/>
          <w:strike w:val="0"/>
          <w:color w:val="000000"/>
          <w:sz w:val="30"/>
          <w:szCs w:val="30"/>
          <w:highlight w:val="none"/>
          <w:lang w:val="en-US" w:eastAsia="zh-CN"/>
        </w:rPr>
        <w:t>。</w:t>
      </w:r>
    </w:p>
    <w:p w14:paraId="513BE2A3">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600" w:firstLineChars="200"/>
        <w:jc w:val="both"/>
        <w:textAlignment w:val="baseline"/>
        <w:rPr>
          <w:rFonts w:hint="eastAsia" w:ascii="仿宋" w:hAnsi="仿宋" w:eastAsia="仿宋" w:cs="仿宋"/>
          <w:b w:val="0"/>
          <w:i w:val="0"/>
          <w:strike w:val="0"/>
          <w:color w:val="000000"/>
          <w:sz w:val="30"/>
          <w:szCs w:val="30"/>
          <w:highlight w:val="none"/>
          <w:lang w:val="en-US" w:eastAsia="zh-CN"/>
        </w:rPr>
      </w:pPr>
      <w:r>
        <w:rPr>
          <w:rFonts w:hint="eastAsia" w:ascii="仿宋" w:hAnsi="仿宋" w:eastAsia="仿宋" w:cs="仿宋"/>
          <w:b w:val="0"/>
          <w:i w:val="0"/>
          <w:strike w:val="0"/>
          <w:color w:val="000000"/>
          <w:sz w:val="30"/>
          <w:szCs w:val="30"/>
          <w:highlight w:val="none"/>
          <w:lang w:val="en-US" w:eastAsia="zh-CN"/>
        </w:rPr>
        <w:t>3.证据名称：现场检查（</w:t>
      </w:r>
      <w:bookmarkStart w:id="0" w:name="OLE_LINK1"/>
      <w:r>
        <w:rPr>
          <w:rFonts w:hint="eastAsia" w:ascii="仿宋" w:hAnsi="仿宋" w:eastAsia="仿宋" w:cs="仿宋"/>
          <w:b w:val="0"/>
          <w:i w:val="0"/>
          <w:strike w:val="0"/>
          <w:color w:val="000000"/>
          <w:sz w:val="30"/>
          <w:szCs w:val="30"/>
          <w:highlight w:val="none"/>
          <w:lang w:val="en-US" w:eastAsia="zh-CN"/>
        </w:rPr>
        <w:t>勘察</w:t>
      </w:r>
      <w:bookmarkEnd w:id="0"/>
      <w:r>
        <w:rPr>
          <w:rFonts w:hint="eastAsia" w:ascii="仿宋" w:hAnsi="仿宋" w:eastAsia="仿宋" w:cs="仿宋"/>
          <w:b w:val="0"/>
          <w:i w:val="0"/>
          <w:strike w:val="0"/>
          <w:color w:val="000000"/>
          <w:sz w:val="30"/>
          <w:szCs w:val="30"/>
          <w:highlight w:val="none"/>
          <w:lang w:val="en-US" w:eastAsia="zh-CN"/>
        </w:rPr>
        <w:t>）笔录1份、现场勘察平面图1份、询问笔录1份；</w:t>
      </w:r>
      <w:r>
        <w:rPr>
          <w:rFonts w:hint="default" w:ascii="仿宋" w:hAnsi="仿宋" w:eastAsia="仿宋" w:cs="仿宋"/>
          <w:b w:val="0"/>
          <w:i w:val="0"/>
          <w:strike w:val="0"/>
          <w:color w:val="000000"/>
          <w:sz w:val="30"/>
          <w:szCs w:val="30"/>
          <w:highlight w:val="none"/>
          <w:lang w:val="en-US" w:eastAsia="zh-CN"/>
        </w:rPr>
        <w:t>现场照片证据</w:t>
      </w:r>
      <w:r>
        <w:rPr>
          <w:rFonts w:hint="eastAsia" w:ascii="仿宋" w:hAnsi="仿宋" w:eastAsia="仿宋" w:cs="仿宋"/>
          <w:b w:val="0"/>
          <w:i w:val="0"/>
          <w:strike w:val="0"/>
          <w:color w:val="000000"/>
          <w:sz w:val="30"/>
          <w:szCs w:val="30"/>
          <w:highlight w:val="none"/>
          <w:lang w:val="en-US" w:eastAsia="zh-CN"/>
        </w:rPr>
        <w:t>2份；《监测报告》1份； 提取时间: 2025年3月29日、3月31日（监测报告）、4月1日（询问笔录）；提供单位：常德市生态环境局；证明内容：</w:t>
      </w:r>
      <w:r>
        <w:rPr>
          <w:rFonts w:hint="default" w:ascii="仿宋" w:hAnsi="仿宋" w:eastAsia="仿宋" w:cs="仿宋"/>
          <w:b w:val="0"/>
          <w:i w:val="0"/>
          <w:strike w:val="0"/>
          <w:color w:val="000000"/>
          <w:sz w:val="30"/>
          <w:szCs w:val="30"/>
          <w:highlight w:val="none"/>
          <w:lang w:val="en-US" w:eastAsia="zh-CN"/>
        </w:rPr>
        <w:t>证明</w:t>
      </w:r>
      <w:r>
        <w:rPr>
          <w:rFonts w:hint="eastAsia" w:ascii="仿宋" w:hAnsi="仿宋" w:eastAsia="仿宋" w:cs="仿宋"/>
          <w:b w:val="0"/>
          <w:i w:val="0"/>
          <w:strike w:val="0"/>
          <w:color w:val="000000"/>
          <w:sz w:val="30"/>
          <w:szCs w:val="30"/>
          <w:highlight w:val="none"/>
          <w:lang w:val="en-US" w:eastAsia="zh-CN"/>
        </w:rPr>
        <w:t>当事人畜禽养殖废弃物渗出、泄漏的事实。</w:t>
      </w:r>
    </w:p>
    <w:p w14:paraId="00CC83AC">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600" w:firstLineChars="200"/>
        <w:jc w:val="both"/>
        <w:textAlignment w:val="baseline"/>
        <w:rPr>
          <w:rFonts w:hint="default" w:ascii="仿宋" w:hAnsi="仿宋" w:eastAsia="仿宋" w:cs="仿宋"/>
          <w:b w:val="0"/>
          <w:i w:val="0"/>
          <w:strike w:val="0"/>
          <w:color w:val="000000"/>
          <w:sz w:val="30"/>
          <w:szCs w:val="30"/>
          <w:highlight w:val="none"/>
          <w:lang w:val="en-US" w:eastAsia="zh-CN"/>
        </w:rPr>
      </w:pPr>
      <w:r>
        <w:rPr>
          <w:rFonts w:hint="eastAsia" w:ascii="仿宋" w:hAnsi="仿宋" w:eastAsia="仿宋" w:cs="仿宋"/>
          <w:b w:val="0"/>
          <w:i w:val="0"/>
          <w:strike w:val="0"/>
          <w:color w:val="000000"/>
          <w:sz w:val="30"/>
          <w:szCs w:val="30"/>
          <w:highlight w:val="none"/>
          <w:lang w:val="en-US" w:eastAsia="zh-CN"/>
        </w:rPr>
        <w:t>4.证据名称：实际投资人黄清兰身份证复印件1份、猪场收购合同1份、养殖场租赁合同1份、转账记录9份、询问笔录1份；提取时间：2025年9月23日；提供单位：黄清兰、常德市生态环境局（询问笔录）；证明内容：证明黄清兰为当事人实际投资人，以及当事人养殖废弃物渗出、泄漏的事实。</w:t>
      </w:r>
    </w:p>
    <w:p w14:paraId="04CAF05E">
      <w:pPr>
        <w:keepNext w:val="0"/>
        <w:keepLines w:val="0"/>
        <w:pageBreakBefore w:val="0"/>
        <w:widowControl w:val="0"/>
        <w:kinsoku/>
        <w:wordWrap w:val="0"/>
        <w:overflowPunct/>
        <w:topLinePunct w:val="0"/>
        <w:autoSpaceDE/>
        <w:autoSpaceDN/>
        <w:bidi w:val="0"/>
        <w:adjustRightInd/>
        <w:snapToGrid/>
        <w:spacing w:line="480" w:lineRule="exact"/>
        <w:ind w:right="0" w:firstLine="600" w:firstLineChars="200"/>
        <w:jc w:val="both"/>
        <w:textAlignment w:val="baseline"/>
        <w:rPr>
          <w:rFonts w:hint="eastAsia" w:ascii="仿宋" w:hAnsi="仿宋" w:eastAsia="仿宋" w:cs="仿宋"/>
          <w:b w:val="0"/>
          <w:i w:val="0"/>
          <w:strike w:val="0"/>
          <w:color w:val="auto"/>
          <w:sz w:val="30"/>
          <w:szCs w:val="30"/>
          <w:highlight w:val="none"/>
          <w:u w:val="none"/>
          <w:lang w:val="en-US" w:eastAsia="zh-CN"/>
        </w:rPr>
      </w:pPr>
      <w:r>
        <w:rPr>
          <w:rFonts w:hint="eastAsia" w:ascii="仿宋" w:hAnsi="仿宋" w:eastAsia="仿宋" w:cs="仿宋"/>
          <w:b w:val="0"/>
          <w:i w:val="0"/>
          <w:strike w:val="0"/>
          <w:color w:val="auto"/>
          <w:sz w:val="30"/>
          <w:szCs w:val="30"/>
          <w:highlight w:val="none"/>
          <w:lang w:val="en-US" w:eastAsia="zh-CN"/>
        </w:rPr>
        <w:t>你养殖场的上述行为违反了《畜禽规模养殖污染防治条例》“第十九条从事畜禽养殖活动和畜禽养殖废弃物处理活动，应当及时对畜禽粪便、畜禽尸体、污水等进行收集、贮存、清运，防止恶臭和畜禽养殖废弃物渗出、泄漏”</w:t>
      </w:r>
      <w:r>
        <w:rPr>
          <w:rFonts w:hint="eastAsia" w:ascii="仿宋" w:hAnsi="仿宋" w:eastAsia="仿宋" w:cs="仿宋"/>
          <w:b w:val="0"/>
          <w:i w:val="0"/>
          <w:strike w:val="0"/>
          <w:color w:val="auto"/>
          <w:sz w:val="30"/>
          <w:szCs w:val="30"/>
          <w:highlight w:val="none"/>
          <w:u w:val="none"/>
          <w:lang w:val="en-US" w:eastAsia="zh-CN"/>
        </w:rPr>
        <w:t>《中华人民共和国固体废物污染环境防治法》第六十五条第二款“从事畜禽规模养殖应当及时收集、贮存、利用或者处置养殖过程中产生的畜禽粪污等固体废物，避免造成环境污染”之规定。</w:t>
      </w:r>
    </w:p>
    <w:p w14:paraId="3C9CE60B">
      <w:pPr>
        <w:pStyle w:val="2"/>
        <w:keepNext w:val="0"/>
        <w:keepLines w:val="0"/>
        <w:pageBreakBefore w:val="0"/>
        <w:wordWrap/>
        <w:overflowPunct/>
        <w:topLinePunct w:val="0"/>
        <w:bidi w:val="0"/>
        <w:spacing w:line="480" w:lineRule="exact"/>
        <w:ind w:firstLine="640" w:firstLineChars="200"/>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二、陈述、申辩等权利内容的采纳情况及理由</w:t>
      </w:r>
    </w:p>
    <w:p w14:paraId="4F60DFC0">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600" w:firstLineChars="200"/>
        <w:jc w:val="both"/>
        <w:textAlignment w:val="baseline"/>
        <w:rPr>
          <w:rFonts w:hint="eastAsia" w:ascii="仿宋" w:hAnsi="仿宋" w:eastAsia="仿宋" w:cs="仿宋"/>
          <w:b w:val="0"/>
          <w:i w:val="0"/>
          <w:strike w:val="0"/>
          <w:color w:val="000000"/>
          <w:sz w:val="30"/>
          <w:szCs w:val="30"/>
          <w:highlight w:val="none"/>
          <w:lang w:val="en-US" w:eastAsia="zh-CN"/>
        </w:rPr>
      </w:pPr>
      <w:r>
        <w:rPr>
          <w:rFonts w:hint="eastAsia" w:ascii="仿宋" w:hAnsi="仿宋" w:eastAsia="仿宋" w:cs="仿宋"/>
          <w:b w:val="0"/>
          <w:i w:val="0"/>
          <w:strike w:val="0"/>
          <w:color w:val="000000"/>
          <w:sz w:val="30"/>
          <w:szCs w:val="30"/>
          <w:highlight w:val="none"/>
          <w:lang w:val="en-US" w:eastAsia="zh-CN"/>
        </w:rPr>
        <w:t>我局于2025年10月17日对你养殖场下达了《行政处罚事先（听证）告知书》（常环津罚告字[2025]12号)，并告知你养殖场享有陈述、申辩权和申请听证权利。</w:t>
      </w:r>
    </w:p>
    <w:p w14:paraId="23969912">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600" w:firstLineChars="200"/>
        <w:jc w:val="both"/>
        <w:textAlignment w:val="baseline"/>
        <w:rPr>
          <w:rFonts w:hint="eastAsia" w:ascii="仿宋" w:hAnsi="仿宋" w:eastAsia="仿宋" w:cs="仿宋"/>
          <w:b w:val="0"/>
          <w:i w:val="0"/>
          <w:strike w:val="0"/>
          <w:color w:val="auto"/>
          <w:sz w:val="30"/>
          <w:szCs w:val="30"/>
          <w:highlight w:val="none"/>
          <w:u w:val="none"/>
          <w:lang w:val="en-US" w:eastAsia="zh-CN"/>
        </w:rPr>
      </w:pPr>
      <w:r>
        <w:rPr>
          <w:rFonts w:hint="eastAsia" w:ascii="仿宋" w:hAnsi="仿宋" w:eastAsia="仿宋" w:cs="仿宋"/>
          <w:b w:val="0"/>
          <w:i w:val="0"/>
          <w:strike w:val="0"/>
          <w:color w:val="000000"/>
          <w:sz w:val="30"/>
          <w:szCs w:val="30"/>
          <w:highlight w:val="none"/>
          <w:lang w:val="en-US" w:eastAsia="zh-CN"/>
        </w:rPr>
        <w:t>你养殖场收到告知书后，向我局提交了《关于请求减免罚款的报告》，该报告详细介绍了，提出因连年亏损、背负银行贷款且受经济下行压力影响，请求减免行政处罚。我局于2025年10月23日给予回复。</w:t>
      </w:r>
      <w:r>
        <w:rPr>
          <w:rFonts w:hint="eastAsia" w:ascii="仿宋" w:hAnsi="仿宋" w:eastAsia="仿宋" w:cs="仿宋"/>
          <w:b w:val="0"/>
          <w:i w:val="0"/>
          <w:strike w:val="0"/>
          <w:color w:val="auto"/>
          <w:sz w:val="30"/>
          <w:szCs w:val="30"/>
          <w:highlight w:val="none"/>
          <w:u w:val="none"/>
          <w:lang w:val="en-US" w:eastAsia="zh-CN"/>
        </w:rPr>
        <w:t>早在2025年4月，你单位积极主动履行生态环境保护义务，开展生态环境损害赔偿。</w:t>
      </w:r>
    </w:p>
    <w:p w14:paraId="11BBAF65">
      <w:pPr>
        <w:pStyle w:val="2"/>
        <w:rPr>
          <w:rFonts w:hint="eastAsia" w:ascii="仿宋" w:hAnsi="仿宋" w:eastAsia="仿宋" w:cs="仿宋"/>
          <w:b w:val="0"/>
          <w:i w:val="0"/>
          <w:strike w:val="0"/>
          <w:color w:val="000000"/>
          <w:sz w:val="30"/>
          <w:szCs w:val="30"/>
          <w:highlight w:val="none"/>
          <w:lang w:val="en-US" w:eastAsia="zh-CN"/>
        </w:rPr>
      </w:pPr>
    </w:p>
    <w:p w14:paraId="4FD544D5">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640" w:firstLineChars="200"/>
        <w:jc w:val="both"/>
        <w:textAlignment w:val="baseline"/>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三、</w:t>
      </w:r>
      <w:bookmarkStart w:id="1" w:name="_GoBack"/>
      <w:bookmarkEnd w:id="1"/>
      <w:r>
        <w:rPr>
          <w:rFonts w:hint="eastAsia" w:ascii="黑体" w:hAnsi="黑体" w:eastAsia="黑体" w:cs="黑体"/>
          <w:snapToGrid w:val="0"/>
          <w:color w:val="000000"/>
          <w:kern w:val="0"/>
          <w:sz w:val="32"/>
          <w:szCs w:val="32"/>
          <w:lang w:val="en-US" w:eastAsia="zh-CN" w:bidi="ar-SA"/>
        </w:rPr>
        <w:t>行政处罚的依据、种类，以及裁量基准运用的理由和依据</w:t>
      </w:r>
    </w:p>
    <w:p w14:paraId="345083B6">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600" w:firstLineChars="200"/>
        <w:jc w:val="both"/>
        <w:textAlignment w:val="baseline"/>
        <w:rPr>
          <w:rFonts w:hint="eastAsia" w:ascii="仿宋" w:hAnsi="仿宋" w:eastAsia="仿宋" w:cs="仿宋"/>
          <w:b w:val="0"/>
          <w:i w:val="0"/>
          <w:strike w:val="0"/>
          <w:color w:val="auto"/>
          <w:sz w:val="30"/>
          <w:szCs w:val="30"/>
          <w:highlight w:val="none"/>
          <w:u w:val="none"/>
          <w:lang w:val="en-US" w:eastAsia="zh-CN"/>
        </w:rPr>
      </w:pPr>
      <w:r>
        <w:rPr>
          <w:rFonts w:hint="eastAsia" w:ascii="仿宋" w:hAnsi="仿宋" w:eastAsia="仿宋" w:cs="仿宋"/>
          <w:b w:val="0"/>
          <w:i w:val="0"/>
          <w:strike w:val="0"/>
          <w:color w:val="000000"/>
          <w:sz w:val="30"/>
          <w:szCs w:val="30"/>
          <w:highlight w:val="none"/>
          <w:lang w:val="en-US" w:eastAsia="zh-CN"/>
        </w:rPr>
        <w:t>依据《畜禽规模养殖污染防治条例》第四十条第（二）项“违反本条例规定，有下列行为之一的，由县级以上地方人民政府环境保护主管部门责令停止违法行为，限期采取治理措施消除污染，依照《中华人民共和国水污染防治法》、《中华人民共和国固体废物污染环境防治法》的有关规定予以处罚（二）从事畜禽养殖活动或者畜禽养殖废弃物处理活动，未采取有效措施，导致畜禽养殖废弃物渗出、泄漏的”和《中华人民共和国固体废物污染环境防治法》第一百零七条“从事畜禽规模养殖未及时收集、贮存、利用或者处置养殖过程中产生的畜禽粪污等固体废物的，由生态环境主管部门责令改正，可以处十万元以下的罚款；情节严重的，报经有批准权的人民政府批准，责令停业或者关闭。”之规定，</w:t>
      </w:r>
      <w:r>
        <w:rPr>
          <w:rFonts w:hint="default" w:ascii="仿宋" w:hAnsi="仿宋" w:eastAsia="仿宋" w:cs="仿宋"/>
          <w:b w:val="0"/>
          <w:i w:val="0"/>
          <w:strike w:val="0"/>
          <w:color w:val="000000"/>
          <w:sz w:val="30"/>
          <w:szCs w:val="30"/>
          <w:highlight w:val="none"/>
          <w:lang w:val="en-US" w:eastAsia="zh-CN"/>
        </w:rPr>
        <w:t>参照《湖南省生态环境保护行政处罚裁量权基准规定（2021版）》第九条第一款第（五）项“有下列情形之一的，可以依法从重处罚”和第九条第二款“对符合从重处罚情形的案件，在裁量时应当予以说明理由并经集体审议后，在裁量表裁定的基准罚款金额的基础上，增加一定罚款金额，但增加金额一般不超过法定最高罚款数额的20%（2万），且从重处罚后的罚款金额不得高于法定最高罚款数额。”</w:t>
      </w:r>
      <w:r>
        <w:rPr>
          <w:rFonts w:hint="eastAsia" w:ascii="仿宋" w:hAnsi="仿宋" w:eastAsia="仿宋" w:cs="仿宋"/>
          <w:b w:val="0"/>
          <w:i w:val="0"/>
          <w:strike w:val="0"/>
          <w:color w:val="000000"/>
          <w:sz w:val="30"/>
          <w:szCs w:val="30"/>
          <w:highlight w:val="none"/>
          <w:lang w:val="en-US" w:eastAsia="zh-CN"/>
        </w:rPr>
        <w:t>之规定和</w:t>
      </w:r>
      <w:r>
        <w:rPr>
          <w:rFonts w:hint="default" w:ascii="仿宋" w:hAnsi="仿宋" w:eastAsia="仿宋" w:cs="仿宋"/>
          <w:b w:val="0"/>
          <w:i w:val="0"/>
          <w:strike w:val="0"/>
          <w:color w:val="000000"/>
          <w:sz w:val="30"/>
          <w:szCs w:val="30"/>
          <w:highlight w:val="none"/>
          <w:lang w:val="en-US" w:eastAsia="zh-CN"/>
        </w:rPr>
        <w:t>表13通用裁量表的裁量标准：裁量起点如未规定法定最低罚款金额的，裁量起点=（《中</w:t>
      </w:r>
      <w:r>
        <w:rPr>
          <w:rFonts w:hint="eastAsia" w:ascii="仿宋" w:hAnsi="仿宋" w:eastAsia="仿宋" w:cs="仿宋"/>
          <w:b w:val="0"/>
          <w:i w:val="0"/>
          <w:strike w:val="0"/>
          <w:color w:val="000000"/>
          <w:sz w:val="30"/>
          <w:szCs w:val="30"/>
          <w:highlight w:val="none"/>
          <w:lang w:val="en-US" w:eastAsia="zh-CN"/>
        </w:rPr>
        <w:t>华</w:t>
      </w:r>
      <w:r>
        <w:rPr>
          <w:rFonts w:hint="default" w:ascii="仿宋" w:hAnsi="仿宋" w:eastAsia="仿宋" w:cs="仿宋"/>
          <w:b w:val="0"/>
          <w:i w:val="0"/>
          <w:strike w:val="0"/>
          <w:color w:val="000000"/>
          <w:sz w:val="30"/>
          <w:szCs w:val="30"/>
          <w:highlight w:val="none"/>
          <w:lang w:val="en-US" w:eastAsia="zh-CN"/>
        </w:rPr>
        <w:t>人民共和国行政处罚法》规定的简易程序对应最高罚款数额/法定最高罚款数额）×100%。=（</w:t>
      </w:r>
      <w:r>
        <w:rPr>
          <w:rFonts w:hint="eastAsia" w:ascii="仿宋" w:hAnsi="仿宋" w:eastAsia="仿宋" w:cs="仿宋"/>
          <w:b w:val="0"/>
          <w:i w:val="0"/>
          <w:strike w:val="0"/>
          <w:color w:val="000000"/>
          <w:sz w:val="30"/>
          <w:szCs w:val="30"/>
          <w:highlight w:val="none"/>
          <w:lang w:val="en-US" w:eastAsia="zh-CN"/>
        </w:rPr>
        <w:t>0.3</w:t>
      </w:r>
      <w:r>
        <w:rPr>
          <w:rFonts w:hint="default" w:ascii="仿宋" w:hAnsi="仿宋" w:eastAsia="仿宋" w:cs="仿宋"/>
          <w:b w:val="0"/>
          <w:i w:val="0"/>
          <w:strike w:val="0"/>
          <w:color w:val="000000"/>
          <w:sz w:val="30"/>
          <w:szCs w:val="30"/>
          <w:highlight w:val="none"/>
          <w:lang w:val="en-US" w:eastAsia="zh-CN"/>
        </w:rPr>
        <w:t>万/10万）=</w:t>
      </w:r>
      <w:r>
        <w:rPr>
          <w:rFonts w:hint="eastAsia" w:ascii="仿宋" w:hAnsi="仿宋" w:eastAsia="仿宋" w:cs="仿宋"/>
          <w:b w:val="0"/>
          <w:i w:val="0"/>
          <w:strike w:val="0"/>
          <w:color w:val="000000"/>
          <w:sz w:val="30"/>
          <w:szCs w:val="30"/>
          <w:highlight w:val="none"/>
          <w:lang w:val="en-US" w:eastAsia="zh-CN"/>
        </w:rPr>
        <w:t>3</w:t>
      </w:r>
      <w:r>
        <w:rPr>
          <w:rFonts w:hint="default" w:ascii="仿宋" w:hAnsi="仿宋" w:eastAsia="仿宋" w:cs="仿宋"/>
          <w:b w:val="0"/>
          <w:i w:val="0"/>
          <w:strike w:val="0"/>
          <w:color w:val="000000"/>
          <w:sz w:val="30"/>
          <w:szCs w:val="30"/>
          <w:highlight w:val="none"/>
          <w:lang w:val="en-US" w:eastAsia="zh-CN"/>
        </w:rPr>
        <w:t>%；（1）违法行为的区域影响中“县级行政区域内（不跨乡镇街道或在园区范围内）”的裁量百分值为0%；（2）违法行为持续时间中“不足3个月”的裁量百分值为0%；（3）违法行为发生地点中“在生态保护红线区域外”的裁量百分值为0%;（4）环境违法次数（两年内，含本次）中“1次”的裁量百分值为0%；（5）对周边居民、单位等造成的不良影响（一年内）中“无”的裁量百分值为0%。根据裁量的计算方法，罚款金额=[裁量起点百分值+（裁量百分值总和）×（1-裁量起点百分值）]=[</w:t>
      </w:r>
      <w:r>
        <w:rPr>
          <w:rFonts w:hint="eastAsia" w:ascii="仿宋" w:hAnsi="仿宋" w:eastAsia="仿宋" w:cs="仿宋"/>
          <w:b w:val="0"/>
          <w:i w:val="0"/>
          <w:strike w:val="0"/>
          <w:color w:val="000000"/>
          <w:sz w:val="30"/>
          <w:szCs w:val="30"/>
          <w:highlight w:val="none"/>
          <w:lang w:val="en-US" w:eastAsia="zh-CN"/>
        </w:rPr>
        <w:t>3</w:t>
      </w:r>
      <w:r>
        <w:rPr>
          <w:rFonts w:hint="default" w:ascii="仿宋" w:hAnsi="仿宋" w:eastAsia="仿宋" w:cs="仿宋"/>
          <w:b w:val="0"/>
          <w:i w:val="0"/>
          <w:strike w:val="0"/>
          <w:color w:val="000000"/>
          <w:sz w:val="30"/>
          <w:szCs w:val="30"/>
          <w:highlight w:val="none"/>
          <w:lang w:val="en-US" w:eastAsia="zh-CN"/>
        </w:rPr>
        <w:t>%+（0%+</w:t>
      </w:r>
      <w:r>
        <w:rPr>
          <w:rFonts w:hint="eastAsia" w:ascii="仿宋" w:hAnsi="仿宋" w:eastAsia="仿宋" w:cs="仿宋"/>
          <w:b w:val="0"/>
          <w:i w:val="0"/>
          <w:strike w:val="0"/>
          <w:color w:val="000000"/>
          <w:sz w:val="30"/>
          <w:szCs w:val="30"/>
          <w:highlight w:val="none"/>
          <w:lang w:val="en-US" w:eastAsia="zh-CN"/>
        </w:rPr>
        <w:t>0</w:t>
      </w:r>
      <w:r>
        <w:rPr>
          <w:rFonts w:hint="default" w:ascii="仿宋" w:hAnsi="仿宋" w:eastAsia="仿宋" w:cs="仿宋"/>
          <w:b w:val="0"/>
          <w:i w:val="0"/>
          <w:strike w:val="0"/>
          <w:color w:val="000000"/>
          <w:sz w:val="30"/>
          <w:szCs w:val="30"/>
          <w:highlight w:val="none"/>
          <w:lang w:val="en-US" w:eastAsia="zh-CN"/>
        </w:rPr>
        <w:t>%+0%+0%+0%）×（1-</w:t>
      </w:r>
      <w:r>
        <w:rPr>
          <w:rFonts w:hint="eastAsia" w:ascii="仿宋" w:hAnsi="仿宋" w:eastAsia="仿宋" w:cs="仿宋"/>
          <w:b w:val="0"/>
          <w:i w:val="0"/>
          <w:strike w:val="0"/>
          <w:color w:val="000000"/>
          <w:sz w:val="30"/>
          <w:szCs w:val="30"/>
          <w:highlight w:val="none"/>
          <w:lang w:val="en-US" w:eastAsia="zh-CN"/>
        </w:rPr>
        <w:t>3</w:t>
      </w:r>
      <w:r>
        <w:rPr>
          <w:rFonts w:hint="default" w:ascii="仿宋" w:hAnsi="仿宋" w:eastAsia="仿宋" w:cs="仿宋"/>
          <w:b w:val="0"/>
          <w:i w:val="0"/>
          <w:strike w:val="0"/>
          <w:color w:val="000000"/>
          <w:sz w:val="30"/>
          <w:szCs w:val="30"/>
          <w:highlight w:val="none"/>
          <w:lang w:val="en-US" w:eastAsia="zh-CN"/>
        </w:rPr>
        <w:t>%）]×10万</w:t>
      </w:r>
      <w:r>
        <w:rPr>
          <w:rFonts w:hint="eastAsia" w:ascii="仿宋" w:hAnsi="仿宋" w:eastAsia="仿宋" w:cs="仿宋"/>
          <w:b w:val="0"/>
          <w:i w:val="0"/>
          <w:strike w:val="0"/>
          <w:color w:val="000000"/>
          <w:sz w:val="30"/>
          <w:szCs w:val="30"/>
          <w:highlight w:val="none"/>
          <w:lang w:val="en-US" w:eastAsia="zh-CN"/>
        </w:rPr>
        <w:t>=0.3万。</w:t>
      </w:r>
      <w:r>
        <w:rPr>
          <w:rFonts w:hint="eastAsia" w:ascii="仿宋" w:hAnsi="仿宋" w:eastAsia="仿宋" w:cs="仿宋"/>
          <w:b w:val="0"/>
          <w:i w:val="0"/>
          <w:strike w:val="0"/>
          <w:color w:val="auto"/>
          <w:sz w:val="30"/>
          <w:szCs w:val="30"/>
          <w:highlight w:val="none"/>
          <w:u w:val="none"/>
          <w:lang w:val="en-US" w:eastAsia="zh-CN"/>
        </w:rPr>
        <w:t>根据《湖南省生态环境保护行政处罚裁量权基准规定（2021版）》第十条第一款第（五）项“有下列情形之一的，应当从轻或减轻处罚（五）法律、法规、规章规定其他应当从轻或减轻处罚情形的”第十条第二款“从轻处罚是指在依法可以选择的处罚种类和处罚幅度范围内，适用较轻、较少的处罚种类或者较低的处罚幅度。对符合从轻处罚情形的案件，在裁量时应当予以说明理由并经集体审议后，在裁量表裁定的罚款金额的基础上，减少一定罚款金额，但一般不超过法定最高罚款数额的20%，且从轻处罚后的罚款金额不得低于法定最低罚款数额”的裁量标准，依据《中华人民共和国行政处罚法》第三十二条第（五）项“当事人有下列情形之一，应当从轻或者减轻行政处罚（五）法律、法规、规章规定其他应当从轻或者减轻行政处罚的”和《生态环境损害赔偿管理规定》第十一条第一款“赔偿义务人积极履行生态环境损害赔偿责任的，相关行政机关和司法机关，依法将其作为从轻、减轻或者免予处理的情节”的规定，你单位符合从轻行政处罚的规定。</w:t>
      </w:r>
    </w:p>
    <w:p w14:paraId="7669938B">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color w:val="auto"/>
          <w:sz w:val="30"/>
          <w:szCs w:val="30"/>
          <w:lang w:val="en-US" w:eastAsia="zh-CN"/>
        </w:rPr>
      </w:pPr>
      <w:r>
        <w:rPr>
          <w:rFonts w:hint="eastAsia" w:ascii="仿宋" w:hAnsi="仿宋" w:eastAsia="仿宋" w:cs="仿宋"/>
          <w:b w:val="0"/>
          <w:i w:val="0"/>
          <w:strike w:val="0"/>
          <w:color w:val="000000"/>
          <w:sz w:val="30"/>
          <w:szCs w:val="30"/>
          <w:highlight w:val="none"/>
          <w:lang w:val="en-US" w:eastAsia="zh-CN"/>
        </w:rPr>
        <w:t>综上所述，经我局案审会集体审议，决定对你养殖场</w:t>
      </w:r>
      <w:r>
        <w:rPr>
          <w:rFonts w:hint="eastAsia" w:ascii="仿宋" w:hAnsi="仿宋" w:eastAsia="仿宋" w:cs="仿宋"/>
          <w:color w:val="auto"/>
          <w:sz w:val="30"/>
          <w:szCs w:val="30"/>
          <w:lang w:val="en-US" w:eastAsia="zh-CN"/>
        </w:rPr>
        <w:t>作出罚款：壹万伍仟元整（小计：15000.00元）的行政处罚。</w:t>
      </w:r>
    </w:p>
    <w:p w14:paraId="12EF8B6B">
      <w:pPr>
        <w:keepNext w:val="0"/>
        <w:keepLines/>
        <w:pageBreakBefore w:val="0"/>
        <w:widowControl/>
        <w:numPr>
          <w:ilvl w:val="0"/>
          <w:numId w:val="0"/>
        </w:numPr>
        <w:kinsoku/>
        <w:wordWrap w:val="0"/>
        <w:overflowPunct/>
        <w:topLinePunct w:val="0"/>
        <w:autoSpaceDE w:val="0"/>
        <w:autoSpaceDN w:val="0"/>
        <w:bidi w:val="0"/>
        <w:adjustRightInd w:val="0"/>
        <w:snapToGrid w:val="0"/>
        <w:spacing w:line="480" w:lineRule="exact"/>
        <w:ind w:firstLine="640" w:firstLineChars="200"/>
        <w:textAlignment w:val="baseline"/>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四、行政处罚的履行方式和期限</w:t>
      </w:r>
    </w:p>
    <w:p w14:paraId="61CB02FE">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限于接到本处罚决定之日起十五日内到指定的银行或者通过电子支付系统缴纳罚款。逾期不缴纳罚款的，我局可以根据《中华人民共和国行政处罚法》第七十二条第一款第一项规定每日按罚款数额的百分之三加处罚款。</w:t>
      </w:r>
    </w:p>
    <w:p w14:paraId="42545006">
      <w:pPr>
        <w:pStyle w:val="2"/>
        <w:keepNext w:val="0"/>
        <w:keepLines w:val="0"/>
        <w:pageBreakBefore w:val="0"/>
        <w:wordWrap/>
        <w:overflowPunct/>
        <w:topLinePunct w:val="0"/>
        <w:bidi w:val="0"/>
        <w:spacing w:line="480" w:lineRule="exact"/>
        <w:ind w:firstLine="640" w:firstLineChars="200"/>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五、申请行政复议或者提起行政诉讼的途径和期限</w:t>
      </w:r>
    </w:p>
    <w:p w14:paraId="4CF3572A">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val="0"/>
          <w:i w:val="0"/>
          <w:strike w:val="0"/>
          <w:color w:val="000000"/>
          <w:sz w:val="30"/>
          <w:szCs w:val="30"/>
          <w:lang w:val="en-US" w:eastAsia="zh-CN"/>
        </w:rPr>
        <w:t>你养殖场</w:t>
      </w:r>
      <w:r>
        <w:rPr>
          <w:rFonts w:hint="eastAsia" w:ascii="仿宋" w:hAnsi="仿宋" w:eastAsia="仿宋" w:cs="仿宋"/>
          <w:color w:val="auto"/>
          <w:sz w:val="30"/>
          <w:szCs w:val="30"/>
          <w:lang w:val="en-US" w:eastAsia="zh-CN"/>
        </w:rPr>
        <w:t xml:space="preserve">如不服本处罚决定，可在收到本处罚决定书之日起六十日内向常德市人民政府申请行政复议，也可以在六个月内向鼎城区人民法院提起行政诉讼。申请行政复议或者提起行政诉讼，不停止行政处罚决定的执行。   </w:t>
      </w:r>
    </w:p>
    <w:p w14:paraId="041186BB">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逾期不申请行政复议，不提起行政诉讼，又不履行本处罚决定的，我局将依法申请人民法院强制执行。</w:t>
      </w:r>
    </w:p>
    <w:p w14:paraId="06368F08">
      <w:pPr>
        <w:keepNext w:val="0"/>
        <w:keepLines w:val="0"/>
        <w:pageBreakBefore w:val="0"/>
        <w:widowControl/>
        <w:kinsoku w:val="0"/>
        <w:wordWrap/>
        <w:overflowPunct/>
        <w:topLinePunct w:val="0"/>
        <w:autoSpaceDE w:val="0"/>
        <w:autoSpaceDN w:val="0"/>
        <w:bidi w:val="0"/>
        <w:adjustRightInd w:val="0"/>
        <w:snapToGrid w:val="0"/>
        <w:spacing w:line="480" w:lineRule="exact"/>
        <w:ind w:left="5427" w:leftChars="2432" w:hanging="320" w:hangingChars="100"/>
        <w:textAlignment w:val="baseline"/>
        <w:rPr>
          <w:rFonts w:hint="eastAsia" w:ascii="仿宋" w:hAnsi="仿宋" w:eastAsia="仿宋" w:cs="仿宋"/>
          <w:sz w:val="32"/>
          <w:szCs w:val="32"/>
          <w:lang w:val="en-US" w:eastAsia="zh-CN"/>
        </w:rPr>
      </w:pPr>
    </w:p>
    <w:p w14:paraId="11451406">
      <w:pPr>
        <w:keepNext w:val="0"/>
        <w:keepLines w:val="0"/>
        <w:pageBreakBefore w:val="0"/>
        <w:widowControl/>
        <w:kinsoku w:val="0"/>
        <w:wordWrap/>
        <w:overflowPunct/>
        <w:topLinePunct w:val="0"/>
        <w:autoSpaceDE w:val="0"/>
        <w:autoSpaceDN w:val="0"/>
        <w:bidi w:val="0"/>
        <w:adjustRightInd w:val="0"/>
        <w:snapToGrid w:val="0"/>
        <w:spacing w:line="480" w:lineRule="exact"/>
        <w:ind w:left="5427" w:leftChars="2432" w:hanging="320" w:hangingChars="1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3DACD960">
      <w:pPr>
        <w:keepNext w:val="0"/>
        <w:keepLines w:val="0"/>
        <w:pageBreakBefore w:val="0"/>
        <w:widowControl/>
        <w:kinsoku w:val="0"/>
        <w:wordWrap/>
        <w:overflowPunct/>
        <w:topLinePunct w:val="0"/>
        <w:autoSpaceDE w:val="0"/>
        <w:autoSpaceDN w:val="0"/>
        <w:bidi w:val="0"/>
        <w:adjustRightInd w:val="0"/>
        <w:snapToGrid w:val="0"/>
        <w:spacing w:line="480" w:lineRule="exact"/>
        <w:ind w:firstLine="5440" w:firstLineChars="1700"/>
        <w:textAlignment w:val="baseline"/>
        <w:rPr>
          <w:rFonts w:hint="eastAsia" w:ascii="方正小标宋简体" w:hAnsi="方正小标宋简体" w:eastAsia="方正小标宋简体"/>
          <w:b/>
          <w:bCs/>
          <w:kern w:val="0"/>
          <w:sz w:val="44"/>
          <w:szCs w:val="44"/>
        </w:rPr>
      </w:pPr>
      <w:r>
        <w:rPr>
          <w:rFonts w:hint="eastAsia" w:ascii="仿宋" w:hAnsi="仿宋" w:eastAsia="仿宋" w:cs="仿宋"/>
          <w:color w:val="auto"/>
          <w:sz w:val="32"/>
          <w:szCs w:val="32"/>
          <w:lang w:val="en-US" w:eastAsia="zh-CN"/>
        </w:rPr>
        <w:t>2025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w:t>
      </w:r>
    </w:p>
    <w:p w14:paraId="7BB4A42C">
      <w:pPr>
        <w:keepNext w:val="0"/>
        <w:pageBreakBefore w:val="0"/>
        <w:overflowPunct/>
        <w:topLinePunct w:val="0"/>
        <w:bidi w:val="0"/>
        <w:spacing w:line="480" w:lineRule="exact"/>
        <w:rPr>
          <w:rFonts w:hint="eastAsia" w:ascii="方正小标宋简体" w:hAnsi="方正小标宋简体" w:eastAsia="方正小标宋简体"/>
          <w:b/>
          <w:bCs/>
          <w:kern w:val="0"/>
          <w:sz w:val="44"/>
          <w:szCs w:val="44"/>
        </w:rPr>
      </w:pPr>
      <w:r>
        <w:rPr>
          <w:rFonts w:hint="eastAsia" w:ascii="方正小标宋简体" w:hAnsi="方正小标宋简体" w:eastAsia="方正小标宋简体"/>
          <w:b/>
          <w:bCs/>
          <w:kern w:val="0"/>
          <w:sz w:val="44"/>
          <w:szCs w:val="44"/>
        </w:rPr>
        <w:br w:type="page"/>
      </w:r>
    </w:p>
    <w:p w14:paraId="212A5D41">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b/>
          <w:bCs/>
          <w:kern w:val="0"/>
          <w:sz w:val="44"/>
          <w:szCs w:val="44"/>
        </w:rPr>
      </w:pPr>
      <w:r>
        <w:rPr>
          <w:rFonts w:hint="eastAsia" w:ascii="方正小标宋简体" w:hAnsi="方正小标宋简体" w:eastAsia="方正小标宋简体"/>
          <w:b/>
          <w:bCs/>
          <w:kern w:val="0"/>
          <w:sz w:val="44"/>
          <w:szCs w:val="44"/>
        </w:rPr>
        <w:t>常德市生态环境局</w:t>
      </w:r>
    </w:p>
    <w:p w14:paraId="15A710A5">
      <w:pPr>
        <w:widowControl/>
        <w:snapToGrid w:val="0"/>
        <w:jc w:val="center"/>
        <w:rPr>
          <w:rFonts w:hint="eastAsia" w:ascii="方正小标宋简体" w:hAnsi="方正小标宋简体" w:eastAsia="方正小标宋简体"/>
          <w:b/>
          <w:bCs/>
          <w:kern w:val="0"/>
          <w:sz w:val="44"/>
          <w:szCs w:val="44"/>
        </w:rPr>
      </w:pPr>
      <w:r>
        <w:rPr>
          <w:rFonts w:hint="eastAsia" w:ascii="方正小标宋简体" w:hAnsi="方正小标宋简体" w:eastAsia="方正小标宋简体"/>
          <w:b/>
          <w:bCs/>
          <w:kern w:val="0"/>
          <w:sz w:val="44"/>
          <w:szCs w:val="44"/>
        </w:rPr>
        <w:t>送达回证</w:t>
      </w:r>
    </w:p>
    <w:p w14:paraId="14A2A913">
      <w:pPr>
        <w:widowControl/>
        <w:snapToGrid w:val="0"/>
        <w:jc w:val="center"/>
        <w:rPr>
          <w:rFonts w:ascii="宋体" w:hAnsi="宋体"/>
          <w:b/>
          <w:bCs/>
          <w:kern w:val="0"/>
          <w:szCs w:val="21"/>
        </w:rPr>
      </w:pPr>
      <w:r>
        <w:rPr>
          <w:rFonts w:hint="eastAsia" w:ascii="宋体" w:hAnsi="宋体"/>
          <w:b/>
          <w:bCs/>
          <w:kern w:val="0"/>
          <w:szCs w:val="21"/>
        </w:rPr>
        <w:t xml:space="preserve"> </w:t>
      </w:r>
    </w:p>
    <w:tbl>
      <w:tblPr>
        <w:tblStyle w:val="6"/>
        <w:tblW w:w="8639" w:type="dxa"/>
        <w:jc w:val="center"/>
        <w:tblLayout w:type="fixed"/>
        <w:tblCellMar>
          <w:top w:w="0" w:type="dxa"/>
          <w:left w:w="108" w:type="dxa"/>
          <w:bottom w:w="0" w:type="dxa"/>
          <w:right w:w="108" w:type="dxa"/>
        </w:tblCellMar>
      </w:tblPr>
      <w:tblGrid>
        <w:gridCol w:w="2458"/>
        <w:gridCol w:w="6181"/>
      </w:tblGrid>
      <w:tr w14:paraId="3F064AF7">
        <w:tblPrEx>
          <w:tblCellMar>
            <w:top w:w="0" w:type="dxa"/>
            <w:left w:w="108" w:type="dxa"/>
            <w:bottom w:w="0" w:type="dxa"/>
            <w:right w:w="108" w:type="dxa"/>
          </w:tblCellMar>
        </w:tblPrEx>
        <w:trPr>
          <w:trHeight w:val="1751"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1F4DBE45">
            <w:pPr>
              <w:widowControl/>
              <w:snapToGrid w:val="0"/>
              <w:jc w:val="center"/>
              <w:rPr>
                <w:rFonts w:hint="eastAsia" w:ascii="方正楷体简体" w:hAnsi="方正楷体简体" w:eastAsia="方正楷体简体"/>
                <w:kern w:val="0"/>
                <w:sz w:val="24"/>
              </w:rPr>
            </w:pPr>
            <w:r>
              <w:rPr>
                <w:rFonts w:hint="eastAsia" w:ascii="方正楷体简体" w:hAnsi="方正楷体简体" w:eastAsia="方正楷体简体"/>
                <w:kern w:val="0"/>
                <w:sz w:val="24"/>
              </w:rPr>
              <w:t>送达文书名称及文号</w:t>
            </w:r>
          </w:p>
        </w:tc>
        <w:tc>
          <w:tcPr>
            <w:tcW w:w="6181" w:type="dxa"/>
            <w:tcBorders>
              <w:top w:val="single" w:color="000000" w:sz="8" w:space="0"/>
              <w:left w:val="nil"/>
              <w:bottom w:val="single" w:color="000000" w:sz="8" w:space="0"/>
              <w:right w:val="single" w:color="000000" w:sz="8" w:space="0"/>
            </w:tcBorders>
            <w:noWrap w:val="0"/>
            <w:vAlign w:val="top"/>
          </w:tcPr>
          <w:p w14:paraId="00B2E184">
            <w:pPr>
              <w:widowControl/>
              <w:snapToGrid w:val="0"/>
              <w:jc w:val="center"/>
              <w:rPr>
                <w:rFonts w:hint="eastAsia" w:ascii="方正楷体简体" w:hAnsi="方正楷体简体" w:eastAsia="方正楷体简体"/>
                <w:kern w:val="0"/>
                <w:sz w:val="36"/>
                <w:szCs w:val="36"/>
              </w:rPr>
            </w:pPr>
            <w:r>
              <w:rPr>
                <w:rFonts w:hint="eastAsia" w:ascii="方正楷体简体" w:hAnsi="方正楷体简体" w:eastAsia="方正楷体简体"/>
                <w:kern w:val="0"/>
                <w:sz w:val="36"/>
                <w:szCs w:val="36"/>
              </w:rPr>
              <w:t>行政处罚决定书</w:t>
            </w:r>
          </w:p>
          <w:p w14:paraId="45318DC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常环津罚字〔2025〕12号</w:t>
            </w:r>
          </w:p>
          <w:p w14:paraId="2AB96E45">
            <w:pPr>
              <w:widowControl/>
              <w:snapToGrid w:val="0"/>
              <w:jc w:val="center"/>
              <w:rPr>
                <w:rFonts w:hint="eastAsia" w:ascii="方正楷体简体" w:hAnsi="方正楷体简体" w:eastAsia="方正楷体简体"/>
                <w:kern w:val="0"/>
                <w:sz w:val="24"/>
              </w:rPr>
            </w:pPr>
          </w:p>
        </w:tc>
      </w:tr>
      <w:tr w14:paraId="53FE8CBF">
        <w:tblPrEx>
          <w:tblCellMar>
            <w:top w:w="0" w:type="dxa"/>
            <w:left w:w="108" w:type="dxa"/>
            <w:bottom w:w="0" w:type="dxa"/>
            <w:right w:w="108" w:type="dxa"/>
          </w:tblCellMar>
        </w:tblPrEx>
        <w:trPr>
          <w:trHeight w:val="1539"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32E754FE">
            <w:pPr>
              <w:widowControl/>
              <w:snapToGrid w:val="0"/>
              <w:jc w:val="center"/>
              <w:rPr>
                <w:rFonts w:hint="eastAsia" w:ascii="方正楷体简体" w:hAnsi="方正楷体简体" w:eastAsia="方正楷体简体"/>
                <w:kern w:val="0"/>
                <w:sz w:val="24"/>
              </w:rPr>
            </w:pPr>
            <w:r>
              <w:rPr>
                <w:rFonts w:hint="eastAsia" w:ascii="方正楷体简体" w:hAnsi="方正楷体简体" w:eastAsia="方正楷体简体"/>
                <w:kern w:val="0"/>
                <w:sz w:val="24"/>
                <w:lang w:eastAsia="zh-CN"/>
              </w:rPr>
              <w:t>受送达</w:t>
            </w:r>
            <w:r>
              <w:rPr>
                <w:rFonts w:hint="eastAsia" w:ascii="方正楷体简体" w:hAnsi="方正楷体简体" w:eastAsia="方正楷体简体"/>
                <w:kern w:val="0"/>
                <w:sz w:val="24"/>
              </w:rPr>
              <w:t>人名称或姓名</w:t>
            </w:r>
          </w:p>
        </w:tc>
        <w:tc>
          <w:tcPr>
            <w:tcW w:w="6181" w:type="dxa"/>
            <w:tcBorders>
              <w:top w:val="single" w:color="000000" w:sz="8" w:space="0"/>
              <w:left w:val="nil"/>
              <w:bottom w:val="single" w:color="000000" w:sz="8" w:space="0"/>
              <w:right w:val="single" w:color="000000" w:sz="8" w:space="0"/>
            </w:tcBorders>
            <w:noWrap w:val="0"/>
            <w:vAlign w:val="center"/>
          </w:tcPr>
          <w:p w14:paraId="76459C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简体" w:hAnsi="方正楷体简体" w:eastAsia="方正楷体简体"/>
                <w:kern w:val="0"/>
                <w:sz w:val="24"/>
              </w:rPr>
            </w:pPr>
            <w:r>
              <w:rPr>
                <w:rFonts w:hint="eastAsia" w:ascii="华文仿宋" w:hAnsi="华文仿宋" w:eastAsia="华文仿宋" w:cs="华文仿宋"/>
                <w:b w:val="0"/>
                <w:i w:val="0"/>
                <w:strike w:val="0"/>
                <w:color w:val="auto"/>
                <w:sz w:val="32"/>
                <w:szCs w:val="32"/>
                <w:lang w:val="en-US" w:eastAsia="zh-CN"/>
              </w:rPr>
              <w:t>津市市毛里湖镇艳琳牲猪养殖场</w:t>
            </w:r>
          </w:p>
        </w:tc>
      </w:tr>
      <w:tr w14:paraId="1A7F5260">
        <w:tblPrEx>
          <w:tblCellMar>
            <w:top w:w="0" w:type="dxa"/>
            <w:left w:w="108" w:type="dxa"/>
            <w:bottom w:w="0" w:type="dxa"/>
            <w:right w:w="108" w:type="dxa"/>
          </w:tblCellMar>
        </w:tblPrEx>
        <w:trPr>
          <w:trHeight w:val="1282"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18AD2CDE">
            <w:pPr>
              <w:widowControl/>
              <w:snapToGrid w:val="0"/>
              <w:jc w:val="center"/>
              <w:rPr>
                <w:rFonts w:hint="eastAsia" w:ascii="方正楷体简体" w:hAnsi="方正楷体简体" w:eastAsia="方正楷体简体"/>
                <w:kern w:val="0"/>
                <w:sz w:val="24"/>
              </w:rPr>
            </w:pPr>
            <w:r>
              <w:rPr>
                <w:rFonts w:hint="eastAsia" w:ascii="方正楷体简体" w:hAnsi="方正楷体简体" w:eastAsia="方正楷体简体"/>
                <w:kern w:val="0"/>
                <w:sz w:val="24"/>
              </w:rPr>
              <w:t>送达地点</w:t>
            </w:r>
          </w:p>
        </w:tc>
        <w:tc>
          <w:tcPr>
            <w:tcW w:w="6181" w:type="dxa"/>
            <w:tcBorders>
              <w:top w:val="single" w:color="000000" w:sz="8" w:space="0"/>
              <w:left w:val="nil"/>
              <w:bottom w:val="single" w:color="000000" w:sz="8" w:space="0"/>
              <w:right w:val="single" w:color="000000" w:sz="8" w:space="0"/>
            </w:tcBorders>
            <w:noWrap w:val="0"/>
            <w:vAlign w:val="center"/>
          </w:tcPr>
          <w:p w14:paraId="30B598B9">
            <w:pPr>
              <w:widowControl/>
              <w:snapToGrid w:val="0"/>
              <w:jc w:val="center"/>
              <w:rPr>
                <w:rFonts w:hint="eastAsia" w:ascii="方正楷体简体" w:hAnsi="方正楷体简体" w:eastAsia="方正楷体简体"/>
                <w:kern w:val="0"/>
                <w:sz w:val="24"/>
              </w:rPr>
            </w:pPr>
          </w:p>
        </w:tc>
      </w:tr>
      <w:tr w14:paraId="4BB54D0D">
        <w:tblPrEx>
          <w:tblCellMar>
            <w:top w:w="0" w:type="dxa"/>
            <w:left w:w="108" w:type="dxa"/>
            <w:bottom w:w="0" w:type="dxa"/>
            <w:right w:w="108" w:type="dxa"/>
          </w:tblCellMar>
        </w:tblPrEx>
        <w:trPr>
          <w:trHeight w:val="1374"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05CE918C">
            <w:pPr>
              <w:widowControl/>
              <w:snapToGrid w:val="0"/>
              <w:jc w:val="center"/>
              <w:rPr>
                <w:rFonts w:hint="eastAsia" w:ascii="方正楷体简体" w:hAnsi="方正楷体简体" w:eastAsia="方正楷体简体"/>
                <w:kern w:val="0"/>
                <w:sz w:val="24"/>
              </w:rPr>
            </w:pPr>
            <w:r>
              <w:rPr>
                <w:rFonts w:hint="eastAsia" w:ascii="方正楷体简体" w:hAnsi="方正楷体简体" w:eastAsia="方正楷体简体"/>
                <w:kern w:val="0"/>
                <w:sz w:val="24"/>
              </w:rPr>
              <w:t>送达方式</w:t>
            </w:r>
          </w:p>
        </w:tc>
        <w:tc>
          <w:tcPr>
            <w:tcW w:w="6181" w:type="dxa"/>
            <w:tcBorders>
              <w:top w:val="single" w:color="000000" w:sz="8" w:space="0"/>
              <w:left w:val="nil"/>
              <w:bottom w:val="single" w:color="000000" w:sz="8" w:space="0"/>
              <w:right w:val="single" w:color="000000" w:sz="8" w:space="0"/>
            </w:tcBorders>
            <w:noWrap w:val="0"/>
            <w:vAlign w:val="top"/>
          </w:tcPr>
          <w:p w14:paraId="4511514B">
            <w:pPr>
              <w:widowControl/>
              <w:snapToGrid w:val="0"/>
              <w:jc w:val="center"/>
              <w:rPr>
                <w:rFonts w:hint="eastAsia" w:ascii="方正楷体简体" w:hAnsi="方正楷体简体" w:eastAsia="方正楷体简体"/>
                <w:kern w:val="0"/>
                <w:sz w:val="24"/>
              </w:rPr>
            </w:pPr>
          </w:p>
        </w:tc>
      </w:tr>
      <w:tr w14:paraId="1119451E">
        <w:tblPrEx>
          <w:tblCellMar>
            <w:top w:w="0" w:type="dxa"/>
            <w:left w:w="108" w:type="dxa"/>
            <w:bottom w:w="0" w:type="dxa"/>
            <w:right w:w="108" w:type="dxa"/>
          </w:tblCellMar>
        </w:tblPrEx>
        <w:trPr>
          <w:trHeight w:val="1687"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79DD766B">
            <w:pPr>
              <w:keepNext w:val="0"/>
              <w:keepLines w:val="0"/>
              <w:widowControl/>
              <w:suppressLineNumbers w:val="0"/>
              <w:snapToGrid w:val="0"/>
              <w:spacing w:before="0" w:beforeAutospacing="0" w:after="0" w:afterAutospacing="0"/>
              <w:ind w:left="0" w:right="0"/>
              <w:jc w:val="center"/>
              <w:rPr>
                <w:rFonts w:hint="default" w:eastAsia="方正楷体简体"/>
                <w:kern w:val="0"/>
                <w:sz w:val="24"/>
              </w:rPr>
            </w:pPr>
            <w:r>
              <w:rPr>
                <w:rFonts w:hint="default" w:eastAsia="方正楷体简体"/>
                <w:kern w:val="0"/>
                <w:sz w:val="24"/>
              </w:rPr>
              <w:t>收件人签名（</w:t>
            </w:r>
            <w:r>
              <w:rPr>
                <w:rFonts w:hint="eastAsia" w:eastAsia="方正楷体简体"/>
                <w:kern w:val="0"/>
                <w:sz w:val="24"/>
                <w:lang w:eastAsia="zh-CN"/>
              </w:rPr>
              <w:t>或</w:t>
            </w:r>
            <w:r>
              <w:rPr>
                <w:rFonts w:hint="default" w:eastAsia="方正楷体简体"/>
                <w:kern w:val="0"/>
                <w:sz w:val="24"/>
              </w:rPr>
              <w:t>盖章）</w:t>
            </w:r>
          </w:p>
          <w:p w14:paraId="1F9FFCF5">
            <w:pPr>
              <w:widowControl/>
              <w:snapToGrid w:val="0"/>
              <w:jc w:val="center"/>
              <w:rPr>
                <w:rFonts w:hint="eastAsia" w:ascii="方正楷体简体" w:hAnsi="方正楷体简体" w:eastAsia="方正楷体简体"/>
                <w:kern w:val="0"/>
                <w:sz w:val="24"/>
              </w:rPr>
            </w:pPr>
            <w:r>
              <w:rPr>
                <w:rFonts w:hint="default" w:eastAsia="方正楷体简体"/>
                <w:kern w:val="0"/>
                <w:sz w:val="24"/>
              </w:rPr>
              <w:t>及收件日期</w:t>
            </w:r>
          </w:p>
        </w:tc>
        <w:tc>
          <w:tcPr>
            <w:tcW w:w="6181" w:type="dxa"/>
            <w:tcBorders>
              <w:top w:val="single" w:color="000000" w:sz="8" w:space="0"/>
              <w:left w:val="nil"/>
              <w:bottom w:val="single" w:color="000000" w:sz="8" w:space="0"/>
              <w:right w:val="single" w:color="000000" w:sz="8" w:space="0"/>
            </w:tcBorders>
            <w:noWrap w:val="0"/>
            <w:vAlign w:val="bottom"/>
          </w:tcPr>
          <w:p w14:paraId="322D8BEA">
            <w:pPr>
              <w:keepNext w:val="0"/>
              <w:keepLines w:val="0"/>
              <w:widowControl/>
              <w:suppressLineNumbers w:val="0"/>
              <w:snapToGrid w:val="0"/>
              <w:spacing w:before="0" w:beforeAutospacing="0" w:after="0" w:afterAutospacing="0" w:line="360" w:lineRule="auto"/>
              <w:ind w:left="0" w:right="0"/>
              <w:jc w:val="center"/>
              <w:rPr>
                <w:rFonts w:hint="default" w:eastAsia="方正楷体简体"/>
                <w:kern w:val="0"/>
                <w:sz w:val="24"/>
              </w:rPr>
            </w:pPr>
          </w:p>
          <w:p w14:paraId="5FA9CD3E">
            <w:pPr>
              <w:keepNext w:val="0"/>
              <w:keepLines w:val="0"/>
              <w:widowControl/>
              <w:suppressLineNumbers w:val="0"/>
              <w:snapToGrid w:val="0"/>
              <w:spacing w:before="0" w:beforeAutospacing="0" w:after="0" w:afterAutospacing="0" w:line="360" w:lineRule="auto"/>
              <w:ind w:left="0" w:right="0"/>
              <w:jc w:val="center"/>
              <w:rPr>
                <w:rFonts w:hint="default" w:eastAsia="方正楷体简体"/>
                <w:kern w:val="0"/>
                <w:sz w:val="24"/>
              </w:rPr>
            </w:pPr>
          </w:p>
          <w:p w14:paraId="6443A6FC">
            <w:pPr>
              <w:keepNext w:val="0"/>
              <w:keepLines w:val="0"/>
              <w:widowControl/>
              <w:suppressLineNumbers w:val="0"/>
              <w:snapToGrid w:val="0"/>
              <w:spacing w:before="0" w:beforeAutospacing="0" w:after="0" w:afterAutospacing="0" w:line="360" w:lineRule="auto"/>
              <w:ind w:left="0" w:leftChars="0" w:right="0" w:rightChars="0"/>
              <w:jc w:val="center"/>
              <w:rPr>
                <w:rFonts w:hint="eastAsia" w:ascii="方正楷体简体" w:hAnsi="方正楷体简体" w:eastAsia="方正楷体简体"/>
                <w:kern w:val="0"/>
                <w:sz w:val="24"/>
              </w:rPr>
            </w:pPr>
            <w:r>
              <w:rPr>
                <w:rFonts w:hint="default" w:eastAsia="方正楷体简体"/>
                <w:kern w:val="0"/>
                <w:sz w:val="24"/>
              </w:rPr>
              <w:t>（</w:t>
            </w:r>
            <w:r>
              <w:rPr>
                <w:rFonts w:hint="eastAsia" w:eastAsia="方正楷体简体"/>
                <w:kern w:val="0"/>
                <w:sz w:val="24"/>
                <w:lang w:eastAsia="zh-CN"/>
              </w:rPr>
              <w:t>与</w:t>
            </w:r>
            <w:r>
              <w:rPr>
                <w:rFonts w:hint="eastAsia" w:ascii="方正楷体简体" w:hAnsi="方正楷体简体" w:eastAsia="方正楷体简体"/>
                <w:kern w:val="0"/>
                <w:sz w:val="24"/>
                <w:lang w:eastAsia="zh-CN"/>
              </w:rPr>
              <w:t>受送达</w:t>
            </w:r>
            <w:r>
              <w:rPr>
                <w:rFonts w:hint="eastAsia" w:ascii="方正楷体简体" w:hAnsi="方正楷体简体" w:eastAsia="方正楷体简体"/>
                <w:kern w:val="0"/>
                <w:sz w:val="24"/>
              </w:rPr>
              <w:t>人</w:t>
            </w:r>
            <w:r>
              <w:rPr>
                <w:rFonts w:hint="default" w:eastAsia="方正楷体简体"/>
                <w:kern w:val="0"/>
                <w:sz w:val="24"/>
              </w:rPr>
              <w:t xml:space="preserve">的关系：             ）   年　 月 　日 </w:t>
            </w:r>
          </w:p>
        </w:tc>
      </w:tr>
      <w:tr w14:paraId="217D34E6">
        <w:tblPrEx>
          <w:tblCellMar>
            <w:top w:w="0" w:type="dxa"/>
            <w:left w:w="108" w:type="dxa"/>
            <w:bottom w:w="0" w:type="dxa"/>
            <w:right w:w="108" w:type="dxa"/>
          </w:tblCellMar>
        </w:tblPrEx>
        <w:trPr>
          <w:trHeight w:val="1374"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27923DF8">
            <w:pPr>
              <w:widowControl/>
              <w:snapToGrid w:val="0"/>
              <w:jc w:val="center"/>
              <w:rPr>
                <w:rFonts w:hint="eastAsia" w:ascii="方正楷体简体" w:hAnsi="方正楷体简体" w:eastAsia="方正楷体简体"/>
                <w:kern w:val="0"/>
                <w:sz w:val="24"/>
                <w:lang w:eastAsia="zh-CN"/>
              </w:rPr>
            </w:pPr>
            <w:r>
              <w:rPr>
                <w:rFonts w:hint="eastAsia" w:ascii="方正楷体简体" w:hAnsi="方正楷体简体" w:eastAsia="方正楷体简体"/>
                <w:kern w:val="0"/>
                <w:sz w:val="24"/>
                <w:lang w:eastAsia="zh-CN"/>
              </w:rPr>
              <w:t>送达</w:t>
            </w:r>
            <w:r>
              <w:rPr>
                <w:rFonts w:hint="eastAsia" w:ascii="方正楷体简体" w:hAnsi="方正楷体简体" w:eastAsia="方正楷体简体"/>
                <w:kern w:val="0"/>
                <w:sz w:val="24"/>
              </w:rPr>
              <w:t>人</w:t>
            </w:r>
            <w:r>
              <w:rPr>
                <w:rFonts w:hint="eastAsia" w:ascii="方正楷体简体" w:hAnsi="方正楷体简体" w:eastAsia="方正楷体简体"/>
                <w:kern w:val="0"/>
                <w:sz w:val="24"/>
                <w:lang w:eastAsia="zh-CN"/>
              </w:rPr>
              <w:t>（两人签字）</w:t>
            </w:r>
          </w:p>
        </w:tc>
        <w:tc>
          <w:tcPr>
            <w:tcW w:w="6181" w:type="dxa"/>
            <w:tcBorders>
              <w:top w:val="single" w:color="000000" w:sz="8" w:space="0"/>
              <w:left w:val="nil"/>
              <w:bottom w:val="single" w:color="000000" w:sz="8" w:space="0"/>
              <w:right w:val="single" w:color="000000" w:sz="8" w:space="0"/>
            </w:tcBorders>
            <w:noWrap w:val="0"/>
            <w:vAlign w:val="bottom"/>
          </w:tcPr>
          <w:p w14:paraId="29DA369E">
            <w:pPr>
              <w:keepNext w:val="0"/>
              <w:keepLines w:val="0"/>
              <w:widowControl/>
              <w:suppressLineNumbers w:val="0"/>
              <w:snapToGrid w:val="0"/>
              <w:spacing w:before="0" w:beforeAutospacing="0" w:after="0" w:afterAutospacing="0" w:line="360" w:lineRule="auto"/>
              <w:ind w:left="0" w:leftChars="0" w:right="-176" w:rightChars="0"/>
              <w:rPr>
                <w:rFonts w:hint="eastAsia" w:ascii="方正楷体简体" w:hAnsi="方正楷体简体" w:eastAsia="方正楷体简体"/>
                <w:kern w:val="0"/>
                <w:sz w:val="24"/>
              </w:rPr>
            </w:pPr>
            <w:r>
              <w:rPr>
                <w:rFonts w:hint="default" w:eastAsia="方正楷体简体"/>
                <w:kern w:val="0"/>
                <w:sz w:val="24"/>
              </w:rPr>
              <w:t xml:space="preserve">                                      年　 月 　日  </w:t>
            </w:r>
          </w:p>
        </w:tc>
      </w:tr>
      <w:tr w14:paraId="4F473490">
        <w:tblPrEx>
          <w:tblCellMar>
            <w:top w:w="0" w:type="dxa"/>
            <w:left w:w="108" w:type="dxa"/>
            <w:bottom w:w="0" w:type="dxa"/>
            <w:right w:w="108" w:type="dxa"/>
          </w:tblCellMar>
        </w:tblPrEx>
        <w:trPr>
          <w:trHeight w:val="1333"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209D1CF5">
            <w:pPr>
              <w:widowControl/>
              <w:snapToGrid w:val="0"/>
              <w:jc w:val="center"/>
              <w:rPr>
                <w:rFonts w:hint="eastAsia" w:ascii="方正楷体简体" w:hAnsi="方正楷体简体" w:eastAsia="方正楷体简体"/>
                <w:kern w:val="0"/>
                <w:sz w:val="24"/>
              </w:rPr>
            </w:pPr>
            <w:r>
              <w:rPr>
                <w:rFonts w:hint="default" w:eastAsia="方正楷体简体"/>
                <w:kern w:val="0"/>
                <w:sz w:val="24"/>
              </w:rPr>
              <w:t>送达机关盖章</w:t>
            </w:r>
          </w:p>
        </w:tc>
        <w:tc>
          <w:tcPr>
            <w:tcW w:w="6181" w:type="dxa"/>
            <w:tcBorders>
              <w:top w:val="single" w:color="000000" w:sz="8" w:space="0"/>
              <w:left w:val="nil"/>
              <w:bottom w:val="single" w:color="000000" w:sz="8" w:space="0"/>
              <w:right w:val="single" w:color="000000" w:sz="8" w:space="0"/>
            </w:tcBorders>
            <w:noWrap w:val="0"/>
            <w:vAlign w:val="top"/>
          </w:tcPr>
          <w:p w14:paraId="1E5C1F27">
            <w:pPr>
              <w:widowControl/>
              <w:snapToGrid w:val="0"/>
              <w:jc w:val="center"/>
              <w:rPr>
                <w:rFonts w:hint="eastAsia" w:ascii="方正楷体简体" w:hAnsi="方正楷体简体" w:eastAsia="方正楷体简体"/>
                <w:kern w:val="0"/>
                <w:sz w:val="24"/>
              </w:rPr>
            </w:pPr>
          </w:p>
        </w:tc>
      </w:tr>
      <w:tr w14:paraId="70AF39A5">
        <w:tblPrEx>
          <w:tblCellMar>
            <w:top w:w="0" w:type="dxa"/>
            <w:left w:w="108" w:type="dxa"/>
            <w:bottom w:w="0" w:type="dxa"/>
            <w:right w:w="108" w:type="dxa"/>
          </w:tblCellMar>
        </w:tblPrEx>
        <w:trPr>
          <w:trHeight w:val="1417"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208DDB2E">
            <w:pPr>
              <w:widowControl/>
              <w:snapToGrid w:val="0"/>
              <w:jc w:val="center"/>
              <w:rPr>
                <w:rFonts w:hint="eastAsia" w:ascii="方正楷体简体" w:hAnsi="方正楷体简体" w:eastAsia="方正楷体简体"/>
                <w:kern w:val="0"/>
                <w:sz w:val="24"/>
              </w:rPr>
            </w:pPr>
            <w:r>
              <w:rPr>
                <w:rFonts w:hint="default" w:eastAsia="方正楷体简体"/>
                <w:kern w:val="0"/>
                <w:sz w:val="24"/>
              </w:rPr>
              <w:t>备  注</w:t>
            </w:r>
          </w:p>
        </w:tc>
        <w:tc>
          <w:tcPr>
            <w:tcW w:w="6181" w:type="dxa"/>
            <w:tcBorders>
              <w:top w:val="single" w:color="000000" w:sz="8" w:space="0"/>
              <w:left w:val="nil"/>
              <w:bottom w:val="single" w:color="000000" w:sz="8" w:space="0"/>
              <w:right w:val="single" w:color="000000" w:sz="8" w:space="0"/>
            </w:tcBorders>
            <w:noWrap w:val="0"/>
            <w:vAlign w:val="top"/>
          </w:tcPr>
          <w:p w14:paraId="16F9C761">
            <w:pPr>
              <w:widowControl/>
              <w:snapToGrid w:val="0"/>
              <w:jc w:val="center"/>
              <w:rPr>
                <w:rFonts w:hint="eastAsia" w:ascii="方正楷体简体" w:hAnsi="方正楷体简体" w:eastAsia="方正楷体简体"/>
                <w:kern w:val="0"/>
                <w:sz w:val="24"/>
              </w:rPr>
            </w:pPr>
          </w:p>
        </w:tc>
      </w:tr>
    </w:tbl>
    <w:p w14:paraId="567731DE">
      <w:pPr>
        <w:keepNext w:val="0"/>
        <w:keepLines w:val="0"/>
        <w:pageBreakBefore w:val="0"/>
        <w:widowControl/>
        <w:kinsoku w:val="0"/>
        <w:wordWrap/>
        <w:overflowPunct/>
        <w:topLinePunct w:val="0"/>
        <w:autoSpaceDE w:val="0"/>
        <w:autoSpaceDN w:val="0"/>
        <w:bidi w:val="0"/>
        <w:adjustRightInd w:val="0"/>
        <w:snapToGrid w:val="0"/>
        <w:spacing w:line="500" w:lineRule="exact"/>
        <w:ind w:firstLine="6080" w:firstLineChars="1900"/>
        <w:textAlignment w:val="baseline"/>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楷体简体">
    <w:altName w:val="宋体"/>
    <w:panose1 w:val="02010601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ZjIxMTFhYTNkYmRiMWJhZjRhOGQ3YTBkNDY1YjIifQ=="/>
  </w:docVars>
  <w:rsids>
    <w:rsidRoot w:val="52FA52F4"/>
    <w:rsid w:val="000E3FC3"/>
    <w:rsid w:val="00AF1A47"/>
    <w:rsid w:val="00B4713C"/>
    <w:rsid w:val="00E53174"/>
    <w:rsid w:val="01717D62"/>
    <w:rsid w:val="01A47906"/>
    <w:rsid w:val="02AB082E"/>
    <w:rsid w:val="02B926FC"/>
    <w:rsid w:val="03E13AF0"/>
    <w:rsid w:val="042C4A18"/>
    <w:rsid w:val="0689383B"/>
    <w:rsid w:val="074045B6"/>
    <w:rsid w:val="075E22D4"/>
    <w:rsid w:val="083C41DB"/>
    <w:rsid w:val="08D31906"/>
    <w:rsid w:val="09047D11"/>
    <w:rsid w:val="09DFF332"/>
    <w:rsid w:val="0CCA634C"/>
    <w:rsid w:val="0D091D9A"/>
    <w:rsid w:val="0DA40221"/>
    <w:rsid w:val="0E6059EA"/>
    <w:rsid w:val="0F7B6853"/>
    <w:rsid w:val="10111DEE"/>
    <w:rsid w:val="101271B8"/>
    <w:rsid w:val="10194A83"/>
    <w:rsid w:val="11553800"/>
    <w:rsid w:val="13414365"/>
    <w:rsid w:val="13D25C0A"/>
    <w:rsid w:val="14D84DD6"/>
    <w:rsid w:val="16357813"/>
    <w:rsid w:val="178F7340"/>
    <w:rsid w:val="1AF27FF8"/>
    <w:rsid w:val="1B66278D"/>
    <w:rsid w:val="1BDF614D"/>
    <w:rsid w:val="1BE35A76"/>
    <w:rsid w:val="1BED3C75"/>
    <w:rsid w:val="1C4A1A87"/>
    <w:rsid w:val="1CEE4B08"/>
    <w:rsid w:val="1D293D92"/>
    <w:rsid w:val="1D3F5364"/>
    <w:rsid w:val="1E1265D5"/>
    <w:rsid w:val="1E617AE2"/>
    <w:rsid w:val="1EA27958"/>
    <w:rsid w:val="20B971DB"/>
    <w:rsid w:val="217543C3"/>
    <w:rsid w:val="23383099"/>
    <w:rsid w:val="233D4121"/>
    <w:rsid w:val="234924A3"/>
    <w:rsid w:val="23B07B97"/>
    <w:rsid w:val="24BB1774"/>
    <w:rsid w:val="26040EF9"/>
    <w:rsid w:val="26C57971"/>
    <w:rsid w:val="26C708A4"/>
    <w:rsid w:val="284E6A1E"/>
    <w:rsid w:val="286F3CB1"/>
    <w:rsid w:val="299B1CA5"/>
    <w:rsid w:val="2A201526"/>
    <w:rsid w:val="2A9C3273"/>
    <w:rsid w:val="2C796AC6"/>
    <w:rsid w:val="2C7D7A1C"/>
    <w:rsid w:val="2C881FC2"/>
    <w:rsid w:val="2E6C2C83"/>
    <w:rsid w:val="2E720C3E"/>
    <w:rsid w:val="2EC31CEB"/>
    <w:rsid w:val="2F854E58"/>
    <w:rsid w:val="2FD61B58"/>
    <w:rsid w:val="30D047F9"/>
    <w:rsid w:val="31C733DE"/>
    <w:rsid w:val="323B0398"/>
    <w:rsid w:val="33147ED2"/>
    <w:rsid w:val="331F2C8E"/>
    <w:rsid w:val="336456CD"/>
    <w:rsid w:val="33D952BF"/>
    <w:rsid w:val="352D164B"/>
    <w:rsid w:val="35AC3565"/>
    <w:rsid w:val="37AA77E6"/>
    <w:rsid w:val="39056552"/>
    <w:rsid w:val="3BC431AC"/>
    <w:rsid w:val="3C071391"/>
    <w:rsid w:val="3C634F27"/>
    <w:rsid w:val="3D8B293B"/>
    <w:rsid w:val="3D9655B0"/>
    <w:rsid w:val="3F584337"/>
    <w:rsid w:val="3FFF47B3"/>
    <w:rsid w:val="40326890"/>
    <w:rsid w:val="418807D8"/>
    <w:rsid w:val="42380450"/>
    <w:rsid w:val="4273402F"/>
    <w:rsid w:val="42D0672B"/>
    <w:rsid w:val="433278CD"/>
    <w:rsid w:val="43B66223"/>
    <w:rsid w:val="44BD4C3D"/>
    <w:rsid w:val="457F6EA0"/>
    <w:rsid w:val="45FD1795"/>
    <w:rsid w:val="46BF85F7"/>
    <w:rsid w:val="487A6E03"/>
    <w:rsid w:val="48D64760"/>
    <w:rsid w:val="4BC82845"/>
    <w:rsid w:val="4C3C0B3D"/>
    <w:rsid w:val="4CFB24FB"/>
    <w:rsid w:val="4D6A58A8"/>
    <w:rsid w:val="4DE5224C"/>
    <w:rsid w:val="4E635941"/>
    <w:rsid w:val="4F6D2899"/>
    <w:rsid w:val="4F946F0C"/>
    <w:rsid w:val="4F98760D"/>
    <w:rsid w:val="4FC6FF6F"/>
    <w:rsid w:val="506442FB"/>
    <w:rsid w:val="506A2EA8"/>
    <w:rsid w:val="52E75AB2"/>
    <w:rsid w:val="52FA52F4"/>
    <w:rsid w:val="54C72895"/>
    <w:rsid w:val="58825B29"/>
    <w:rsid w:val="593D7499"/>
    <w:rsid w:val="59832065"/>
    <w:rsid w:val="5DF3FC0D"/>
    <w:rsid w:val="5E2751A9"/>
    <w:rsid w:val="5E95615C"/>
    <w:rsid w:val="5EDF8CDE"/>
    <w:rsid w:val="5F7E34EF"/>
    <w:rsid w:val="5F8E3006"/>
    <w:rsid w:val="5FAF31E6"/>
    <w:rsid w:val="5FFBCC23"/>
    <w:rsid w:val="61475B62"/>
    <w:rsid w:val="616A527C"/>
    <w:rsid w:val="6283185C"/>
    <w:rsid w:val="66BF7F33"/>
    <w:rsid w:val="67112E9A"/>
    <w:rsid w:val="677B6565"/>
    <w:rsid w:val="67EB6EA8"/>
    <w:rsid w:val="69401815"/>
    <w:rsid w:val="6B633598"/>
    <w:rsid w:val="6B637A3C"/>
    <w:rsid w:val="6B7AC431"/>
    <w:rsid w:val="6B9C2BD1"/>
    <w:rsid w:val="6BA240C1"/>
    <w:rsid w:val="6BD22F01"/>
    <w:rsid w:val="6D30394E"/>
    <w:rsid w:val="72022952"/>
    <w:rsid w:val="736E31DF"/>
    <w:rsid w:val="73706873"/>
    <w:rsid w:val="739CE8E4"/>
    <w:rsid w:val="74546797"/>
    <w:rsid w:val="74936C9D"/>
    <w:rsid w:val="74B7649E"/>
    <w:rsid w:val="75B3A758"/>
    <w:rsid w:val="76DFBD98"/>
    <w:rsid w:val="77A52B1E"/>
    <w:rsid w:val="78A40379"/>
    <w:rsid w:val="79B750EF"/>
    <w:rsid w:val="7A130625"/>
    <w:rsid w:val="7AC4099C"/>
    <w:rsid w:val="7BBF0418"/>
    <w:rsid w:val="7BDFA45C"/>
    <w:rsid w:val="7C60261B"/>
    <w:rsid w:val="7D591973"/>
    <w:rsid w:val="7DA036BC"/>
    <w:rsid w:val="7FAFE981"/>
    <w:rsid w:val="7FB73E03"/>
    <w:rsid w:val="7FFE0F59"/>
    <w:rsid w:val="7FFE6B96"/>
    <w:rsid w:val="AF7FA5B6"/>
    <w:rsid w:val="BBB67D8A"/>
    <w:rsid w:val="BEB768D8"/>
    <w:rsid w:val="C3B797B2"/>
    <w:rsid w:val="C7FB210A"/>
    <w:rsid w:val="CADDBAD9"/>
    <w:rsid w:val="CD77F39A"/>
    <w:rsid w:val="DF4B2129"/>
    <w:rsid w:val="DF797B1C"/>
    <w:rsid w:val="DFDF9841"/>
    <w:rsid w:val="E99D4C4C"/>
    <w:rsid w:val="EDEC6806"/>
    <w:rsid w:val="EF2F28B9"/>
    <w:rsid w:val="F3BE10E2"/>
    <w:rsid w:val="FEF987CE"/>
    <w:rsid w:val="FFBDCFEA"/>
    <w:rsid w:val="FFFEE2D9"/>
    <w:rsid w:val="FFFF1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Times New Roman" w:hAnsi="Times New Roman"/>
      <w:color w:val="000000"/>
      <w:kern w:val="0"/>
      <w:sz w:val="24"/>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1846</Words>
  <Characters>2014</Characters>
  <Lines>0</Lines>
  <Paragraphs>0</Paragraphs>
  <TotalTime>29</TotalTime>
  <ScaleCrop>false</ScaleCrop>
  <LinksUpToDate>false</LinksUpToDate>
  <CharactersWithSpaces>2114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2024-10-19T17:24:00Z</dcterms:created>
  <dc:creator>临澧、匡昭华</dc:creator>
  <cp:lastModifiedBy>lenovo</cp:lastModifiedBy>
  <cp:lastPrinted>2025-11-19T09:38:37Z</cp:lastPrinted>
  <dcterms:modified xsi:type="dcterms:W3CDTF">2025-11-19T09:45:59Z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3161F6BBE35C4C618093997E6A02FE34_13</vt:lpwstr>
  </property>
  <property fmtid="{D5CDD505-2E9C-101B-9397-08002B2CF9AE}" pid="4" name="KSOTemplateDocerSaveRecord">
    <vt:lpwstr>eyJoZGlkIjoiMjMwMWVmYzYxMTg4NWY0NzMwM2UzYjQwYWQ3MzEzMWIifQ==</vt:lpwstr>
  </property>
</Properties>
</file>