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195" w:firstLineChars="2950"/>
        <w:rPr>
          <w:rFonts w:hint="eastAsia"/>
        </w:rPr>
      </w:pPr>
    </w:p>
    <w:p>
      <w:pPr>
        <w:ind w:firstLine="6195" w:firstLineChars="2950"/>
        <w:rPr>
          <w:rFonts w:hint="eastAsia"/>
        </w:rPr>
      </w:pPr>
    </w:p>
    <w:p>
      <w:pPr>
        <w:ind w:firstLine="6195" w:firstLineChars="2950"/>
        <w:rPr>
          <w:rFonts w:hint="eastAsia"/>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sz w:val="32"/>
          <w:szCs w:val="32"/>
        </w:rPr>
      </w:pPr>
      <w:r>
        <w:rPr>
          <w:rFonts w:hint="eastAsia" w:ascii="仿宋" w:hAnsi="仿宋" w:eastAsia="仿宋"/>
          <w:sz w:val="32"/>
          <w:szCs w:val="32"/>
          <w:lang w:eastAsia="zh-CN"/>
        </w:rPr>
        <w:t>常</w:t>
      </w:r>
      <w:r>
        <w:rPr>
          <w:rFonts w:hint="eastAsia" w:ascii="仿宋" w:hAnsi="仿宋" w:eastAsia="仿宋"/>
          <w:sz w:val="32"/>
          <w:szCs w:val="32"/>
        </w:rPr>
        <w:t>环</w:t>
      </w:r>
      <w:r>
        <w:rPr>
          <w:rFonts w:hint="eastAsia" w:ascii="仿宋" w:hAnsi="仿宋" w:eastAsia="仿宋"/>
          <w:sz w:val="32"/>
          <w:szCs w:val="32"/>
          <w:lang w:eastAsia="zh-CN"/>
        </w:rPr>
        <w:t>建</w:t>
      </w:r>
      <w:r>
        <w:rPr>
          <w:rFonts w:hint="eastAsia" w:ascii="仿宋" w:hAnsi="仿宋" w:eastAsia="仿宋"/>
          <w:sz w:val="32"/>
          <w:szCs w:val="32"/>
          <w:lang w:val="en-US" w:eastAsia="zh-CN"/>
        </w:rPr>
        <w:t>(8)</w:t>
      </w:r>
      <w:r>
        <w:rPr>
          <w:rFonts w:hint="eastAsia" w:ascii="仿宋" w:hAnsi="仿宋" w:eastAsia="仿宋" w:cs="仿宋"/>
          <w:sz w:val="32"/>
          <w:szCs w:val="32"/>
          <w:lang w:val="en-US" w:eastAsia="zh-CN"/>
        </w:rPr>
        <w:t>〔2020</w:t>
      </w:r>
      <w:r>
        <w:rPr>
          <w:rFonts w:hint="eastAsia" w:ascii="宋体" w:hAnsi="宋体" w:eastAsia="宋体" w:cs="宋体"/>
          <w:sz w:val="32"/>
          <w:szCs w:val="32"/>
          <w:lang w:val="en-US" w:eastAsia="zh-CN"/>
        </w:rPr>
        <w:t>〕</w:t>
      </w:r>
      <w:r>
        <w:rPr>
          <w:rFonts w:hint="eastAsia" w:ascii="仿宋" w:hAnsi="仿宋" w:eastAsia="仿宋" w:cs="Times New Roman"/>
          <w:sz w:val="32"/>
          <w:szCs w:val="32"/>
          <w:lang w:val="en-US" w:eastAsia="zh-CN"/>
        </w:rPr>
        <w:t>13</w:t>
      </w:r>
      <w:r>
        <w:rPr>
          <w:rFonts w:hint="eastAsia" w:ascii="仿宋" w:hAnsi="仿宋" w:eastAsia="仿宋"/>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pacing w:val="0"/>
          <w:kern w:val="0"/>
          <w:sz w:val="44"/>
          <w:szCs w:val="44"/>
          <w:lang w:eastAsia="zh-CN"/>
        </w:rPr>
      </w:pPr>
      <w:r>
        <w:rPr>
          <w:rFonts w:hint="eastAsia" w:asciiTheme="majorEastAsia" w:hAnsiTheme="majorEastAsia" w:eastAsiaTheme="majorEastAsia" w:cstheme="majorEastAsia"/>
          <w:b/>
          <w:bCs w:val="0"/>
          <w:spacing w:val="0"/>
          <w:kern w:val="0"/>
          <w:sz w:val="44"/>
          <w:szCs w:val="44"/>
          <w:lang w:eastAsia="zh-CN"/>
        </w:rPr>
        <w:t>常德市生态环境局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val="0"/>
          <w:spacing w:val="0"/>
          <w:kern w:val="0"/>
          <w:sz w:val="44"/>
          <w:szCs w:val="44"/>
        </w:rPr>
      </w:pPr>
      <w:r>
        <w:rPr>
          <w:rFonts w:hint="eastAsia" w:asciiTheme="majorEastAsia" w:hAnsiTheme="majorEastAsia" w:eastAsiaTheme="majorEastAsia" w:cstheme="majorEastAsia"/>
          <w:b/>
          <w:bCs w:val="0"/>
          <w:spacing w:val="0"/>
          <w:kern w:val="0"/>
          <w:sz w:val="44"/>
          <w:szCs w:val="44"/>
        </w:rPr>
        <w:t>关于</w:t>
      </w:r>
      <w:r>
        <w:rPr>
          <w:rFonts w:hint="eastAsia" w:asciiTheme="majorEastAsia" w:hAnsiTheme="majorEastAsia" w:eastAsiaTheme="majorEastAsia" w:cstheme="majorEastAsia"/>
          <w:b/>
          <w:bCs w:val="0"/>
          <w:color w:val="000000"/>
          <w:spacing w:val="0"/>
          <w:sz w:val="44"/>
          <w:szCs w:val="44"/>
          <w:lang w:val="en-US" w:eastAsia="zh-CN"/>
        </w:rPr>
        <w:t>津市高新区工业污水处理厂二期改扩建工程</w:t>
      </w:r>
      <w:r>
        <w:rPr>
          <w:rFonts w:hint="eastAsia" w:asciiTheme="majorEastAsia" w:hAnsiTheme="majorEastAsia" w:eastAsiaTheme="majorEastAsia" w:cstheme="majorEastAsia"/>
          <w:b/>
          <w:bCs w:val="0"/>
          <w:spacing w:val="0"/>
          <w:kern w:val="0"/>
          <w:sz w:val="44"/>
          <w:szCs w:val="44"/>
        </w:rPr>
        <w:t>环境影响报告</w:t>
      </w:r>
      <w:r>
        <w:rPr>
          <w:rFonts w:hint="eastAsia" w:asciiTheme="majorEastAsia" w:hAnsiTheme="majorEastAsia" w:eastAsiaTheme="majorEastAsia" w:cstheme="majorEastAsia"/>
          <w:b/>
          <w:bCs w:val="0"/>
          <w:spacing w:val="0"/>
          <w:kern w:val="0"/>
          <w:sz w:val="44"/>
          <w:szCs w:val="44"/>
          <w:lang w:eastAsia="zh-CN"/>
        </w:rPr>
        <w:t>书</w:t>
      </w:r>
      <w:r>
        <w:rPr>
          <w:rFonts w:hint="eastAsia" w:asciiTheme="majorEastAsia" w:hAnsiTheme="majorEastAsia" w:eastAsiaTheme="majorEastAsia" w:cstheme="majorEastAsia"/>
          <w:b/>
          <w:bCs w:val="0"/>
          <w:spacing w:val="0"/>
          <w:kern w:val="0"/>
          <w:sz w:val="44"/>
          <w:szCs w:val="44"/>
        </w:rPr>
        <w:t>的批复</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both"/>
        <w:textAlignment w:val="auto"/>
        <w:rPr>
          <w:rFonts w:hint="eastAsia" w:ascii="仿宋" w:hAnsi="仿宋" w:eastAsia="仿宋" w:cs="Times New Roman"/>
          <w:sz w:val="32"/>
          <w:szCs w:val="32"/>
          <w:lang w:eastAsia="zh-CN"/>
        </w:rPr>
      </w:pPr>
      <w:r>
        <w:rPr>
          <w:rFonts w:hint="eastAsia" w:ascii="仿宋" w:hAnsi="仿宋" w:eastAsia="仿宋"/>
          <w:sz w:val="32"/>
          <w:szCs w:val="32"/>
          <w:lang w:eastAsia="zh-CN"/>
        </w:rPr>
        <w:t>津市嘉蓝环保有限公司：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你</w:t>
      </w:r>
      <w:r>
        <w:rPr>
          <w:rFonts w:hint="eastAsia" w:ascii="仿宋" w:hAnsi="仿宋" w:eastAsia="仿宋"/>
          <w:sz w:val="32"/>
          <w:szCs w:val="32"/>
          <w:lang w:eastAsia="zh-CN"/>
        </w:rPr>
        <w:t>公司</w:t>
      </w:r>
      <w:r>
        <w:rPr>
          <w:rFonts w:hint="eastAsia" w:ascii="仿宋" w:hAnsi="仿宋" w:eastAsia="仿宋"/>
          <w:sz w:val="32"/>
          <w:szCs w:val="32"/>
        </w:rPr>
        <w:t>《</w:t>
      </w:r>
      <w:r>
        <w:rPr>
          <w:rFonts w:hint="eastAsia" w:ascii="仿宋" w:hAnsi="仿宋" w:eastAsia="仿宋"/>
          <w:sz w:val="32"/>
          <w:szCs w:val="32"/>
          <w:lang w:eastAsia="zh-CN"/>
        </w:rPr>
        <w:t>津市高新区工业污水处理厂二期改扩建工程环</w:t>
      </w:r>
      <w:r>
        <w:rPr>
          <w:rFonts w:hint="eastAsia" w:ascii="仿宋" w:hAnsi="仿宋" w:eastAsia="仿宋"/>
          <w:sz w:val="32"/>
          <w:szCs w:val="32"/>
        </w:rPr>
        <w:t>境影响报告</w:t>
      </w:r>
      <w:r>
        <w:rPr>
          <w:rFonts w:hint="eastAsia" w:ascii="仿宋" w:hAnsi="仿宋" w:eastAsia="仿宋"/>
          <w:sz w:val="32"/>
          <w:szCs w:val="32"/>
          <w:lang w:eastAsia="zh-CN"/>
        </w:rPr>
        <w:t>书</w:t>
      </w:r>
      <w:r>
        <w:rPr>
          <w:rFonts w:hint="eastAsia" w:ascii="仿宋" w:hAnsi="仿宋" w:eastAsia="仿宋"/>
          <w:sz w:val="32"/>
          <w:szCs w:val="32"/>
        </w:rPr>
        <w:t>》及相关附件收悉，根据环评报告</w:t>
      </w:r>
      <w:r>
        <w:rPr>
          <w:rFonts w:hint="eastAsia" w:ascii="仿宋" w:hAnsi="仿宋" w:eastAsia="仿宋"/>
          <w:sz w:val="32"/>
          <w:szCs w:val="32"/>
          <w:lang w:eastAsia="zh-CN"/>
        </w:rPr>
        <w:t>书</w:t>
      </w:r>
      <w:r>
        <w:rPr>
          <w:rFonts w:hint="eastAsia" w:ascii="仿宋" w:hAnsi="仿宋" w:eastAsia="仿宋"/>
          <w:sz w:val="32"/>
          <w:szCs w:val="32"/>
        </w:rPr>
        <w:t>结论、专家</w:t>
      </w:r>
      <w:r>
        <w:rPr>
          <w:rFonts w:hint="eastAsia" w:ascii="仿宋" w:hAnsi="仿宋" w:eastAsia="仿宋"/>
          <w:sz w:val="32"/>
          <w:szCs w:val="32"/>
          <w:lang w:eastAsia="zh-CN"/>
        </w:rPr>
        <w:t>审查</w:t>
      </w:r>
      <w:r>
        <w:rPr>
          <w:rFonts w:hint="eastAsia" w:ascii="仿宋" w:hAnsi="仿宋" w:eastAsia="仿宋"/>
          <w:sz w:val="32"/>
          <w:szCs w:val="32"/>
        </w:rPr>
        <w:t>意见、公示情况，经研究，现批复如下：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cs="Times New Roman"/>
          <w:kern w:val="0"/>
          <w:sz w:val="32"/>
          <w:szCs w:val="32"/>
          <w:lang w:val="en-US" w:eastAsia="zh-CN" w:bidi="ar-SA"/>
        </w:rPr>
        <w:t>一、</w:t>
      </w:r>
      <w:r>
        <w:rPr>
          <w:rFonts w:hint="eastAsia" w:ascii="仿宋" w:hAnsi="仿宋" w:eastAsia="仿宋"/>
          <w:sz w:val="32"/>
          <w:szCs w:val="32"/>
          <w:lang w:val="en-US" w:eastAsia="zh-CN"/>
        </w:rPr>
        <w:t>津市高新区工业污水厂一期工程位于高新区孟姜女大道东侧，鸿祥路南侧，沿江路以西。一期</w:t>
      </w:r>
      <w:r>
        <w:rPr>
          <w:rFonts w:hint="eastAsia" w:ascii="仿宋" w:hAnsi="仿宋" w:eastAsia="仿宋" w:cs="仿宋"/>
          <w:color w:val="000000"/>
          <w:sz w:val="32"/>
          <w:szCs w:val="32"/>
        </w:rPr>
        <w:t>建设规模</w:t>
      </w:r>
      <w:r>
        <w:rPr>
          <w:rFonts w:hint="eastAsia" w:ascii="仿宋" w:hAnsi="仿宋" w:eastAsia="仿宋" w:cs="仿宋"/>
          <w:color w:val="000000"/>
          <w:sz w:val="32"/>
          <w:szCs w:val="32"/>
          <w:lang w:val="en-US" w:eastAsia="zh-CN"/>
        </w:rPr>
        <w:t>5000</w:t>
      </w:r>
      <w:r>
        <w:rPr>
          <w:rFonts w:hint="eastAsia" w:ascii="仿宋" w:hAnsi="仿宋" w:eastAsia="仿宋" w:cs="仿宋"/>
          <w:color w:val="000000"/>
          <w:sz w:val="32"/>
          <w:szCs w:val="32"/>
        </w:rPr>
        <w:t>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/d，污水处理厂采用A</w:t>
      </w:r>
      <w:r>
        <w:rPr>
          <w:rFonts w:hint="eastAsia" w:ascii="仿宋" w:hAnsi="仿宋" w:eastAsia="仿宋" w:cs="仿宋"/>
          <w:color w:val="000000"/>
          <w:sz w:val="32"/>
          <w:szCs w:val="32"/>
          <w:vertAlign w:val="superscript"/>
        </w:rPr>
        <w:t>2</w:t>
      </w:r>
      <w:r>
        <w:rPr>
          <w:rFonts w:hint="eastAsia" w:ascii="仿宋" w:hAnsi="仿宋" w:eastAsia="仿宋" w:cs="仿宋"/>
          <w:color w:val="000000"/>
          <w:sz w:val="32"/>
          <w:szCs w:val="32"/>
        </w:rPr>
        <w:t>O生化处理工艺，污水管网建设总长度约39.73km，</w:t>
      </w:r>
      <w:r>
        <w:rPr>
          <w:rFonts w:hint="eastAsia" w:ascii="仿宋" w:hAnsi="仿宋" w:eastAsia="仿宋" w:cs="仿宋"/>
          <w:sz w:val="32"/>
          <w:szCs w:val="32"/>
        </w:rPr>
        <w:t>接纳津市高新区津市大道以南范围内的工业企业废水</w:t>
      </w:r>
      <w:r>
        <w:rPr>
          <w:rFonts w:hint="eastAsia" w:ascii="仿宋" w:hAnsi="仿宋" w:eastAsia="仿宋" w:cs="仿宋"/>
          <w:sz w:val="32"/>
          <w:szCs w:val="32"/>
          <w:lang w:eastAsia="zh-CN"/>
        </w:rPr>
        <w:t>。一期项目</w:t>
      </w:r>
      <w:r>
        <w:rPr>
          <w:rFonts w:hint="eastAsia" w:ascii="仿宋" w:hAnsi="仿宋" w:eastAsia="仿宋" w:cs="仿宋"/>
          <w:sz w:val="32"/>
          <w:szCs w:val="32"/>
        </w:rPr>
        <w:t>于2016年5月27日取得常德市生态环境局批复（常环建[2016]94号）</w:t>
      </w:r>
      <w:r>
        <w:rPr>
          <w:rFonts w:hint="eastAsia" w:ascii="仿宋" w:hAnsi="仿宋" w:eastAsia="仿宋" w:cs="仿宋"/>
          <w:sz w:val="32"/>
          <w:szCs w:val="32"/>
          <w:lang w:val="en-US" w:eastAsia="zh-CN"/>
        </w:rPr>
        <w:t>，</w:t>
      </w:r>
      <w:r>
        <w:rPr>
          <w:rFonts w:hint="eastAsia" w:ascii="仿宋" w:hAnsi="仿宋" w:eastAsia="仿宋" w:cs="仿宋"/>
          <w:sz w:val="32"/>
          <w:szCs w:val="32"/>
        </w:rPr>
        <w:t>于2018年4月建成，</w:t>
      </w:r>
      <w:r>
        <w:rPr>
          <w:rFonts w:hint="eastAsia" w:ascii="仿宋" w:hAnsi="仿宋" w:eastAsia="仿宋" w:cs="仿宋"/>
          <w:color w:val="000000"/>
          <w:sz w:val="32"/>
          <w:szCs w:val="32"/>
        </w:rPr>
        <w:t>2019年1月进行了竣工环保自主验收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目前污水处理厂处理能力已接近饱和</w:t>
      </w:r>
      <w:r>
        <w:rPr>
          <w:rFonts w:hint="eastAsia" w:ascii="仿宋" w:hAnsi="仿宋" w:eastAsia="仿宋" w:cs="仿宋"/>
          <w:color w:val="000000"/>
          <w:sz w:val="32"/>
          <w:szCs w:val="32"/>
          <w:lang w:eastAsia="zh-CN"/>
        </w:rPr>
        <w:t>，</w:t>
      </w:r>
      <w:r>
        <w:rPr>
          <w:rFonts w:hint="eastAsia" w:ascii="仿宋" w:hAnsi="仿宋" w:eastAsia="仿宋" w:cs="仿宋"/>
          <w:sz w:val="32"/>
          <w:szCs w:val="32"/>
        </w:rPr>
        <w:t>根据津市高新区的发展及未来入园企业需求，</w:t>
      </w:r>
      <w:r>
        <w:rPr>
          <w:rFonts w:hint="eastAsia" w:ascii="仿宋" w:hAnsi="仿宋" w:eastAsia="仿宋" w:cs="仿宋"/>
          <w:sz w:val="32"/>
          <w:szCs w:val="32"/>
          <w:lang w:eastAsia="zh-CN"/>
        </w:rPr>
        <w:t>对现有工程进行改扩建，</w:t>
      </w:r>
      <w:r>
        <w:rPr>
          <w:rFonts w:hint="eastAsia" w:ascii="仿宋" w:hAnsi="仿宋" w:eastAsia="仿宋" w:cs="仿宋"/>
          <w:color w:val="000000"/>
          <w:sz w:val="32"/>
          <w:szCs w:val="32"/>
          <w:lang w:eastAsia="zh-CN"/>
        </w:rPr>
        <w:t>扩建</w:t>
      </w:r>
      <w:r>
        <w:rPr>
          <w:rFonts w:hint="eastAsia" w:ascii="仿宋" w:hAnsi="仿宋" w:eastAsia="仿宋" w:cs="仿宋"/>
          <w:color w:val="000000"/>
          <w:sz w:val="32"/>
          <w:szCs w:val="32"/>
        </w:rPr>
        <w:t>规模</w:t>
      </w:r>
      <w:r>
        <w:rPr>
          <w:rFonts w:hint="eastAsia" w:ascii="仿宋" w:hAnsi="仿宋" w:eastAsia="仿宋" w:cs="仿宋"/>
          <w:color w:val="000000"/>
          <w:sz w:val="32"/>
          <w:szCs w:val="32"/>
          <w:lang w:val="en-US" w:eastAsia="zh-CN"/>
        </w:rPr>
        <w:t>10000</w:t>
      </w:r>
      <w:r>
        <w:rPr>
          <w:rFonts w:hint="eastAsia" w:ascii="仿宋" w:hAnsi="仿宋" w:eastAsia="仿宋" w:cs="仿宋"/>
          <w:color w:val="000000"/>
          <w:sz w:val="32"/>
          <w:szCs w:val="32"/>
        </w:rPr>
        <w:t>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/d，同时对现有</w:t>
      </w:r>
      <w:r>
        <w:rPr>
          <w:rFonts w:hint="eastAsia" w:ascii="仿宋" w:hAnsi="仿宋" w:eastAsia="仿宋" w:cs="仿宋"/>
          <w:color w:val="000000"/>
          <w:sz w:val="32"/>
          <w:szCs w:val="32"/>
          <w:lang w:val="en-US" w:eastAsia="zh-CN"/>
        </w:rPr>
        <w:t>5000</w:t>
      </w:r>
      <w:r>
        <w:rPr>
          <w:rFonts w:hint="eastAsia" w:ascii="仿宋" w:hAnsi="仿宋" w:eastAsia="仿宋" w:cs="仿宋"/>
          <w:color w:val="000000"/>
          <w:sz w:val="32"/>
          <w:szCs w:val="32"/>
        </w:rPr>
        <w:t>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/d污水处理设施进行提标改造，建成后总处理规模为</w:t>
      </w:r>
      <w:r>
        <w:rPr>
          <w:rFonts w:hint="eastAsia" w:ascii="仿宋" w:hAnsi="仿宋" w:eastAsia="仿宋" w:cs="仿宋"/>
          <w:color w:val="000000"/>
          <w:sz w:val="32"/>
          <w:szCs w:val="32"/>
          <w:lang w:val="en-US" w:eastAsia="zh-CN"/>
        </w:rPr>
        <w:t>15000</w:t>
      </w:r>
      <w:r>
        <w:rPr>
          <w:rFonts w:hint="eastAsia" w:ascii="仿宋" w:hAnsi="仿宋" w:eastAsia="仿宋" w:cs="仿宋"/>
          <w:color w:val="000000"/>
          <w:sz w:val="32"/>
          <w:szCs w:val="32"/>
        </w:rPr>
        <w:t>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/d（含现有已建5000m</w:t>
      </w:r>
      <w:r>
        <w:rPr>
          <w:rFonts w:hint="eastAsia" w:ascii="仿宋" w:hAnsi="仿宋" w:eastAsia="仿宋" w:cs="仿宋"/>
          <w:color w:val="000000"/>
          <w:sz w:val="32"/>
          <w:szCs w:val="32"/>
          <w:vertAlign w:val="superscript"/>
        </w:rPr>
        <w:t>3</w:t>
      </w:r>
      <w:r>
        <w:rPr>
          <w:rFonts w:hint="eastAsia" w:ascii="仿宋" w:hAnsi="仿宋" w:eastAsia="仿宋" w:cs="仿宋"/>
          <w:color w:val="000000"/>
          <w:sz w:val="32"/>
          <w:szCs w:val="32"/>
        </w:rPr>
        <w:t>/d）</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二期改扩建工程总投资11750.30万元</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32"/>
          <w:lang w:val="en-US" w:eastAsia="zh-CN"/>
        </w:rPr>
        <w:t>新增用地15220.8m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，扩建后全厂总占地面积为39235.3m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。本项目扩建过程中现有工程建筑物均不发生变化，主要对现有工程中部分设备进行改造。扩建完成后现有工程废水经预处理及生化处理后进入扩建工程的深度处理工段，整个厂区尾水排放口排水量为15000m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lang w:val="en-US" w:eastAsia="zh-CN"/>
        </w:rPr>
        <w:t>/d。</w:t>
      </w:r>
      <w:r>
        <w:rPr>
          <w:rFonts w:hint="eastAsia" w:ascii="仿宋" w:hAnsi="仿宋" w:eastAsia="仿宋"/>
          <w:kern w:val="0"/>
          <w:sz w:val="32"/>
          <w:szCs w:val="32"/>
          <w:lang w:eastAsia="zh-CN"/>
        </w:rPr>
        <w:t>项目</w:t>
      </w:r>
      <w:r>
        <w:rPr>
          <w:rFonts w:hint="eastAsia" w:ascii="仿宋" w:hAnsi="仿宋" w:eastAsia="仿宋" w:cs="仿宋"/>
          <w:color w:val="000000" w:themeColor="text1"/>
          <w:sz w:val="32"/>
          <w:szCs w:val="32"/>
          <w:lang w:eastAsia="zh-CN"/>
          <w14:textFill>
            <w14:solidFill>
              <w14:schemeClr w14:val="tx1"/>
            </w14:solidFill>
          </w14:textFill>
        </w:rPr>
        <w:t>建设符合国家产业政策</w:t>
      </w:r>
      <w:r>
        <w:rPr>
          <w:rFonts w:hint="eastAsia" w:ascii="仿宋" w:hAnsi="仿宋" w:eastAsia="仿宋"/>
          <w:kern w:val="0"/>
          <w:sz w:val="32"/>
          <w:szCs w:val="32"/>
          <w:lang w:val="en-US" w:eastAsia="zh-CN"/>
        </w:rPr>
        <w:t>、《水污染防治行动计划》要求、</w:t>
      </w:r>
      <w:r>
        <w:rPr>
          <w:rFonts w:hint="default" w:ascii="仿宋" w:hAnsi="仿宋" w:eastAsia="仿宋" w:cs="仿宋"/>
          <w:color w:val="000000" w:themeColor="text1"/>
          <w:sz w:val="32"/>
          <w:szCs w:val="32"/>
          <w:lang w:eastAsia="zh-CN"/>
          <w14:textFill>
            <w14:solidFill>
              <w14:schemeClr w14:val="tx1"/>
            </w14:solidFill>
          </w14:textFill>
        </w:rPr>
        <w:t>津市市土地利用总体规划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kern w:val="0"/>
          <w:sz w:val="32"/>
          <w:szCs w:val="32"/>
          <w:lang w:eastAsia="zh-CN"/>
        </w:rPr>
        <w:t>高新区规划环评要求及</w:t>
      </w:r>
      <w:r>
        <w:rPr>
          <w:rFonts w:hint="default" w:ascii="仿宋" w:hAnsi="仿宋" w:eastAsia="仿宋" w:cs="仿宋"/>
          <w:color w:val="000000" w:themeColor="text1"/>
          <w:sz w:val="32"/>
          <w:szCs w:val="32"/>
          <w:lang w:eastAsia="zh-CN"/>
          <w14:textFill>
            <w14:solidFill>
              <w14:schemeClr w14:val="tx1"/>
            </w14:solidFill>
          </w14:textFill>
        </w:rPr>
        <w:t>“三线一单”的控制要求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sz w:val="32"/>
          <w:szCs w:val="32"/>
        </w:rPr>
        <w:t>在</w:t>
      </w:r>
      <w:r>
        <w:rPr>
          <w:rFonts w:hint="eastAsia" w:ascii="仿宋" w:hAnsi="仿宋" w:eastAsia="仿宋"/>
          <w:kern w:val="0"/>
          <w:sz w:val="32"/>
          <w:szCs w:val="32"/>
        </w:rPr>
        <w:t>建设单位落实报告书提出的各项污</w:t>
      </w:r>
      <w:r>
        <w:rPr>
          <w:rFonts w:hint="eastAsia" w:ascii="仿宋" w:hAnsi="仿宋" w:eastAsia="仿宋" w:cs="仿宋"/>
          <w:kern w:val="0"/>
          <w:sz w:val="32"/>
          <w:szCs w:val="32"/>
        </w:rPr>
        <w:t>染防治措施,确保外排污染物达标、环境风险可控的前提下</w:t>
      </w:r>
      <w:r>
        <w:rPr>
          <w:rFonts w:hint="eastAsia" w:ascii="仿宋" w:hAnsi="仿宋" w:eastAsia="仿宋"/>
          <w:kern w:val="0"/>
          <w:sz w:val="32"/>
          <w:szCs w:val="32"/>
          <w:lang w:val="en-US" w:eastAsia="zh-CN"/>
        </w:rPr>
        <w:t>,原则上</w:t>
      </w:r>
      <w:r>
        <w:rPr>
          <w:rFonts w:hint="eastAsia" w:ascii="仿宋" w:hAnsi="仿宋" w:eastAsia="仿宋"/>
          <w:kern w:val="0"/>
          <w:sz w:val="32"/>
          <w:szCs w:val="32"/>
        </w:rPr>
        <w:t>同意该项目</w:t>
      </w:r>
      <w:r>
        <w:rPr>
          <w:rFonts w:hint="eastAsia" w:ascii="仿宋" w:hAnsi="仿宋" w:eastAsia="仿宋"/>
          <w:sz w:val="32"/>
          <w:szCs w:val="32"/>
        </w:rPr>
        <w:t>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项目在设计、建设、运营过程中须严格落实环评报告中提出的环保措施，严格“三同时”制度，着重做好以下环保工作。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rPr>
        <w:t>1、</w:t>
      </w:r>
      <w:r>
        <w:rPr>
          <w:rFonts w:hint="eastAsia" w:ascii="仿宋" w:hAnsi="仿宋" w:eastAsia="仿宋" w:cs="仿宋"/>
          <w:kern w:val="2"/>
          <w:sz w:val="32"/>
          <w:szCs w:val="32"/>
          <w:lang w:val="en-US" w:eastAsia="zh-CN" w:bidi="zh-CN"/>
        </w:rPr>
        <w:t>加强施工过程管理，文明施工。施工现场管理做到“六必须”、“六不准”。合理安排施工时间,10:00-次日6：00严禁高噪声作业。施工场地设置雨水导流渠和过滤沉淀池，</w:t>
      </w:r>
      <w:r>
        <w:rPr>
          <w:rFonts w:hint="eastAsia" w:ascii="仿宋" w:hAnsi="仿宋" w:eastAsia="仿宋" w:cs="Times New Roman"/>
          <w:sz w:val="32"/>
          <w:szCs w:val="32"/>
        </w:rPr>
        <w:t>施工机械与运输车辆产生的含油废水经沉淀、隔油处理后</w:t>
      </w:r>
      <w:r>
        <w:rPr>
          <w:rFonts w:hint="eastAsia" w:ascii="仿宋" w:hAnsi="仿宋" w:eastAsia="仿宋" w:cs="Times New Roman"/>
          <w:sz w:val="32"/>
          <w:szCs w:val="32"/>
          <w:lang w:eastAsia="zh-CN"/>
        </w:rPr>
        <w:t>回用，</w:t>
      </w:r>
      <w:r>
        <w:rPr>
          <w:rFonts w:hint="eastAsia" w:ascii="仿宋" w:hAnsi="仿宋" w:eastAsia="仿宋" w:cs="Times New Roman"/>
          <w:sz w:val="32"/>
          <w:szCs w:val="32"/>
        </w:rPr>
        <w:t>不得随意排放</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生活污水收集后排入厂区污水管网。</w:t>
      </w:r>
      <w:r>
        <w:rPr>
          <w:rFonts w:hint="eastAsia" w:ascii="仿宋" w:hAnsi="仿宋" w:eastAsia="仿宋" w:cs="Times New Roman"/>
          <w:sz w:val="32"/>
          <w:szCs w:val="32"/>
          <w:lang w:eastAsia="zh-CN"/>
        </w:rPr>
        <w:t>施工期建筑垃圾尽量回收利用，不能回收利用的运至环卫部门指定的地点统一处理；生活垃圾定点收集，交由环卫部门清运处理。</w:t>
      </w:r>
      <w:r>
        <w:rPr>
          <w:rFonts w:hint="eastAsia" w:ascii="仿宋" w:hAnsi="仿宋" w:eastAsia="仿宋" w:cs="仿宋"/>
          <w:sz w:val="32"/>
          <w:szCs w:val="32"/>
          <w:lang w:val="en-US" w:eastAsia="zh-CN"/>
        </w:rPr>
        <w:t xml:space="preserve">                          </w:t>
      </w:r>
      <w:r>
        <w:rPr>
          <w:rFonts w:hint="eastAsia" w:ascii="仿宋" w:hAnsi="仿宋" w:eastAsia="仿宋"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jc w:val="both"/>
        <w:textAlignment w:val="auto"/>
        <w:rPr>
          <w:rFonts w:hint="eastAsia" w:ascii="Times New Roman" w:hAnsi="Times New Roman" w:cs="Times New Roman"/>
          <w:color w:val="000000"/>
          <w:sz w:val="24"/>
          <w:u w:val="single"/>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Times New Roman"/>
          <w:sz w:val="32"/>
          <w:szCs w:val="32"/>
          <w:lang w:val="en-US" w:eastAsia="zh-CN"/>
        </w:rPr>
        <w:t>运营期废气污染防治措施。对污水预处理段、厌氧缺氧段与污泥处理段臭气进行收集，粗、细格栅池采用集气罩收集，缓冲均化初沉池、水解酸化池、厌氧池密闭后采用负压收集，污泥泵房、污泥浓缩池及污泥脱水间采用集气罩收集，恶臭气体统一收集后经生物除臭系统处理后通过15m排气筒排放，</w:t>
      </w:r>
      <w:r>
        <w:rPr>
          <w:rFonts w:hint="eastAsia" w:ascii="仿宋" w:hAnsi="仿宋" w:eastAsia="仿宋" w:cs="仿宋"/>
          <w:kern w:val="0"/>
          <w:sz w:val="32"/>
          <w:szCs w:val="32"/>
          <w:u w:val="none"/>
          <w:lang w:val="en-US" w:eastAsia="zh-CN"/>
        </w:rPr>
        <w:t>NH</w:t>
      </w:r>
      <w:r>
        <w:rPr>
          <w:rFonts w:hint="eastAsia" w:ascii="仿宋" w:hAnsi="仿宋" w:eastAsia="仿宋" w:cs="仿宋"/>
          <w:kern w:val="0"/>
          <w:sz w:val="32"/>
          <w:szCs w:val="32"/>
          <w:u w:val="none"/>
          <w:vertAlign w:val="subscript"/>
          <w:lang w:val="en-US" w:eastAsia="zh-CN"/>
        </w:rPr>
        <w:t>3</w:t>
      </w:r>
      <w:r>
        <w:rPr>
          <w:rFonts w:hint="eastAsia" w:ascii="仿宋" w:hAnsi="仿宋" w:eastAsia="仿宋" w:cs="仿宋"/>
          <w:kern w:val="0"/>
          <w:sz w:val="32"/>
          <w:szCs w:val="32"/>
          <w:u w:val="none"/>
          <w:lang w:val="en-US" w:eastAsia="zh-CN"/>
        </w:rPr>
        <w:t>、H</w:t>
      </w:r>
      <w:r>
        <w:rPr>
          <w:rFonts w:hint="eastAsia" w:ascii="仿宋" w:hAnsi="仿宋" w:eastAsia="仿宋" w:cs="仿宋"/>
          <w:kern w:val="0"/>
          <w:sz w:val="32"/>
          <w:szCs w:val="32"/>
          <w:u w:val="none"/>
          <w:vertAlign w:val="subscript"/>
          <w:lang w:val="en-US" w:eastAsia="zh-CN"/>
        </w:rPr>
        <w:t>2</w:t>
      </w:r>
      <w:r>
        <w:rPr>
          <w:rFonts w:hint="eastAsia" w:ascii="仿宋" w:hAnsi="仿宋" w:eastAsia="仿宋" w:cs="仿宋"/>
          <w:kern w:val="0"/>
          <w:sz w:val="32"/>
          <w:szCs w:val="32"/>
          <w:u w:val="none"/>
          <w:lang w:val="en-US" w:eastAsia="zh-CN"/>
        </w:rPr>
        <w:t>S、臭气浓度满足</w:t>
      </w:r>
      <w:r>
        <w:rPr>
          <w:rFonts w:hint="eastAsia" w:ascii="仿宋" w:hAnsi="仿宋" w:eastAsia="仿宋" w:cs="Times New Roman"/>
          <w:sz w:val="32"/>
          <w:szCs w:val="32"/>
          <w:lang w:val="en-US" w:eastAsia="zh-CN"/>
        </w:rPr>
        <w:t>《恶臭污</w:t>
      </w:r>
      <w:r>
        <w:rPr>
          <w:rFonts w:hint="eastAsia" w:ascii="仿宋" w:hAnsi="仿宋" w:eastAsia="仿宋" w:cs="仿宋"/>
          <w:b w:val="0"/>
          <w:bCs w:val="0"/>
          <w:color w:val="000000"/>
          <w:sz w:val="32"/>
          <w:szCs w:val="32"/>
          <w:lang w:val="en-US" w:eastAsia="zh-CN"/>
        </w:rPr>
        <w:t>染物排放标准》(GB14554-93)表 2 中相关排放监控浓度限值要求；厂界</w:t>
      </w:r>
      <w:r>
        <w:rPr>
          <w:rFonts w:hint="eastAsia" w:ascii="仿宋" w:hAnsi="仿宋" w:eastAsia="仿宋" w:cs="仿宋"/>
          <w:kern w:val="0"/>
          <w:sz w:val="32"/>
          <w:szCs w:val="32"/>
          <w:u w:val="none"/>
          <w:lang w:val="en-US" w:eastAsia="zh-CN"/>
        </w:rPr>
        <w:t>NH</w:t>
      </w:r>
      <w:r>
        <w:rPr>
          <w:rFonts w:hint="eastAsia" w:ascii="仿宋" w:hAnsi="仿宋" w:eastAsia="仿宋" w:cs="仿宋"/>
          <w:kern w:val="0"/>
          <w:sz w:val="32"/>
          <w:szCs w:val="32"/>
          <w:u w:val="none"/>
          <w:vertAlign w:val="subscript"/>
          <w:lang w:val="en-US" w:eastAsia="zh-CN"/>
        </w:rPr>
        <w:t>3</w:t>
      </w:r>
      <w:r>
        <w:rPr>
          <w:rFonts w:hint="eastAsia" w:ascii="仿宋" w:hAnsi="仿宋" w:eastAsia="仿宋" w:cs="仿宋"/>
          <w:kern w:val="0"/>
          <w:sz w:val="32"/>
          <w:szCs w:val="32"/>
          <w:u w:val="none"/>
          <w:lang w:val="en-US" w:eastAsia="zh-CN"/>
        </w:rPr>
        <w:t>、H</w:t>
      </w:r>
      <w:r>
        <w:rPr>
          <w:rFonts w:hint="eastAsia" w:ascii="仿宋" w:hAnsi="仿宋" w:eastAsia="仿宋" w:cs="仿宋"/>
          <w:kern w:val="0"/>
          <w:sz w:val="32"/>
          <w:szCs w:val="32"/>
          <w:u w:val="none"/>
          <w:vertAlign w:val="subscript"/>
          <w:lang w:val="en-US" w:eastAsia="zh-CN"/>
        </w:rPr>
        <w:t>2</w:t>
      </w:r>
      <w:r>
        <w:rPr>
          <w:rFonts w:hint="eastAsia" w:ascii="仿宋" w:hAnsi="仿宋" w:eastAsia="仿宋" w:cs="仿宋"/>
          <w:kern w:val="0"/>
          <w:sz w:val="32"/>
          <w:szCs w:val="32"/>
          <w:u w:val="none"/>
          <w:lang w:val="en-US" w:eastAsia="zh-CN"/>
        </w:rPr>
        <w:t>S、臭气浓度</w:t>
      </w:r>
      <w:r>
        <w:rPr>
          <w:rFonts w:hint="eastAsia" w:ascii="仿宋" w:hAnsi="仿宋" w:eastAsia="仿宋" w:cs="仿宋"/>
          <w:b w:val="0"/>
          <w:bCs w:val="0"/>
          <w:color w:val="000000"/>
          <w:sz w:val="32"/>
          <w:szCs w:val="32"/>
          <w:lang w:val="en-US" w:eastAsia="zh-CN"/>
        </w:rPr>
        <w:t>排放满足</w:t>
      </w:r>
      <w:r>
        <w:rPr>
          <w:rFonts w:hint="eastAsia" w:ascii="仿宋" w:hAnsi="仿宋" w:eastAsia="仿宋" w:cs="仿宋"/>
          <w:b w:val="0"/>
          <w:bCs w:val="0"/>
          <w:kern w:val="0"/>
          <w:sz w:val="32"/>
          <w:szCs w:val="32"/>
          <w:lang w:val="en-US" w:eastAsia="zh-CN"/>
        </w:rPr>
        <w:t>《</w:t>
      </w:r>
      <w:r>
        <w:rPr>
          <w:rFonts w:hint="eastAsia" w:ascii="仿宋" w:hAnsi="仿宋" w:eastAsia="仿宋" w:cs="仿宋"/>
          <w:kern w:val="0"/>
          <w:sz w:val="32"/>
          <w:szCs w:val="32"/>
          <w:lang w:val="en-US" w:eastAsia="zh-CN"/>
        </w:rPr>
        <w:t>城镇污水处理厂污染物排放标准》（GB18918-2002）中表</w:t>
      </w:r>
      <w:r>
        <w:rPr>
          <w:rFonts w:hint="eastAsia" w:ascii="仿宋" w:hAnsi="仿宋" w:eastAsia="仿宋" w:cs="仿宋"/>
          <w:kern w:val="0"/>
          <w:sz w:val="32"/>
          <w:szCs w:val="32"/>
          <w:u w:val="none"/>
          <w:lang w:val="en-US" w:eastAsia="zh-CN"/>
        </w:rPr>
        <w:t>4中厂界（防护带边缘）废气排放最高允许浓度二级标准。做好污泥脱水间封闭措施，污泥脱水、污泥传送带及污泥包装等环节采取密封措施，同时加大负压风机风量，减少恶臭气体的无组织排放。</w:t>
      </w:r>
      <w:r>
        <w:rPr>
          <w:rFonts w:hint="eastAsia" w:ascii="仿宋" w:hAnsi="仿宋" w:eastAsia="仿宋" w:cs="Times New Roman"/>
          <w:sz w:val="32"/>
          <w:szCs w:val="32"/>
          <w:lang w:val="en-US" w:eastAsia="zh-CN"/>
        </w:rPr>
        <w:t>脱水后污泥采用密闭运输，在运送前车辆喷洒消毒液或除臭液，并尽可能安排在夜间进行，避免造成二次不利的污染影响。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3、</w:t>
      </w:r>
      <w:r>
        <w:rPr>
          <w:rFonts w:hint="eastAsia" w:ascii="仿宋" w:hAnsi="仿宋" w:eastAsia="仿宋" w:cs="仿宋"/>
          <w:kern w:val="0"/>
          <w:sz w:val="32"/>
          <w:szCs w:val="32"/>
          <w:lang w:val="en-US" w:eastAsia="zh-CN"/>
        </w:rPr>
        <w:t>运营期废水污染防治措施。</w:t>
      </w:r>
      <w:r>
        <w:rPr>
          <w:rFonts w:hint="eastAsia" w:ascii="仿宋" w:hAnsi="仿宋" w:eastAsia="仿宋" w:cs="Times New Roman"/>
          <w:sz w:val="32"/>
          <w:szCs w:val="32"/>
          <w:lang w:val="en-US" w:eastAsia="zh-CN"/>
        </w:rPr>
        <w:t>厂区排水实施水污分流，厂区设备冲洗废水和生活污水一并纳入污水处理厂处理，</w:t>
      </w:r>
      <w:r>
        <w:rPr>
          <w:rFonts w:hint="eastAsia" w:ascii="仿宋" w:hAnsi="仿宋" w:eastAsia="仿宋" w:cs="仿宋"/>
          <w:kern w:val="0"/>
          <w:sz w:val="32"/>
          <w:szCs w:val="32"/>
          <w:lang w:val="en-US" w:eastAsia="zh-CN"/>
        </w:rPr>
        <w:t>进厂废水经“格栅及沉砂池＋事故池+缓冲均化初沉池+水解酸化池＋A</w:t>
      </w:r>
      <w:r>
        <w:rPr>
          <w:rFonts w:hint="eastAsia" w:ascii="仿宋" w:hAnsi="仿宋" w:eastAsia="仿宋" w:cs="仿宋"/>
          <w:kern w:val="0"/>
          <w:sz w:val="32"/>
          <w:szCs w:val="32"/>
          <w:vertAlign w:val="superscript"/>
          <w:lang w:val="en-US" w:eastAsia="zh-CN"/>
        </w:rPr>
        <w:t>2</w:t>
      </w:r>
      <w:r>
        <w:rPr>
          <w:rFonts w:hint="eastAsia" w:ascii="仿宋" w:hAnsi="仿宋" w:eastAsia="仿宋" w:cs="仿宋"/>
          <w:kern w:val="0"/>
          <w:sz w:val="32"/>
          <w:szCs w:val="32"/>
          <w:lang w:val="en-US" w:eastAsia="zh-CN"/>
        </w:rPr>
        <w:t>/O生化池＋二沉池+高效沉淀池+臭氧催化氧化接触池+曝气生物滤池（BAF）+滤布滤池＋次氯酸钠消毒”后排放，满足《城镇污水处理厂污染物排放标准》（GB18918-2002）中的一级A标准。要规范化建设排污口，安装污水水量自动计量和在线监测装置并与环保部门联网。</w:t>
      </w:r>
    </w:p>
    <w:p>
      <w:pPr>
        <w:pStyle w:val="14"/>
        <w:keepNext w:val="0"/>
        <w:keepLines w:val="0"/>
        <w:pageBreakBefore w:val="0"/>
        <w:widowControl w:val="0"/>
        <w:kinsoku/>
        <w:wordWrap/>
        <w:overflowPunct/>
        <w:topLinePunct w:val="0"/>
        <w:autoSpaceDE/>
        <w:autoSpaceDN/>
        <w:bidi w:val="0"/>
        <w:adjustRightInd w:val="0"/>
        <w:snapToGrid w:val="0"/>
        <w:spacing w:line="560" w:lineRule="atLeas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4、运营期噪声污染防治措</w:t>
      </w:r>
      <w:bookmarkStart w:id="0" w:name="_GoBack"/>
      <w:bookmarkEnd w:id="0"/>
      <w:r>
        <w:rPr>
          <w:rFonts w:hint="eastAsia" w:ascii="仿宋" w:hAnsi="仿宋" w:eastAsia="仿宋" w:cs="仿宋"/>
          <w:kern w:val="0"/>
          <w:sz w:val="32"/>
          <w:szCs w:val="32"/>
          <w:lang w:val="en-US" w:eastAsia="zh-CN"/>
        </w:rPr>
        <w:t>施。优先选用低噪声设备，合理布置水泵、风机、电机、压滤机等高噪声设备位置，并采取隔声、减振等降噪措施，加强厂界绿化建设，</w:t>
      </w:r>
      <w:r>
        <w:rPr>
          <w:rFonts w:hint="eastAsia" w:ascii="仿宋" w:hAnsi="仿宋" w:eastAsia="仿宋" w:cs="Times New Roman"/>
          <w:sz w:val="32"/>
          <w:szCs w:val="32"/>
          <w:lang w:val="en-US" w:eastAsia="zh-CN"/>
        </w:rPr>
        <w:t>厂界噪声排放满足《</w:t>
      </w:r>
      <w:r>
        <w:rPr>
          <w:rFonts w:hint="eastAsia" w:ascii="仿宋" w:hAnsi="仿宋" w:eastAsia="仿宋" w:cs="Times New Roman"/>
          <w:sz w:val="32"/>
          <w:szCs w:val="32"/>
          <w:lang w:eastAsia="zh-CN"/>
        </w:rPr>
        <w:t>工业企业厂界环境噪声排放标准》（</w:t>
      </w:r>
      <w:r>
        <w:rPr>
          <w:rFonts w:hint="eastAsia" w:ascii="仿宋" w:hAnsi="仿宋" w:eastAsia="仿宋" w:cs="Times New Roman"/>
          <w:sz w:val="32"/>
          <w:szCs w:val="32"/>
          <w:lang w:val="en-US" w:eastAsia="zh-CN"/>
        </w:rPr>
        <w:t>GB122348-2008</w:t>
      </w:r>
      <w:r>
        <w:rPr>
          <w:rFonts w:hint="eastAsia" w:ascii="仿宋" w:hAnsi="仿宋" w:eastAsia="仿宋" w:cs="Times New Roman"/>
          <w:sz w:val="32"/>
          <w:szCs w:val="32"/>
          <w:lang w:eastAsia="zh-CN"/>
        </w:rPr>
        <w:t>）中</w:t>
      </w:r>
      <w:r>
        <w:rPr>
          <w:rFonts w:hint="eastAsia" w:ascii="仿宋" w:hAnsi="仿宋" w:eastAsia="仿宋" w:cs="Times New Roman"/>
          <w:sz w:val="32"/>
          <w:szCs w:val="32"/>
          <w:lang w:val="en-US" w:eastAsia="zh-CN"/>
        </w:rPr>
        <w:t>3类标准。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atLeast"/>
        <w:ind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kern w:val="2"/>
          <w:sz w:val="32"/>
          <w:szCs w:val="32"/>
          <w:lang w:val="en-US" w:eastAsia="zh-CN" w:bidi="ar-SA"/>
        </w:rPr>
        <w:t>5、按照“减量化、资源化、无害化”的原则，对</w:t>
      </w:r>
      <w:r>
        <w:rPr>
          <w:rFonts w:hint="eastAsia" w:ascii="仿宋" w:hAnsi="仿宋" w:eastAsia="仿宋" w:cs="Times New Roman"/>
          <w:sz w:val="32"/>
          <w:szCs w:val="32"/>
        </w:rPr>
        <w:t>固体废物实施分类管理、综合利用和安全处置。</w:t>
      </w:r>
      <w:r>
        <w:rPr>
          <w:rFonts w:hint="default" w:ascii="仿宋" w:hAnsi="仿宋" w:eastAsia="仿宋" w:cs="Times New Roman"/>
          <w:sz w:val="32"/>
          <w:szCs w:val="32"/>
          <w:lang w:val="en-US" w:eastAsia="zh-CN"/>
        </w:rPr>
        <w:t>建设</w:t>
      </w:r>
      <w:r>
        <w:rPr>
          <w:rFonts w:hint="eastAsia" w:ascii="仿宋" w:hAnsi="仿宋" w:eastAsia="仿宋" w:cs="Times New Roman"/>
          <w:sz w:val="32"/>
          <w:szCs w:val="32"/>
          <w:lang w:val="en-US" w:eastAsia="zh-CN"/>
        </w:rPr>
        <w:t>标准化危废</w:t>
      </w:r>
      <w:r>
        <w:rPr>
          <w:rFonts w:hint="default" w:ascii="仿宋" w:hAnsi="仿宋" w:eastAsia="仿宋" w:cs="Times New Roman"/>
          <w:sz w:val="32"/>
          <w:szCs w:val="32"/>
          <w:lang w:val="en-US" w:eastAsia="zh-CN"/>
        </w:rPr>
        <w:t>暂存间</w:t>
      </w:r>
      <w:r>
        <w:rPr>
          <w:rFonts w:hint="eastAsia" w:ascii="仿宋" w:hAnsi="仿宋" w:eastAsia="仿宋" w:cs="Times New Roman"/>
          <w:sz w:val="32"/>
          <w:szCs w:val="32"/>
          <w:lang w:val="en-US" w:eastAsia="zh-CN"/>
        </w:rPr>
        <w:t>，废原料包装袋暂存于危废暂存间后交由具有相关危废处置资</w:t>
      </w:r>
      <w:r>
        <w:rPr>
          <w:rFonts w:hint="eastAsia" w:ascii="仿宋" w:hAnsi="仿宋" w:eastAsia="仿宋" w:cs="仿宋"/>
          <w:kern w:val="0"/>
          <w:sz w:val="32"/>
          <w:szCs w:val="32"/>
          <w:lang w:val="en-US" w:eastAsia="zh-CN"/>
        </w:rPr>
        <w:t>质的单位处置；</w:t>
      </w:r>
      <w:r>
        <w:rPr>
          <w:rFonts w:hint="eastAsia" w:ascii="仿宋" w:hAnsi="仿宋" w:eastAsia="仿宋" w:cs="Times New Roman"/>
          <w:sz w:val="32"/>
          <w:szCs w:val="32"/>
          <w:lang w:val="en-US" w:eastAsia="zh-CN"/>
        </w:rPr>
        <w:t>厂区生活垃圾、格栅渣委托市环卫部门清运处理；污泥脱水至含水率小于60%后外运综合利用。污泥暂存场设立明显的标志、标识，建遮雨棚、围堰，设置废水引流通道或装置，将可能产生的污泥渗滤液和冲洗废水引入污水站处理。暂存场地面应采用防渗标号大于 S6（防渗系数≤4.19×10-9cm/s）的混凝土进行施工，厚度大于15cm。</w:t>
      </w:r>
      <w:r>
        <w:rPr>
          <w:rFonts w:hint="eastAsia" w:ascii="仿宋" w:hAnsi="仿宋" w:eastAsia="仿宋" w:cs="Times New Roman"/>
          <w:strike w:val="0"/>
          <w:dstrike w:val="0"/>
          <w:sz w:val="32"/>
          <w:szCs w:val="32"/>
          <w:lang w:val="en-US" w:eastAsia="zh-CN"/>
        </w:rPr>
        <w:t>如污水处理厂扩建完成后津市高新区内新增产生含重金属或其他污染物废水的企业，污水处理厂运营单位应对厂区产生的污泥进行再次鉴定，确保污泥不属于危险废物后方可按目前处置方式进行处置。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lang w:val="en-US" w:eastAsia="zh-CN"/>
        </w:rPr>
      </w:pPr>
      <w:r>
        <w:rPr>
          <w:rFonts w:hint="eastAsia" w:ascii="仿宋" w:hAnsi="仿宋" w:eastAsia="仿宋" w:cs="Times New Roman"/>
          <w:kern w:val="2"/>
          <w:sz w:val="32"/>
          <w:szCs w:val="32"/>
          <w:lang w:val="en-US" w:eastAsia="zh-CN" w:bidi="ar-SA"/>
        </w:rPr>
        <w:t>6、落实报告书中提出的各项环境风险防范措施和应急处理措施，对现有工程制定的突发环境事件应急预案进行重新修订。加强污水处理厂的运营管理，建立完善</w:t>
      </w:r>
      <w:r>
        <w:rPr>
          <w:rFonts w:hint="eastAsia" w:ascii="仿宋" w:hAnsi="仿宋" w:eastAsia="仿宋"/>
          <w:kern w:val="0"/>
          <w:sz w:val="32"/>
          <w:szCs w:val="32"/>
          <w:lang w:val="en-US" w:eastAsia="zh-CN"/>
        </w:rPr>
        <w:t>的环境管理制度，配备专职环境管理人员加强运营设施的维护管理，确保环保设施正常运行、污染物达标排放。</w:t>
      </w:r>
    </w:p>
    <w:p>
      <w:pPr>
        <w:pStyle w:val="1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7、项目投入运营前，对原有工程项目排污许可内容进行变更，按证排污。</w:t>
      </w:r>
    </w:p>
    <w:p>
      <w:pPr>
        <w:pStyle w:val="1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 w:hAnsi="仿宋" w:eastAsia="仿宋" w:cs="仿宋"/>
          <w:bCs/>
          <w:sz w:val="32"/>
          <w:szCs w:val="32"/>
          <w:lang w:eastAsia="zh-CN"/>
        </w:rPr>
      </w:pPr>
      <w:r>
        <w:rPr>
          <w:rFonts w:hint="eastAsia" w:ascii="仿宋" w:hAnsi="仿宋" w:eastAsia="仿宋"/>
          <w:sz w:val="32"/>
          <w:szCs w:val="32"/>
          <w:lang w:val="en-US" w:eastAsia="zh-CN"/>
        </w:rPr>
        <w:t>三、</w:t>
      </w:r>
      <w:r>
        <w:rPr>
          <w:rFonts w:hint="eastAsia" w:ascii="仿宋" w:hAnsi="仿宋" w:eastAsia="仿宋" w:cs="仿宋"/>
          <w:bCs/>
          <w:sz w:val="32"/>
          <w:szCs w:val="32"/>
        </w:rPr>
        <w:t>项目建成后，你单位须对污染防治措施</w:t>
      </w:r>
      <w:r>
        <w:rPr>
          <w:rFonts w:hint="eastAsia" w:ascii="仿宋" w:hAnsi="仿宋" w:eastAsia="仿宋" w:cs="仿宋"/>
          <w:bCs/>
          <w:sz w:val="32"/>
          <w:szCs w:val="32"/>
          <w:lang w:eastAsia="zh-CN"/>
        </w:rPr>
        <w:t>及环评要求</w:t>
      </w:r>
      <w:r>
        <w:rPr>
          <w:rFonts w:hint="eastAsia" w:ascii="仿宋" w:hAnsi="仿宋" w:eastAsia="仿宋" w:cs="仿宋"/>
          <w:bCs/>
          <w:sz w:val="32"/>
          <w:szCs w:val="32"/>
        </w:rPr>
        <w:t>落实情况按建设项目环保验收的相关规定开展验收</w:t>
      </w:r>
      <w:r>
        <w:rPr>
          <w:rFonts w:hint="eastAsia" w:ascii="仿宋" w:hAnsi="仿宋" w:eastAsia="仿宋" w:cs="仿宋"/>
          <w:bCs/>
          <w:sz w:val="32"/>
          <w:szCs w:val="32"/>
          <w:lang w:eastAsia="zh-CN"/>
        </w:rPr>
        <w:t>，验收结果</w:t>
      </w:r>
      <w:r>
        <w:rPr>
          <w:rFonts w:hint="eastAsia" w:ascii="仿宋" w:hAnsi="仿宋" w:eastAsia="仿宋" w:cs="仿宋"/>
          <w:bCs/>
          <w:sz w:val="32"/>
          <w:szCs w:val="32"/>
        </w:rPr>
        <w:t>向社会公开，验收合格方可投入</w:t>
      </w:r>
      <w:r>
        <w:rPr>
          <w:rFonts w:hint="eastAsia" w:ascii="仿宋" w:hAnsi="仿宋" w:eastAsia="仿宋" w:cs="仿宋"/>
          <w:bCs/>
          <w:sz w:val="32"/>
          <w:szCs w:val="32"/>
          <w:lang w:eastAsia="zh-CN"/>
        </w:rPr>
        <w:t>使用。津市市生态环境保护综合行政执法局负责该项目的日常监督管理。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　　　</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常德市生态环境局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sz w:val="32"/>
          <w:szCs w:val="32"/>
          <w:lang w:val="en-US" w:eastAsia="zh-CN"/>
        </w:rPr>
      </w:pPr>
    </w:p>
    <w:p>
      <w:pPr>
        <w:pStyle w:val="2"/>
        <w:rPr>
          <w:rFonts w:hint="eastAsia"/>
        </w:rPr>
      </w:pPr>
      <w:r>
        <w:rPr>
          <w:rFonts w:hint="eastAsia" w:ascii="仿宋" w:hAnsi="仿宋" w:eastAsia="仿宋"/>
          <w:sz w:val="32"/>
          <w:szCs w:val="32"/>
          <w:lang w:val="en-US" w:eastAsia="zh-CN"/>
        </w:rPr>
        <w:t xml:space="preserve">                         </w:t>
      </w:r>
    </w:p>
    <w:sectPr>
      <w:head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3AC6"/>
    <w:multiLevelType w:val="singleLevel"/>
    <w:tmpl w:val="587C3AC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FE"/>
    <w:rsid w:val="0000595B"/>
    <w:rsid w:val="000971F9"/>
    <w:rsid w:val="000A5290"/>
    <w:rsid w:val="000B4E8D"/>
    <w:rsid w:val="000D21AE"/>
    <w:rsid w:val="000D5EC4"/>
    <w:rsid w:val="000E0A35"/>
    <w:rsid w:val="000F3250"/>
    <w:rsid w:val="000F7EBB"/>
    <w:rsid w:val="00106AA5"/>
    <w:rsid w:val="00107D48"/>
    <w:rsid w:val="001143BF"/>
    <w:rsid w:val="0013254A"/>
    <w:rsid w:val="00171C45"/>
    <w:rsid w:val="001F0A69"/>
    <w:rsid w:val="00207C82"/>
    <w:rsid w:val="0021189D"/>
    <w:rsid w:val="002308F1"/>
    <w:rsid w:val="002460CB"/>
    <w:rsid w:val="002656FE"/>
    <w:rsid w:val="00271836"/>
    <w:rsid w:val="00277EF6"/>
    <w:rsid w:val="0029340F"/>
    <w:rsid w:val="002B5324"/>
    <w:rsid w:val="002B66BD"/>
    <w:rsid w:val="002D35A7"/>
    <w:rsid w:val="002F600D"/>
    <w:rsid w:val="00300243"/>
    <w:rsid w:val="00304D37"/>
    <w:rsid w:val="0031470C"/>
    <w:rsid w:val="0032679A"/>
    <w:rsid w:val="00345C66"/>
    <w:rsid w:val="003C5BA0"/>
    <w:rsid w:val="003E07D7"/>
    <w:rsid w:val="0043647A"/>
    <w:rsid w:val="004443E0"/>
    <w:rsid w:val="00444A34"/>
    <w:rsid w:val="004546E1"/>
    <w:rsid w:val="004957A1"/>
    <w:rsid w:val="00496357"/>
    <w:rsid w:val="004F221E"/>
    <w:rsid w:val="0050042A"/>
    <w:rsid w:val="00510C7E"/>
    <w:rsid w:val="005324A7"/>
    <w:rsid w:val="0053612C"/>
    <w:rsid w:val="00547D1E"/>
    <w:rsid w:val="00551D15"/>
    <w:rsid w:val="005A26AD"/>
    <w:rsid w:val="005D5466"/>
    <w:rsid w:val="005F2954"/>
    <w:rsid w:val="00622456"/>
    <w:rsid w:val="006366D8"/>
    <w:rsid w:val="0064137E"/>
    <w:rsid w:val="00643E4B"/>
    <w:rsid w:val="006452DF"/>
    <w:rsid w:val="00655F67"/>
    <w:rsid w:val="006571E9"/>
    <w:rsid w:val="00666A29"/>
    <w:rsid w:val="00670A3D"/>
    <w:rsid w:val="00685073"/>
    <w:rsid w:val="006F6392"/>
    <w:rsid w:val="00734FDF"/>
    <w:rsid w:val="007A5C43"/>
    <w:rsid w:val="007B6D3F"/>
    <w:rsid w:val="007D2AEF"/>
    <w:rsid w:val="007D5D22"/>
    <w:rsid w:val="007E571E"/>
    <w:rsid w:val="007E5996"/>
    <w:rsid w:val="007F3B6D"/>
    <w:rsid w:val="00812382"/>
    <w:rsid w:val="00823110"/>
    <w:rsid w:val="008404EB"/>
    <w:rsid w:val="00851A01"/>
    <w:rsid w:val="00874A6F"/>
    <w:rsid w:val="008758A1"/>
    <w:rsid w:val="00880072"/>
    <w:rsid w:val="0089419E"/>
    <w:rsid w:val="008F7093"/>
    <w:rsid w:val="00916E25"/>
    <w:rsid w:val="00943721"/>
    <w:rsid w:val="00960947"/>
    <w:rsid w:val="0097648D"/>
    <w:rsid w:val="0098257E"/>
    <w:rsid w:val="009B553C"/>
    <w:rsid w:val="009C45E3"/>
    <w:rsid w:val="00A00680"/>
    <w:rsid w:val="00A14DDF"/>
    <w:rsid w:val="00A22C90"/>
    <w:rsid w:val="00A336B0"/>
    <w:rsid w:val="00A43374"/>
    <w:rsid w:val="00A45DC8"/>
    <w:rsid w:val="00A5537D"/>
    <w:rsid w:val="00A65D83"/>
    <w:rsid w:val="00A6664F"/>
    <w:rsid w:val="00A87C16"/>
    <w:rsid w:val="00AA7BD0"/>
    <w:rsid w:val="00B0301E"/>
    <w:rsid w:val="00B035D0"/>
    <w:rsid w:val="00B07B05"/>
    <w:rsid w:val="00B20CE2"/>
    <w:rsid w:val="00B35B73"/>
    <w:rsid w:val="00B461E7"/>
    <w:rsid w:val="00B8228E"/>
    <w:rsid w:val="00B84B84"/>
    <w:rsid w:val="00B95AD4"/>
    <w:rsid w:val="00BA1639"/>
    <w:rsid w:val="00BC29F9"/>
    <w:rsid w:val="00BD0C4C"/>
    <w:rsid w:val="00BE6FB4"/>
    <w:rsid w:val="00BE7D2F"/>
    <w:rsid w:val="00C158CF"/>
    <w:rsid w:val="00C20618"/>
    <w:rsid w:val="00C31C35"/>
    <w:rsid w:val="00C3260D"/>
    <w:rsid w:val="00C35D43"/>
    <w:rsid w:val="00C40F80"/>
    <w:rsid w:val="00C47B2B"/>
    <w:rsid w:val="00C70C77"/>
    <w:rsid w:val="00C77E4B"/>
    <w:rsid w:val="00C80B4F"/>
    <w:rsid w:val="00C94337"/>
    <w:rsid w:val="00C94DA0"/>
    <w:rsid w:val="00CA7C79"/>
    <w:rsid w:val="00CC3472"/>
    <w:rsid w:val="00D060ED"/>
    <w:rsid w:val="00D1731E"/>
    <w:rsid w:val="00D22986"/>
    <w:rsid w:val="00D53A45"/>
    <w:rsid w:val="00D565BF"/>
    <w:rsid w:val="00D60EBF"/>
    <w:rsid w:val="00D7345B"/>
    <w:rsid w:val="00DA02D6"/>
    <w:rsid w:val="00DA0A38"/>
    <w:rsid w:val="00DE113C"/>
    <w:rsid w:val="00DE49F9"/>
    <w:rsid w:val="00DE5EB0"/>
    <w:rsid w:val="00DF6DBE"/>
    <w:rsid w:val="00E00407"/>
    <w:rsid w:val="00E40686"/>
    <w:rsid w:val="00E51E9E"/>
    <w:rsid w:val="00E656D6"/>
    <w:rsid w:val="00EB4E7A"/>
    <w:rsid w:val="00EC7AC0"/>
    <w:rsid w:val="00F0159A"/>
    <w:rsid w:val="00F13E5B"/>
    <w:rsid w:val="00F15B87"/>
    <w:rsid w:val="00F56544"/>
    <w:rsid w:val="00F60A06"/>
    <w:rsid w:val="00F94AA5"/>
    <w:rsid w:val="00F973CF"/>
    <w:rsid w:val="00FA32EE"/>
    <w:rsid w:val="00FB72B0"/>
    <w:rsid w:val="00FC171D"/>
    <w:rsid w:val="00FD0030"/>
    <w:rsid w:val="00FE5972"/>
    <w:rsid w:val="0277305C"/>
    <w:rsid w:val="027E40CA"/>
    <w:rsid w:val="03154DDB"/>
    <w:rsid w:val="033648C1"/>
    <w:rsid w:val="0443265F"/>
    <w:rsid w:val="052D460F"/>
    <w:rsid w:val="05543594"/>
    <w:rsid w:val="05B175D8"/>
    <w:rsid w:val="08786B05"/>
    <w:rsid w:val="09082A44"/>
    <w:rsid w:val="0B0E3907"/>
    <w:rsid w:val="0C865830"/>
    <w:rsid w:val="0CE10CD9"/>
    <w:rsid w:val="0E8738D2"/>
    <w:rsid w:val="0F3A2B8E"/>
    <w:rsid w:val="108578C4"/>
    <w:rsid w:val="10AA481E"/>
    <w:rsid w:val="10E40EB6"/>
    <w:rsid w:val="113A15B3"/>
    <w:rsid w:val="126469A5"/>
    <w:rsid w:val="126A1292"/>
    <w:rsid w:val="13B02E8F"/>
    <w:rsid w:val="152A3677"/>
    <w:rsid w:val="17E3796A"/>
    <w:rsid w:val="183D36E3"/>
    <w:rsid w:val="19721F12"/>
    <w:rsid w:val="19815C15"/>
    <w:rsid w:val="19BD7FFE"/>
    <w:rsid w:val="1AB5604E"/>
    <w:rsid w:val="1B562D38"/>
    <w:rsid w:val="1B8120CD"/>
    <w:rsid w:val="1E9F3277"/>
    <w:rsid w:val="1EEB271E"/>
    <w:rsid w:val="23F33108"/>
    <w:rsid w:val="259D3B17"/>
    <w:rsid w:val="25C30A3A"/>
    <w:rsid w:val="2683729F"/>
    <w:rsid w:val="29051A22"/>
    <w:rsid w:val="290B4A35"/>
    <w:rsid w:val="290D1259"/>
    <w:rsid w:val="291E197E"/>
    <w:rsid w:val="2A114551"/>
    <w:rsid w:val="2A79243C"/>
    <w:rsid w:val="2AA15629"/>
    <w:rsid w:val="2AA270B9"/>
    <w:rsid w:val="2AAF7ACC"/>
    <w:rsid w:val="2E525015"/>
    <w:rsid w:val="2FD60799"/>
    <w:rsid w:val="30E6580F"/>
    <w:rsid w:val="32013053"/>
    <w:rsid w:val="33520F98"/>
    <w:rsid w:val="3649788F"/>
    <w:rsid w:val="365F1E6D"/>
    <w:rsid w:val="36D23501"/>
    <w:rsid w:val="3AD3044F"/>
    <w:rsid w:val="3D02599C"/>
    <w:rsid w:val="3D281A1A"/>
    <w:rsid w:val="3E790DC3"/>
    <w:rsid w:val="3F3B7371"/>
    <w:rsid w:val="40150564"/>
    <w:rsid w:val="40BE4C1E"/>
    <w:rsid w:val="424B2C7D"/>
    <w:rsid w:val="4294448D"/>
    <w:rsid w:val="43277116"/>
    <w:rsid w:val="432B4E8E"/>
    <w:rsid w:val="43EE6034"/>
    <w:rsid w:val="44550975"/>
    <w:rsid w:val="46116A3A"/>
    <w:rsid w:val="463445B2"/>
    <w:rsid w:val="46F201E3"/>
    <w:rsid w:val="48DF7DD1"/>
    <w:rsid w:val="4A14582A"/>
    <w:rsid w:val="4A5E382B"/>
    <w:rsid w:val="4C340760"/>
    <w:rsid w:val="4C9C4CDB"/>
    <w:rsid w:val="4E4160CB"/>
    <w:rsid w:val="4E751245"/>
    <w:rsid w:val="4EC06A22"/>
    <w:rsid w:val="4EC72D45"/>
    <w:rsid w:val="4F207BAE"/>
    <w:rsid w:val="50365096"/>
    <w:rsid w:val="50882E67"/>
    <w:rsid w:val="57523066"/>
    <w:rsid w:val="57DF4F29"/>
    <w:rsid w:val="580035B5"/>
    <w:rsid w:val="58105273"/>
    <w:rsid w:val="58F259E7"/>
    <w:rsid w:val="595D2D8B"/>
    <w:rsid w:val="59C87282"/>
    <w:rsid w:val="5AE52ABC"/>
    <w:rsid w:val="5CDE761E"/>
    <w:rsid w:val="5E1A5809"/>
    <w:rsid w:val="5E3E5025"/>
    <w:rsid w:val="619E7F74"/>
    <w:rsid w:val="62565F23"/>
    <w:rsid w:val="63FA5FD1"/>
    <w:rsid w:val="64D901C3"/>
    <w:rsid w:val="64ED11B4"/>
    <w:rsid w:val="65295327"/>
    <w:rsid w:val="65C33B60"/>
    <w:rsid w:val="67523AF2"/>
    <w:rsid w:val="67F323C2"/>
    <w:rsid w:val="68F04FAD"/>
    <w:rsid w:val="68FB4731"/>
    <w:rsid w:val="692958A7"/>
    <w:rsid w:val="69CE55D9"/>
    <w:rsid w:val="6A7A41A2"/>
    <w:rsid w:val="6AFD7011"/>
    <w:rsid w:val="6B115DA7"/>
    <w:rsid w:val="6CD03D30"/>
    <w:rsid w:val="6D417FD1"/>
    <w:rsid w:val="6D644C7B"/>
    <w:rsid w:val="6E8575C1"/>
    <w:rsid w:val="6FAD24CA"/>
    <w:rsid w:val="6FBF644E"/>
    <w:rsid w:val="71766D54"/>
    <w:rsid w:val="731B571F"/>
    <w:rsid w:val="75E60646"/>
    <w:rsid w:val="77930DC0"/>
    <w:rsid w:val="78222571"/>
    <w:rsid w:val="7A182833"/>
    <w:rsid w:val="7A2F6FA9"/>
    <w:rsid w:val="7B2D617E"/>
    <w:rsid w:val="7D1C62CD"/>
    <w:rsid w:val="7D342AD1"/>
    <w:rsid w:val="7D3E5DAB"/>
    <w:rsid w:val="7DBA45D0"/>
    <w:rsid w:val="7EBB6A38"/>
    <w:rsid w:val="7F08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3" w:lineRule="auto"/>
      <w:outlineLvl w:val="2"/>
    </w:pPr>
    <w:rPr>
      <w:rFonts w:hint="eastAsia" w:ascii="仿宋_GB2312" w:eastAsia="仿宋_GB2312" w:cs="仿宋_GB2312"/>
      <w:spacing w:val="-22"/>
      <w:sz w:val="30"/>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qFormat/>
    <w:uiPriority w:val="0"/>
    <w:pPr>
      <w:adjustRightInd w:val="0"/>
      <w:snapToGrid w:val="0"/>
      <w:spacing w:line="360" w:lineRule="auto"/>
      <w:ind w:firstLine="200" w:firstLineChars="200"/>
    </w:pPr>
    <w:rPr>
      <w:sz w:val="24"/>
    </w:rPr>
  </w:style>
  <w:style w:type="paragraph" w:styleId="8">
    <w:name w:val="Body Text First Indent 2"/>
    <w:basedOn w:val="4"/>
    <w:next w:val="1"/>
    <w:qFormat/>
    <w:uiPriority w:val="0"/>
    <w:pPr>
      <w:spacing w:after="120" w:afterLines="0"/>
      <w:ind w:left="420" w:leftChars="200" w:firstLine="420" w:firstLineChars="200"/>
    </w:pPr>
    <w:rPr>
      <w:sz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lang w:val="zh-CN" w:eastAsia="zh-CN" w:bidi="zh-CN"/>
    </w:rPr>
  </w:style>
  <w:style w:type="paragraph" w:styleId="13">
    <w:name w:val="List Paragraph"/>
    <w:basedOn w:val="1"/>
    <w:qFormat/>
    <w:uiPriority w:val="1"/>
    <w:pPr>
      <w:ind w:left="1467" w:hanging="602"/>
    </w:pPr>
    <w:rPr>
      <w:rFonts w:ascii="宋体" w:hAnsi="宋体" w:eastAsia="宋体" w:cs="宋体"/>
      <w:lang w:val="zh-CN" w:eastAsia="zh-CN" w:bidi="zh-CN"/>
    </w:rPr>
  </w:style>
  <w:style w:type="paragraph" w:customStyle="1" w:styleId="14">
    <w:name w:val="报告正文"/>
    <w:basedOn w:val="1"/>
    <w:qFormat/>
    <w:uiPriority w:val="0"/>
    <w:pPr>
      <w:adjustRightInd w:val="0"/>
      <w:snapToGrid w:val="0"/>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14116-5B10-4956-9409-F72315E7998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251</Words>
  <Characters>1437</Characters>
  <Lines>11</Lines>
  <Paragraphs>3</Paragraphs>
  <TotalTime>30</TotalTime>
  <ScaleCrop>false</ScaleCrop>
  <LinksUpToDate>false</LinksUpToDate>
  <CharactersWithSpaces>1685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2019-08-09T07:52:00Z</dcterms:created>
  <dc:creator>user</dc:creator>
  <cp:lastModifiedBy>晓琳</cp:lastModifiedBy>
  <cp:lastPrinted>2020-08-18T02:46:49Z</cp:lastPrinted>
  <dcterms:modified xsi:type="dcterms:W3CDTF">2020-08-18T02:48:55Z</dcterms:modified>
  <dc:title>津环建【2014】7号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