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jc w:val="right"/>
        <w:textAlignment w:val="auto"/>
        <w:rPr>
          <w:rFonts w:hint="eastAsia" w:ascii="仿宋" w:hAnsi="仿宋" w:eastAsia="仿宋"/>
          <w:sz w:val="32"/>
          <w:szCs w:val="32"/>
        </w:rPr>
      </w:pPr>
      <w:r>
        <w:rPr>
          <w:rFonts w:hint="eastAsia" w:ascii="仿宋" w:hAnsi="仿宋" w:eastAsia="仿宋"/>
          <w:sz w:val="32"/>
          <w:szCs w:val="32"/>
        </w:rPr>
        <w:t>常环建(8)〔2020</w:t>
      </w:r>
      <w:r>
        <w:rPr>
          <w:rFonts w:hint="eastAsia" w:ascii="宋体" w:hAnsi="宋体"/>
          <w:sz w:val="32"/>
          <w:szCs w:val="32"/>
        </w:rPr>
        <w:t>〕</w:t>
      </w:r>
      <w:r>
        <w:rPr>
          <w:rFonts w:hint="eastAsia" w:ascii="宋体" w:hAnsi="宋体"/>
          <w:sz w:val="32"/>
          <w:szCs w:val="32"/>
          <w:lang w:val="en-US" w:eastAsia="zh-CN"/>
        </w:rPr>
        <w:t>20</w:t>
      </w:r>
      <w:r>
        <w:rPr>
          <w:rFonts w:hint="eastAsia" w:ascii="仿宋" w:hAnsi="仿宋" w:eastAsia="仿宋"/>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常德市生态环境局</w:t>
      </w:r>
    </w:p>
    <w:p>
      <w:pPr>
        <w:pStyle w:val="13"/>
        <w:keepNext w:val="0"/>
        <w:keepLines w:val="0"/>
        <w:pageBreakBefore w:val="0"/>
        <w:widowControl w:val="0"/>
        <w:kinsoku/>
        <w:wordWrap/>
        <w:overflowPunct/>
        <w:topLinePunct w:val="0"/>
        <w:autoSpaceDE w:val="0"/>
        <w:autoSpaceDN/>
        <w:bidi w:val="0"/>
        <w:adjustRightInd/>
        <w:snapToGrid/>
        <w:spacing w:beforeLines="0" w:after="0" w:line="540" w:lineRule="exact"/>
        <w:ind w:left="0" w:leftChars="0" w:firstLine="527"/>
        <w:jc w:val="center"/>
        <w:textAlignment w:val="auto"/>
        <w:rPr>
          <w:rFonts w:hint="eastAsia" w:ascii="宋体" w:hAnsi="宋体" w:eastAsia="宋体" w:cs="宋体"/>
          <w:b/>
          <w:bCs/>
          <w:spacing w:val="0"/>
          <w:sz w:val="44"/>
          <w:szCs w:val="44"/>
          <w:lang w:eastAsia="zh-CN"/>
        </w:rPr>
      </w:pPr>
      <w:r>
        <w:rPr>
          <w:rFonts w:hint="eastAsia" w:ascii="宋体" w:hAnsi="宋体" w:eastAsia="宋体" w:cs="宋体"/>
          <w:b/>
          <w:bCs/>
          <w:spacing w:val="-11"/>
          <w:sz w:val="44"/>
          <w:szCs w:val="44"/>
          <w:lang w:eastAsia="zh-CN"/>
        </w:rPr>
        <w:t>关于</w:t>
      </w:r>
      <w:r>
        <w:rPr>
          <w:rFonts w:hint="eastAsia" w:ascii="宋体" w:hAnsi="宋体" w:eastAsia="宋体" w:cs="宋体"/>
          <w:b/>
          <w:bCs/>
          <w:color w:val="000000"/>
          <w:spacing w:val="-11"/>
          <w:kern w:val="0"/>
          <w:sz w:val="44"/>
          <w:szCs w:val="44"/>
          <w:lang w:val="en-US" w:eastAsia="zh-CN" w:bidi="ar-SA"/>
        </w:rPr>
        <w:t>津市市药山镇祥和液化石油气罐装站</w:t>
      </w:r>
      <w:r>
        <w:rPr>
          <w:rFonts w:hint="eastAsia" w:ascii="宋体" w:hAnsi="宋体" w:eastAsia="宋体" w:cs="宋体"/>
          <w:b/>
          <w:bCs/>
          <w:color w:val="000000"/>
          <w:spacing w:val="0"/>
          <w:kern w:val="0"/>
          <w:sz w:val="44"/>
          <w:szCs w:val="44"/>
          <w:lang w:val="en-US" w:eastAsia="zh-CN" w:bidi="ar-SA"/>
        </w:rPr>
        <w:t>建设项目</w:t>
      </w:r>
      <w:r>
        <w:rPr>
          <w:rFonts w:hint="eastAsia" w:ascii="宋体" w:hAnsi="宋体" w:eastAsia="宋体" w:cs="宋体"/>
          <w:b/>
          <w:bCs/>
          <w:spacing w:val="0"/>
          <w:sz w:val="44"/>
          <w:szCs w:val="44"/>
          <w:lang w:eastAsia="zh-CN"/>
        </w:rPr>
        <w:t>环境影响报告表的批复</w:t>
      </w:r>
    </w:p>
    <w:p>
      <w:pPr>
        <w:pStyle w:val="2"/>
        <w:keepNext w:val="0"/>
        <w:keepLines w:val="0"/>
        <w:pageBreakBefore w:val="0"/>
        <w:kinsoku/>
        <w:wordWrap/>
        <w:overflowPunct/>
        <w:topLinePunct w:val="0"/>
        <w:autoSpaceDE/>
        <w:autoSpaceDN/>
        <w:bidi w:val="0"/>
        <w:adjustRightInd/>
        <w:snapToGrid/>
        <w:spacing w:after="0" w:line="540" w:lineRule="exact"/>
        <w:textAlignment w:val="auto"/>
        <w:rPr>
          <w:rFonts w:hint="eastAsia"/>
          <w:lang w:eastAsia="zh-CN"/>
        </w:rPr>
      </w:pPr>
    </w:p>
    <w:p>
      <w:pPr>
        <w:pStyle w:val="20"/>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right="0" w:rightChars="0" w:firstLine="0" w:firstLineChars="0"/>
        <w:jc w:val="both"/>
        <w:textAlignment w:val="auto"/>
        <w:rPr>
          <w:rFonts w:hint="eastAsia" w:ascii="仿宋" w:hAnsi="仿宋" w:eastAsia="仿宋" w:cs="Times New Roman"/>
          <w:sz w:val="32"/>
          <w:szCs w:val="32"/>
          <w:lang w:val="en-US" w:eastAsia="zh-CN"/>
        </w:rPr>
      </w:pPr>
      <w:r>
        <w:rPr>
          <w:rFonts w:hint="eastAsia" w:ascii="仿宋" w:hAnsi="仿宋" w:eastAsia="仿宋" w:cs="仿宋"/>
          <w:color w:val="000000"/>
          <w:spacing w:val="0"/>
          <w:kern w:val="0"/>
          <w:sz w:val="32"/>
          <w:szCs w:val="32"/>
          <w:lang w:val="en-US" w:eastAsia="zh-CN" w:bidi="ar-SA"/>
        </w:rPr>
        <w:t>津市市药山镇祥和供气站</w:t>
      </w:r>
      <w:r>
        <w:rPr>
          <w:rFonts w:hint="eastAsia" w:ascii="仿宋" w:hAnsi="仿宋"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你</w:t>
      </w:r>
      <w:r>
        <w:rPr>
          <w:rFonts w:hint="eastAsia" w:ascii="仿宋" w:hAnsi="仿宋" w:eastAsia="仿宋" w:cs="Times New Roman"/>
          <w:sz w:val="32"/>
          <w:szCs w:val="32"/>
          <w:lang w:eastAsia="zh-CN"/>
        </w:rPr>
        <w:t>站</w:t>
      </w:r>
      <w:r>
        <w:rPr>
          <w:rFonts w:hint="eastAsia" w:ascii="仿宋" w:hAnsi="仿宋" w:eastAsia="仿宋" w:cs="Times New Roman"/>
          <w:sz w:val="32"/>
          <w:szCs w:val="32"/>
        </w:rPr>
        <w:t>《</w:t>
      </w:r>
      <w:r>
        <w:rPr>
          <w:rFonts w:hint="eastAsia" w:ascii="仿宋" w:hAnsi="仿宋" w:eastAsia="仿宋" w:cs="仿宋"/>
          <w:color w:val="000000"/>
          <w:spacing w:val="0"/>
          <w:kern w:val="0"/>
          <w:sz w:val="32"/>
          <w:szCs w:val="32"/>
          <w:lang w:val="en-US" w:eastAsia="zh-CN" w:bidi="ar-SA"/>
        </w:rPr>
        <w:t>津市市药山镇祥和液化石油气罐装站建设项目环境影响报告表》</w:t>
      </w:r>
      <w:r>
        <w:rPr>
          <w:rFonts w:hint="eastAsia" w:ascii="仿宋" w:hAnsi="仿宋" w:eastAsia="仿宋"/>
          <w:color w:val="0C0C0C"/>
          <w:sz w:val="32"/>
          <w:szCs w:val="32"/>
          <w:lang w:val="en-US" w:eastAsia="zh-CN"/>
        </w:rPr>
        <w:t>(以下简称报告表)及相关</w:t>
      </w:r>
      <w:r>
        <w:rPr>
          <w:rFonts w:hint="eastAsia" w:ascii="仿宋" w:hAnsi="仿宋" w:eastAsia="仿宋" w:cs="Times New Roman"/>
          <w:sz w:val="32"/>
          <w:szCs w:val="32"/>
        </w:rPr>
        <w:t>附件收悉，</w:t>
      </w:r>
      <w:r>
        <w:rPr>
          <w:rFonts w:hint="eastAsia" w:ascii="仿宋" w:hAnsi="仿宋" w:eastAsia="仿宋"/>
          <w:sz w:val="32"/>
          <w:szCs w:val="32"/>
        </w:rPr>
        <w:t>根据环评报告结论、公示情况，经研究，现批复如下</w:t>
      </w:r>
      <w:r>
        <w:rPr>
          <w:rFonts w:hint="eastAsia" w:ascii="仿宋" w:hAnsi="仿宋" w:eastAsia="仿宋" w:cs="Times New Roman"/>
          <w:sz w:val="32"/>
          <w:szCs w:val="32"/>
        </w:rPr>
        <w:t>：</w:t>
      </w:r>
    </w:p>
    <w:p>
      <w:pPr>
        <w:pStyle w:val="13"/>
        <w:keepNext w:val="0"/>
        <w:keepLines w:val="0"/>
        <w:pageBreakBefore w:val="0"/>
        <w:widowControl w:val="0"/>
        <w:kinsoku/>
        <w:wordWrap/>
        <w:overflowPunct/>
        <w:topLinePunct w:val="0"/>
        <w:autoSpaceDE w:val="0"/>
        <w:autoSpaceDN/>
        <w:bidi w:val="0"/>
        <w:adjustRightInd/>
        <w:snapToGrid/>
        <w:spacing w:beforeLines="0" w:after="0" w:line="54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cs="Times New Roman"/>
          <w:kern w:val="2"/>
          <w:sz w:val="32"/>
          <w:szCs w:val="32"/>
          <w:lang w:val="en-US" w:eastAsia="zh-CN" w:bidi="ar-SA"/>
        </w:rPr>
        <w:t>一、津市市药山镇祥和液化石油气罐装站建设项目选址于津市市药山镇文昌阁社区变电站斜对面，项目总投资为480万元，其中环保投资30万元，项目</w:t>
      </w:r>
      <w:r>
        <w:rPr>
          <w:rFonts w:hint="eastAsia" w:ascii="仿宋" w:hAnsi="仿宋" w:eastAsia="仿宋" w:cs="仿宋"/>
          <w:color w:val="000000"/>
          <w:spacing w:val="0"/>
          <w:kern w:val="0"/>
          <w:sz w:val="32"/>
          <w:szCs w:val="32"/>
          <w:lang w:val="en-US" w:eastAsia="zh-CN" w:bidi="ar-SA"/>
        </w:rPr>
        <w:t>占地面积5756m</w:t>
      </w:r>
      <w:r>
        <w:rPr>
          <w:rFonts w:hint="eastAsia" w:ascii="仿宋" w:hAnsi="仿宋" w:eastAsia="仿宋" w:cs="仿宋"/>
          <w:color w:val="000000"/>
          <w:spacing w:val="0"/>
          <w:kern w:val="0"/>
          <w:sz w:val="32"/>
          <w:szCs w:val="32"/>
          <w:vertAlign w:val="superscript"/>
          <w:lang w:val="en-US" w:eastAsia="zh-CN" w:bidi="ar-SA"/>
        </w:rPr>
        <w:t>2</w:t>
      </w:r>
      <w:r>
        <w:rPr>
          <w:rFonts w:hint="eastAsia" w:ascii="仿宋" w:hAnsi="仿宋" w:eastAsia="仿宋" w:cs="仿宋"/>
          <w:color w:val="000000"/>
          <w:spacing w:val="0"/>
          <w:kern w:val="0"/>
          <w:sz w:val="32"/>
          <w:szCs w:val="32"/>
          <w:vertAlign w:val="baseline"/>
          <w:lang w:val="en-US" w:eastAsia="zh-CN" w:bidi="ar-SA"/>
        </w:rPr>
        <w:t>,建设储罐区（50</w:t>
      </w:r>
      <w:r>
        <w:rPr>
          <w:rFonts w:hint="eastAsia" w:ascii="仿宋" w:hAnsi="仿宋" w:eastAsia="仿宋" w:cs="仿宋"/>
          <w:color w:val="000000"/>
          <w:spacing w:val="0"/>
          <w:kern w:val="0"/>
          <w:sz w:val="32"/>
          <w:szCs w:val="32"/>
          <w:lang w:val="en-US" w:eastAsia="zh-CN" w:bidi="ar-SA"/>
        </w:rPr>
        <w:t>m</w:t>
      </w:r>
      <w:r>
        <w:rPr>
          <w:rFonts w:hint="eastAsia" w:ascii="仿宋" w:hAnsi="仿宋" w:eastAsia="仿宋" w:cs="仿宋"/>
          <w:color w:val="000000"/>
          <w:spacing w:val="0"/>
          <w:kern w:val="0"/>
          <w:sz w:val="32"/>
          <w:szCs w:val="32"/>
          <w:vertAlign w:val="superscript"/>
          <w:lang w:val="en-US" w:eastAsia="zh-CN" w:bidi="ar-SA"/>
        </w:rPr>
        <w:t>3</w:t>
      </w:r>
      <w:r>
        <w:rPr>
          <w:rFonts w:hint="eastAsia" w:ascii="仿宋" w:hAnsi="仿宋" w:eastAsia="仿宋" w:cs="仿宋"/>
          <w:color w:val="000000"/>
          <w:spacing w:val="0"/>
          <w:kern w:val="0"/>
          <w:sz w:val="32"/>
          <w:szCs w:val="32"/>
          <w:vertAlign w:val="baseline"/>
          <w:lang w:val="en-US" w:eastAsia="zh-CN" w:bidi="ar-SA"/>
        </w:rPr>
        <w:t>的液化石油气地上储罐2个，容积为50</w:t>
      </w:r>
      <w:r>
        <w:rPr>
          <w:rFonts w:hint="eastAsia" w:ascii="仿宋" w:hAnsi="仿宋" w:eastAsia="仿宋" w:cs="仿宋"/>
          <w:color w:val="000000"/>
          <w:spacing w:val="0"/>
          <w:kern w:val="0"/>
          <w:sz w:val="32"/>
          <w:szCs w:val="32"/>
          <w:lang w:val="en-US" w:eastAsia="zh-CN" w:bidi="ar-SA"/>
        </w:rPr>
        <w:t>m</w:t>
      </w:r>
      <w:r>
        <w:rPr>
          <w:rFonts w:hint="eastAsia" w:ascii="仿宋" w:hAnsi="仿宋" w:eastAsia="仿宋" w:cs="仿宋"/>
          <w:color w:val="000000"/>
          <w:spacing w:val="0"/>
          <w:kern w:val="0"/>
          <w:sz w:val="32"/>
          <w:szCs w:val="32"/>
          <w:vertAlign w:val="superscript"/>
          <w:lang w:val="en-US" w:eastAsia="zh-CN" w:bidi="ar-SA"/>
        </w:rPr>
        <w:t>3</w:t>
      </w:r>
      <w:r>
        <w:rPr>
          <w:rFonts w:hint="eastAsia" w:ascii="仿宋" w:hAnsi="仿宋" w:eastAsia="仿宋" w:cs="仿宋"/>
          <w:color w:val="000000"/>
          <w:spacing w:val="0"/>
          <w:kern w:val="0"/>
          <w:sz w:val="32"/>
          <w:szCs w:val="32"/>
          <w:vertAlign w:val="baseline"/>
          <w:lang w:val="en-US" w:eastAsia="zh-CN" w:bidi="ar-SA"/>
        </w:rPr>
        <w:t>的地上残液罐1个）、压缩机间、罐装间（2套灌装装置）、消防泵房、办公楼、循环冷却水池兼消防池（容积为792</w:t>
      </w:r>
      <w:r>
        <w:rPr>
          <w:rFonts w:hint="eastAsia" w:ascii="仿宋" w:hAnsi="仿宋" w:eastAsia="仿宋" w:cs="仿宋"/>
          <w:color w:val="000000"/>
          <w:spacing w:val="0"/>
          <w:kern w:val="0"/>
          <w:sz w:val="32"/>
          <w:szCs w:val="32"/>
          <w:lang w:val="en-US" w:eastAsia="zh-CN" w:bidi="ar-SA"/>
        </w:rPr>
        <w:t>m</w:t>
      </w:r>
      <w:r>
        <w:rPr>
          <w:rFonts w:hint="eastAsia" w:ascii="仿宋" w:hAnsi="仿宋" w:eastAsia="仿宋" w:cs="仿宋"/>
          <w:color w:val="000000"/>
          <w:spacing w:val="0"/>
          <w:kern w:val="0"/>
          <w:sz w:val="32"/>
          <w:szCs w:val="32"/>
          <w:vertAlign w:val="superscript"/>
          <w:lang w:val="en-US" w:eastAsia="zh-CN" w:bidi="ar-SA"/>
        </w:rPr>
        <w:t>3</w:t>
      </w:r>
      <w:r>
        <w:rPr>
          <w:rFonts w:hint="eastAsia" w:ascii="仿宋" w:hAnsi="仿宋" w:eastAsia="仿宋" w:cs="仿宋"/>
          <w:color w:val="000000"/>
          <w:spacing w:val="0"/>
          <w:kern w:val="0"/>
          <w:sz w:val="32"/>
          <w:szCs w:val="32"/>
          <w:vertAlign w:val="baseline"/>
          <w:lang w:val="en-US" w:eastAsia="zh-CN" w:bidi="ar-SA"/>
        </w:rPr>
        <w:t>）等，项目年出售液化石油气200t，主要供应药山镇居民生活用气。</w:t>
      </w:r>
      <w:r>
        <w:rPr>
          <w:rFonts w:hint="eastAsia" w:ascii="仿宋" w:hAnsi="仿宋" w:eastAsia="仿宋" w:cs="Times New Roman"/>
          <w:sz w:val="32"/>
          <w:szCs w:val="32"/>
          <w:lang w:eastAsia="zh-CN"/>
        </w:rPr>
        <w:t>建</w:t>
      </w:r>
      <w:r>
        <w:rPr>
          <w:rFonts w:hint="eastAsia" w:ascii="仿宋" w:hAnsi="仿宋" w:eastAsia="仿宋"/>
          <w:sz w:val="32"/>
          <w:szCs w:val="32"/>
          <w:lang w:eastAsia="zh-CN"/>
        </w:rPr>
        <w:t>设项目符合国家产业政策，在建设单位落实报告表提出的各项污染防治措施,确保外排污染物达标、满足安全生产的前提下，从环保角度分析，同意该项目按申报内</w:t>
      </w:r>
      <w:r>
        <w:rPr>
          <w:rFonts w:hint="eastAsia" w:ascii="仿宋" w:hAnsi="仿宋" w:eastAsia="仿宋"/>
          <w:sz w:val="32"/>
          <w:szCs w:val="32"/>
        </w:rPr>
        <w:t>容和规模在拟选地址建设。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项目在设计、建设、运营过程中须严格落实环评报告中提出的环保措施，严格“三同时”制度，着重做好以下环保工作。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color w:val="000000"/>
          <w:spacing w:val="0"/>
          <w:kern w:val="0"/>
          <w:sz w:val="32"/>
          <w:szCs w:val="32"/>
          <w:lang w:val="en-US" w:eastAsia="zh-CN" w:bidi="ar-SA"/>
        </w:rPr>
        <w:t>施工期间做到科学管理、文明施工。施工现场管理要做到“六必须、六不准”。在施工场地内修建隔油沉淀池对施工废水进行隔油、沉淀处理后回用于施工机械车辆清洗、场地洒水。合理安排施工时间，严禁22:00-6:00进行浇注、切割等高噪声施工作业。</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outlineLvl w:val="0"/>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2、营运期废水污染防治措施。项目排水实行雨污分流，生活污水经三级化粪池处理后用于农肥，不外排；降温喷淋水经收集后排入消防水池循环使用，不外排；储罐区围堰消防废水进入消防水池，初期雨水经雨水导流明沟渠排到水封井，再通过管道排到消防水池。</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outlineLvl w:val="0"/>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3、营运期废气污染防治措施。液化气从槽车进入储罐，再从储罐通过压缩泵灌瓶等工序在密封系统内进行，加强呼吸阀和液压安全阀的检查、维护、使用和管理，非甲烷总烃排放满足《挥发性有机物无组织排放控制标准》（GB37822-2019）排放控制要求及附录A表A.1无组织排放限值要求。发电机房采取通风措施，废气排放满足《大气污染物综合排放标准》（GB16297-1996 ）表2中无组织排放监控浓度限值要求。</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outlineLvl w:val="0"/>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4、营运期噪声污染防治措施。合理布置设备位置，对高噪声设备采取进消声、隔声、减振等降噪措施，噪声排放东、南、西边界执行《工业企业厂界环境噪声排放标准》（GB12348-2008 ）2类标准；北边界执行《工业企业厂界环境噪声排放标准》（GB12348-2008 ）4类标准。</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outlineLvl w:val="0"/>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5、</w:t>
      </w:r>
      <w:r>
        <w:rPr>
          <w:rFonts w:hint="eastAsia" w:ascii="仿宋" w:hAnsi="仿宋" w:eastAsia="仿宋" w:cs="Times New Roman"/>
          <w:kern w:val="2"/>
          <w:sz w:val="32"/>
          <w:szCs w:val="32"/>
          <w:lang w:val="en-US" w:eastAsia="zh-CN" w:bidi="ar-SA"/>
        </w:rPr>
        <w:t>按照“减量化、资源化、无害化”的原则，对</w:t>
      </w:r>
      <w:r>
        <w:rPr>
          <w:rFonts w:hint="eastAsia" w:ascii="仿宋" w:hAnsi="仿宋" w:eastAsia="仿宋" w:cs="Times New Roman"/>
          <w:sz w:val="32"/>
          <w:szCs w:val="32"/>
        </w:rPr>
        <w:t>固体废物实施分类管理、综合利用和安全处置。</w:t>
      </w:r>
      <w:r>
        <w:rPr>
          <w:rFonts w:hint="eastAsia" w:ascii="仿宋" w:hAnsi="仿宋" w:eastAsia="仿宋" w:cs="仿宋"/>
          <w:color w:val="000000"/>
          <w:spacing w:val="0"/>
          <w:kern w:val="0"/>
          <w:sz w:val="32"/>
          <w:szCs w:val="32"/>
          <w:lang w:val="en-US" w:eastAsia="zh-CN" w:bidi="ar-SA"/>
        </w:rPr>
        <w:t>对不合格钢瓶抽出残液确认安全后，定期外售废品回收站综合利用；残液由残液罐集中收集、清洗储灌的排污采用活动式回收桶集中收集后由本项目委托有危险化学品运输资质的运输单位（原料运输单位）运输交由本项目液化石油气供应商回收处置；生活垃圾集中收集后交由环卫部门清运处理。</w:t>
      </w:r>
    </w:p>
    <w:p>
      <w:pPr>
        <w:keepNext w:val="0"/>
        <w:keepLines w:val="0"/>
        <w:pageBreakBefore w:val="0"/>
        <w:kinsoku/>
        <w:wordWrap/>
        <w:overflowPunct/>
        <w:topLinePunct w:val="0"/>
        <w:autoSpaceDE/>
        <w:autoSpaceDN/>
        <w:bidi w:val="0"/>
        <w:adjustRightInd/>
        <w:snapToGrid/>
        <w:spacing w:line="540" w:lineRule="exact"/>
        <w:ind w:leftChars="0" w:firstLine="640" w:firstLineChars="200"/>
        <w:textAlignment w:val="auto"/>
        <w:outlineLvl w:val="0"/>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6、营运期做好安全防护工程建设。储罐区和灌装区设置高度不低于2m的不燃烧实体围墙、生产区出入口和人员疏散口，其他区域设置不燃烧非实体围墙和一个对外出入口；建筑物设置防雷接地装置，泵、压缩机和调压、计量装置采取静电接地；设置消防车道和回车场、消防水池及设施。</w:t>
      </w:r>
    </w:p>
    <w:p>
      <w:pPr>
        <w:pStyle w:val="1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color w:val="000000"/>
          <w:spacing w:val="0"/>
          <w:kern w:val="0"/>
          <w:sz w:val="32"/>
          <w:szCs w:val="32"/>
          <w:lang w:val="en-US" w:eastAsia="zh-CN" w:bidi="ar-SA"/>
        </w:rPr>
      </w:pPr>
      <w:r>
        <w:rPr>
          <w:rFonts w:hint="eastAsia" w:ascii="仿宋" w:hAnsi="仿宋" w:eastAsia="仿宋" w:cs="仿宋"/>
          <w:color w:val="000000"/>
          <w:spacing w:val="0"/>
          <w:kern w:val="0"/>
          <w:sz w:val="32"/>
          <w:szCs w:val="32"/>
          <w:lang w:val="en-US" w:eastAsia="zh-CN" w:bidi="ar-SA"/>
        </w:rPr>
        <w:t>7、加强环境风险管理，</w:t>
      </w:r>
      <w:r>
        <w:rPr>
          <w:rFonts w:hint="eastAsia" w:ascii="仿宋" w:hAnsi="仿宋" w:eastAsia="仿宋" w:cs="仿宋"/>
          <w:color w:val="000000" w:themeColor="text1"/>
          <w:sz w:val="32"/>
          <w:szCs w:val="32"/>
          <w:lang w:val="en-US" w:bidi="ar-SA"/>
          <w14:textFill>
            <w14:solidFill>
              <w14:schemeClr w14:val="tx1"/>
            </w14:solidFill>
          </w14:textFill>
        </w:rPr>
        <w:t>制定环境风险事故应急预案</w:t>
      </w:r>
      <w:r>
        <w:rPr>
          <w:rFonts w:hint="eastAsia" w:ascii="仿宋" w:hAnsi="仿宋" w:eastAsia="仿宋" w:cs="仿宋"/>
          <w:color w:val="000000" w:themeColor="text1"/>
          <w:sz w:val="32"/>
          <w:szCs w:val="32"/>
          <w:lang w:val="en-US" w:eastAsia="zh-CN" w:bidi="ar-SA"/>
          <w14:textFill>
            <w14:solidFill>
              <w14:schemeClr w14:val="tx1"/>
            </w14:solidFill>
          </w14:textFill>
        </w:rPr>
        <w:t>，</w:t>
      </w:r>
      <w:r>
        <w:rPr>
          <w:rFonts w:hint="eastAsia" w:ascii="仿宋" w:hAnsi="仿宋" w:eastAsia="仿宋" w:cs="仿宋"/>
          <w:bCs/>
          <w:color w:val="000000" w:themeColor="text1"/>
          <w:sz w:val="32"/>
          <w:szCs w:val="32"/>
          <w:lang w:val="en-US"/>
          <w14:textFill>
            <w14:solidFill>
              <w14:schemeClr w14:val="tx1"/>
            </w14:solidFill>
          </w14:textFill>
        </w:rPr>
        <w:t>严格按照环评要求落实环境风险防范和应急措施</w:t>
      </w:r>
      <w:r>
        <w:rPr>
          <w:rFonts w:hint="eastAsia" w:ascii="仿宋" w:hAnsi="仿宋" w:eastAsia="仿宋" w:cs="仿宋"/>
          <w:color w:val="000000" w:themeColor="text1"/>
          <w:kern w:val="0"/>
          <w:sz w:val="32"/>
          <w:szCs w:val="32"/>
          <w:lang w:val="en-US"/>
          <w14:textFill>
            <w14:solidFill>
              <w14:schemeClr w14:val="tx1"/>
            </w14:solidFill>
          </w14:textFill>
        </w:rPr>
        <w:t>。</w:t>
      </w:r>
    </w:p>
    <w:p>
      <w:pPr>
        <w:keepNext w:val="0"/>
        <w:keepLines w:val="0"/>
        <w:pageBreakBefore w:val="0"/>
        <w:kinsoku/>
        <w:wordWrap/>
        <w:overflowPunct/>
        <w:topLinePunct w:val="0"/>
        <w:autoSpaceDN/>
        <w:bidi w:val="0"/>
        <w:adjustRightInd/>
        <w:snapToGrid/>
        <w:spacing w:line="540" w:lineRule="exact"/>
        <w:ind w:firstLine="645"/>
        <w:textAlignment w:val="auto"/>
        <w:rPr>
          <w:rFonts w:hint="eastAsia" w:ascii="仿宋" w:hAnsi="仿宋" w:eastAsia="仿宋" w:cs="仿宋"/>
          <w:bCs/>
          <w:sz w:val="32"/>
          <w:szCs w:val="32"/>
        </w:rPr>
      </w:pPr>
      <w:r>
        <w:rPr>
          <w:rFonts w:hint="eastAsia" w:ascii="仿宋" w:hAnsi="仿宋" w:eastAsia="仿宋" w:cs="仿宋"/>
          <w:kern w:val="1"/>
          <w:sz w:val="32"/>
          <w:szCs w:val="32"/>
          <w:lang w:val="en-US" w:eastAsia="zh-CN"/>
        </w:rPr>
        <w:t>8、</w:t>
      </w:r>
      <w:r>
        <w:rPr>
          <w:rFonts w:hint="eastAsia" w:ascii="仿宋" w:hAnsi="仿宋" w:eastAsia="仿宋"/>
          <w:sz w:val="32"/>
          <w:szCs w:val="32"/>
        </w:rPr>
        <w:t>你公司</w:t>
      </w:r>
      <w:r>
        <w:rPr>
          <w:rFonts w:hint="eastAsia" w:ascii="仿宋" w:hAnsi="仿宋" w:eastAsia="仿宋"/>
          <w:sz w:val="32"/>
          <w:szCs w:val="32"/>
          <w:lang w:eastAsia="zh-CN"/>
        </w:rPr>
        <w:t>须</w:t>
      </w:r>
      <w:r>
        <w:rPr>
          <w:rFonts w:hint="eastAsia" w:ascii="仿宋" w:hAnsi="仿宋" w:eastAsia="仿宋"/>
          <w:sz w:val="32"/>
          <w:szCs w:val="32"/>
        </w:rPr>
        <w:t>在项目建成投运前申请并取得排污许可证或者填报排污登记表。</w:t>
      </w:r>
      <w:r>
        <w:rPr>
          <w:rFonts w:hint="eastAsia" w:ascii="仿宋" w:hAnsi="仿宋" w:eastAsia="仿宋" w:cs="仿宋"/>
          <w:bCs/>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bCs/>
          <w:sz w:val="32"/>
          <w:szCs w:val="32"/>
        </w:rPr>
        <w:t>项目建成后，你单位须对污染防治措施</w:t>
      </w:r>
      <w:r>
        <w:rPr>
          <w:rFonts w:hint="eastAsia" w:ascii="仿宋" w:hAnsi="仿宋" w:eastAsia="仿宋" w:cs="仿宋"/>
          <w:bCs/>
          <w:sz w:val="32"/>
          <w:szCs w:val="32"/>
          <w:lang w:eastAsia="zh-CN"/>
        </w:rPr>
        <w:t>及环评要求</w:t>
      </w:r>
      <w:r>
        <w:rPr>
          <w:rFonts w:hint="eastAsia" w:ascii="仿宋" w:hAnsi="仿宋" w:eastAsia="仿宋" w:cs="仿宋"/>
          <w:bCs/>
          <w:sz w:val="32"/>
          <w:szCs w:val="32"/>
        </w:rPr>
        <w:t>落实情况按建设项目环保验收的相关规定开展验收</w:t>
      </w:r>
      <w:r>
        <w:rPr>
          <w:rFonts w:hint="eastAsia" w:ascii="仿宋" w:hAnsi="仿宋" w:eastAsia="仿宋" w:cs="仿宋"/>
          <w:bCs/>
          <w:sz w:val="32"/>
          <w:szCs w:val="32"/>
          <w:lang w:eastAsia="zh-CN"/>
        </w:rPr>
        <w:t>，验收结果</w:t>
      </w:r>
      <w:r>
        <w:rPr>
          <w:rFonts w:hint="eastAsia" w:ascii="仿宋" w:hAnsi="仿宋" w:eastAsia="仿宋" w:cs="仿宋"/>
          <w:bCs/>
          <w:sz w:val="32"/>
          <w:szCs w:val="32"/>
        </w:rPr>
        <w:t>向社会公开，验收合格方可投入</w:t>
      </w:r>
      <w:r>
        <w:rPr>
          <w:rFonts w:hint="eastAsia" w:ascii="仿宋" w:hAnsi="仿宋" w:eastAsia="仿宋" w:cs="仿宋"/>
          <w:bCs/>
          <w:sz w:val="32"/>
          <w:szCs w:val="32"/>
          <w:lang w:eastAsia="zh-CN"/>
        </w:rPr>
        <w:t>使用。津市市生态环境保护综合行政执法局负责该项目的日常监督管理。</w:t>
      </w:r>
    </w:p>
    <w:p>
      <w:pPr>
        <w:pStyle w:val="2"/>
        <w:keepNext w:val="0"/>
        <w:keepLines w:val="0"/>
        <w:pageBreakBefore w:val="0"/>
        <w:kinsoku/>
        <w:wordWrap/>
        <w:overflowPunct/>
        <w:topLinePunct w:val="0"/>
        <w:autoSpaceDE/>
        <w:autoSpaceDN/>
        <w:bidi w:val="0"/>
        <w:adjustRightInd/>
        <w:snapToGrid/>
        <w:spacing w:after="0"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常德市生态环境局</w:t>
      </w:r>
    </w:p>
    <w:p>
      <w:pPr>
        <w:pStyle w:val="19"/>
        <w:keepNext w:val="0"/>
        <w:keepLines w:val="0"/>
        <w:pageBreakBefore w:val="0"/>
        <w:kinsoku/>
        <w:wordWrap/>
        <w:overflowPunct/>
        <w:topLinePunct w:val="0"/>
        <w:autoSpaceDE/>
        <w:autoSpaceDN/>
        <w:bidi w:val="0"/>
        <w:adjustRightInd/>
        <w:snapToGrid/>
        <w:spacing w:line="540" w:lineRule="exact"/>
        <w:ind w:left="0" w:leftChars="0" w:firstLine="420"/>
        <w:jc w:val="both"/>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CF"/>
    <w:rsid w:val="001A63A2"/>
    <w:rsid w:val="002E3BCF"/>
    <w:rsid w:val="00A31BAD"/>
    <w:rsid w:val="00C8368D"/>
    <w:rsid w:val="03531224"/>
    <w:rsid w:val="059D4CDA"/>
    <w:rsid w:val="07350D8D"/>
    <w:rsid w:val="080C59AB"/>
    <w:rsid w:val="08A57BEE"/>
    <w:rsid w:val="08DC74A1"/>
    <w:rsid w:val="091317BD"/>
    <w:rsid w:val="0A6B1265"/>
    <w:rsid w:val="0E6312CA"/>
    <w:rsid w:val="0FE64562"/>
    <w:rsid w:val="11451195"/>
    <w:rsid w:val="13F86461"/>
    <w:rsid w:val="15FF0C79"/>
    <w:rsid w:val="18163C00"/>
    <w:rsid w:val="18B7155E"/>
    <w:rsid w:val="18C04662"/>
    <w:rsid w:val="1A3B0614"/>
    <w:rsid w:val="1AFD0636"/>
    <w:rsid w:val="1BBB4511"/>
    <w:rsid w:val="1D2B4BEA"/>
    <w:rsid w:val="24FD4725"/>
    <w:rsid w:val="25730BEA"/>
    <w:rsid w:val="2814653F"/>
    <w:rsid w:val="2B20383F"/>
    <w:rsid w:val="2BD53180"/>
    <w:rsid w:val="2D7A0A0B"/>
    <w:rsid w:val="2F082950"/>
    <w:rsid w:val="30DE372B"/>
    <w:rsid w:val="345275BF"/>
    <w:rsid w:val="36680419"/>
    <w:rsid w:val="372B3AB6"/>
    <w:rsid w:val="39A841BF"/>
    <w:rsid w:val="39E05A3C"/>
    <w:rsid w:val="3BB0650E"/>
    <w:rsid w:val="3F88510E"/>
    <w:rsid w:val="446E3575"/>
    <w:rsid w:val="44EB15B3"/>
    <w:rsid w:val="44F56C0B"/>
    <w:rsid w:val="47007913"/>
    <w:rsid w:val="49167305"/>
    <w:rsid w:val="4A271966"/>
    <w:rsid w:val="4AD44F62"/>
    <w:rsid w:val="4D3F19D7"/>
    <w:rsid w:val="4DF16E10"/>
    <w:rsid w:val="4F5672FB"/>
    <w:rsid w:val="5203668B"/>
    <w:rsid w:val="54353E8A"/>
    <w:rsid w:val="56503401"/>
    <w:rsid w:val="57257939"/>
    <w:rsid w:val="57B84D4A"/>
    <w:rsid w:val="57BE6070"/>
    <w:rsid w:val="58CE48BF"/>
    <w:rsid w:val="5BB06C37"/>
    <w:rsid w:val="621D5537"/>
    <w:rsid w:val="64D26767"/>
    <w:rsid w:val="67D06890"/>
    <w:rsid w:val="68925B60"/>
    <w:rsid w:val="6F2E6565"/>
    <w:rsid w:val="6F40218D"/>
    <w:rsid w:val="705249FF"/>
    <w:rsid w:val="70E0724C"/>
    <w:rsid w:val="73D37D82"/>
    <w:rsid w:val="75C636D9"/>
    <w:rsid w:val="76BB05CB"/>
    <w:rsid w:val="78902D6B"/>
    <w:rsid w:val="79302351"/>
    <w:rsid w:val="7B036289"/>
    <w:rsid w:val="7B080398"/>
    <w:rsid w:val="7B964105"/>
    <w:rsid w:val="7BAA5F15"/>
    <w:rsid w:val="7C27037B"/>
    <w:rsid w:val="7CCF6250"/>
    <w:rsid w:val="7F8A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6">
    <w:name w:val="Body Text Indent"/>
    <w:basedOn w:val="1"/>
    <w:qFormat/>
    <w:uiPriority w:val="0"/>
    <w:pPr>
      <w:ind w:firstLine="600"/>
    </w:pPr>
    <w:rPr>
      <w:rFonts w:ascii="宋体"/>
      <w:sz w:val="30"/>
    </w:rPr>
  </w:style>
  <w:style w:type="paragraph" w:styleId="7">
    <w:name w:val="Block Text"/>
    <w:basedOn w:val="1"/>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8">
    <w:name w:val="Body Text Indent 2"/>
    <w:basedOn w:val="1"/>
    <w:qFormat/>
    <w:uiPriority w:val="0"/>
    <w:pPr>
      <w:ind w:firstLine="788" w:firstLineChars="200"/>
    </w:pPr>
    <w:rPr>
      <w:rFonts w:ascii="宋体" w:hAnsi="宋体"/>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2"/>
    <w:qFormat/>
    <w:uiPriority w:val="0"/>
    <w:pPr>
      <w:adjustRightInd w:val="0"/>
      <w:snapToGrid w:val="0"/>
      <w:spacing w:line="360" w:lineRule="auto"/>
      <w:ind w:firstLine="200" w:firstLineChars="200"/>
    </w:pPr>
    <w:rPr>
      <w:sz w:val="24"/>
    </w:rPr>
  </w:style>
  <w:style w:type="paragraph" w:styleId="13">
    <w:name w:val="Body Text First Indent 2"/>
    <w:basedOn w:val="6"/>
    <w:next w:val="1"/>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eastAsia="宋体"/>
      <w:szCs w:val="28"/>
    </w:rPr>
  </w:style>
  <w:style w:type="paragraph" w:customStyle="1" w:styleId="16">
    <w:name w:val="报告正文"/>
    <w:basedOn w:val="1"/>
    <w:qFormat/>
    <w:uiPriority w:val="0"/>
    <w:pPr>
      <w:adjustRightInd w:val="0"/>
      <w:snapToGrid w:val="0"/>
      <w:spacing w:line="360" w:lineRule="auto"/>
      <w:ind w:firstLine="200" w:firstLineChars="200"/>
    </w:pPr>
    <w:rPr>
      <w:rFonts w:ascii="宋体"/>
      <w:sz w:val="24"/>
    </w:rPr>
  </w:style>
  <w:style w:type="paragraph" w:customStyle="1" w:styleId="17">
    <w:name w:val="标准正文"/>
    <w:basedOn w:val="1"/>
    <w:qFormat/>
    <w:uiPriority w:val="0"/>
    <w:pPr>
      <w:spacing w:line="360" w:lineRule="auto"/>
      <w:ind w:firstLine="480" w:firstLineChars="200"/>
    </w:pPr>
    <w:rPr>
      <w:rFonts w:hAnsi="宋体"/>
      <w:sz w:val="24"/>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HP正文"/>
    <w:basedOn w:val="1"/>
    <w:qFormat/>
    <w:uiPriority w:val="0"/>
    <w:pPr>
      <w:widowControl/>
      <w:spacing w:line="360" w:lineRule="auto"/>
      <w:ind w:firstLine="200" w:firstLineChars="200"/>
      <w:jc w:val="left"/>
    </w:pPr>
    <w:rPr>
      <w:sz w:val="24"/>
    </w:rPr>
  </w:style>
  <w:style w:type="paragraph" w:customStyle="1" w:styleId="2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Pages>
  <Words>6</Words>
  <Characters>40</Characters>
  <Lines>1</Lines>
  <Paragraphs>1</Paragraphs>
  <TotalTime>12</TotalTime>
  <ScaleCrop>false</ScaleCrop>
  <LinksUpToDate>false</LinksUpToDate>
  <CharactersWithSpaces>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2020-01-17T01:34:00Z</dcterms:created>
  <dc:creator>Microsoft</dc:creator>
  <cp:lastModifiedBy>晓琳</cp:lastModifiedBy>
  <cp:lastPrinted>2020-12-31T00:47:27Z</cp:lastPrinted>
  <dcterms:modified xsi:type="dcterms:W3CDTF">2020-12-31T00:58:04Z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