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72"/>
        </w:rPr>
      </w:pPr>
    </w:p>
    <w:p>
      <w:pPr>
        <w:jc w:val="center"/>
        <w:rPr>
          <w:b/>
          <w:sz w:val="72"/>
        </w:rPr>
      </w:pPr>
    </w:p>
    <w:p>
      <w:pPr>
        <w:jc w:val="center"/>
        <w:rPr>
          <w:b/>
          <w:sz w:val="72"/>
        </w:rPr>
      </w:pPr>
      <w:r>
        <w:rPr>
          <w:b/>
          <w:sz w:val="72"/>
        </w:rPr>
        <w:t>建设项目环境影响报告表</w:t>
      </w:r>
    </w:p>
    <w:p>
      <w:pPr>
        <w:jc w:val="center"/>
        <w:rPr>
          <w:rFonts w:hint="eastAsia"/>
          <w:b/>
          <w:sz w:val="32"/>
          <w:szCs w:val="32"/>
        </w:rPr>
      </w:pPr>
    </w:p>
    <w:p>
      <w:pPr>
        <w:jc w:val="center"/>
        <w:rPr>
          <w:b/>
          <w:sz w:val="72"/>
        </w:rPr>
      </w:pPr>
      <w:r>
        <w:rPr>
          <w:rFonts w:hint="eastAsia"/>
          <w:b/>
          <w:sz w:val="32"/>
          <w:szCs w:val="32"/>
        </w:rPr>
        <w:t>（</w:t>
      </w:r>
      <w:r>
        <w:rPr>
          <w:rFonts w:hint="eastAsia"/>
          <w:b/>
          <w:sz w:val="32"/>
          <w:szCs w:val="32"/>
          <w:lang w:eastAsia="zh-CN"/>
        </w:rPr>
        <w:t>报批稿</w:t>
      </w:r>
      <w:r>
        <w:rPr>
          <w:rFonts w:hint="eastAsia"/>
          <w:b/>
          <w:sz w:val="32"/>
          <w:szCs w:val="32"/>
        </w:rPr>
        <w:t>）</w:t>
      </w:r>
    </w:p>
    <w:p>
      <w:pPr>
        <w:rPr>
          <w:sz w:val="32"/>
        </w:rPr>
      </w:pPr>
    </w:p>
    <w:p>
      <w:pPr>
        <w:rPr>
          <w:sz w:val="32"/>
        </w:rPr>
      </w:pPr>
    </w:p>
    <w:p>
      <w:pPr>
        <w:rPr>
          <w:sz w:val="32"/>
        </w:rPr>
      </w:pPr>
    </w:p>
    <w:p>
      <w:pPr>
        <w:rPr>
          <w:sz w:val="32"/>
        </w:rPr>
      </w:pPr>
    </w:p>
    <w:p>
      <w:pPr>
        <w:rPr>
          <w:sz w:val="32"/>
        </w:rPr>
      </w:pPr>
    </w:p>
    <w:p>
      <w:pPr>
        <w:spacing w:line="600" w:lineRule="auto"/>
        <w:ind w:firstLine="482" w:firstLineChars="150"/>
        <w:rPr>
          <w:b/>
          <w:bCs/>
          <w:sz w:val="32"/>
          <w:szCs w:val="32"/>
          <w:u w:val="single"/>
        </w:rPr>
      </w:pPr>
      <w:r>
        <w:rPr>
          <w:b/>
          <w:bCs/>
          <w:sz w:val="32"/>
        </w:rPr>
        <w:t>项目名称：</w:t>
      </w:r>
      <w:r>
        <w:rPr>
          <w:rFonts w:hint="eastAsia"/>
          <w:b/>
          <w:bCs/>
          <w:sz w:val="32"/>
          <w:szCs w:val="32"/>
          <w:u w:val="single"/>
          <w:lang w:eastAsia="zh-CN"/>
        </w:rPr>
        <w:t>年产23万吨环保型配合饲料项目</w:t>
      </w:r>
      <w:r>
        <w:rPr>
          <w:rFonts w:hint="eastAsia"/>
          <w:b/>
          <w:bCs/>
          <w:sz w:val="32"/>
          <w:szCs w:val="32"/>
          <w:u w:val="single"/>
          <w:lang w:val="en-US" w:eastAsia="zh-CN"/>
        </w:rPr>
        <w:t xml:space="preserve">       </w:t>
      </w:r>
      <w:r>
        <w:rPr>
          <w:rFonts w:hint="eastAsia"/>
          <w:b/>
          <w:bCs/>
          <w:sz w:val="32"/>
          <w:szCs w:val="32"/>
          <w:u w:val="single"/>
        </w:rPr>
        <w:t xml:space="preserve">  </w:t>
      </w:r>
    </w:p>
    <w:p>
      <w:pPr>
        <w:spacing w:line="600" w:lineRule="auto"/>
        <w:rPr>
          <w:b/>
          <w:bCs/>
          <w:sz w:val="32"/>
          <w:u w:val="single"/>
        </w:rPr>
      </w:pPr>
      <w:r>
        <w:rPr>
          <w:b/>
          <w:bCs/>
          <w:sz w:val="32"/>
        </w:rPr>
        <w:t xml:space="preserve">   建设单位：</w:t>
      </w:r>
      <w:r>
        <w:rPr>
          <w:rFonts w:hint="eastAsia"/>
          <w:b/>
          <w:bCs/>
          <w:sz w:val="32"/>
          <w:u w:val="single"/>
          <w:lang w:eastAsia="zh-CN"/>
        </w:rPr>
        <w:t>常德市汇海饲料有限公司</w:t>
      </w:r>
      <w:r>
        <w:rPr>
          <w:b/>
          <w:bCs/>
          <w:sz w:val="32"/>
          <w:u w:val="single"/>
        </w:rPr>
        <w:t xml:space="preserve"> </w:t>
      </w:r>
      <w:r>
        <w:rPr>
          <w:rFonts w:hint="eastAsia"/>
          <w:b/>
          <w:bCs/>
          <w:sz w:val="32"/>
          <w:u w:val="single"/>
          <w:lang w:val="en-US" w:eastAsia="zh-CN"/>
        </w:rPr>
        <w:t xml:space="preserve">        </w:t>
      </w:r>
      <w:r>
        <w:rPr>
          <w:b/>
          <w:bCs/>
          <w:sz w:val="32"/>
          <w:u w:val="single"/>
        </w:rPr>
        <w:t xml:space="preserve">  </w:t>
      </w:r>
      <w:r>
        <w:rPr>
          <w:rFonts w:hint="eastAsia"/>
          <w:b/>
          <w:bCs/>
          <w:sz w:val="32"/>
          <w:u w:val="single"/>
        </w:rPr>
        <w:t xml:space="preserve">     </w:t>
      </w:r>
    </w:p>
    <w:p>
      <w:pPr>
        <w:rPr>
          <w:sz w:val="32"/>
          <w:u w:val="single"/>
        </w:rPr>
      </w:pPr>
    </w:p>
    <w:p>
      <w:pPr>
        <w:rPr>
          <w:sz w:val="32"/>
          <w:u w:val="single"/>
        </w:rPr>
      </w:pPr>
    </w:p>
    <w:p>
      <w:pPr>
        <w:rPr>
          <w:sz w:val="32"/>
          <w:u w:val="single"/>
        </w:rPr>
      </w:pPr>
    </w:p>
    <w:p>
      <w:pPr>
        <w:rPr>
          <w:sz w:val="32"/>
          <w:u w:val="single"/>
        </w:rPr>
      </w:pPr>
    </w:p>
    <w:p>
      <w:pPr>
        <w:rPr>
          <w:sz w:val="32"/>
          <w:u w:val="single"/>
        </w:rPr>
      </w:pPr>
    </w:p>
    <w:p>
      <w:pPr>
        <w:spacing w:line="360" w:lineRule="auto"/>
        <w:jc w:val="center"/>
        <w:rPr>
          <w:rFonts w:hint="eastAsia"/>
          <w:b/>
          <w:bCs/>
          <w:sz w:val="32"/>
        </w:rPr>
      </w:pPr>
      <w:r>
        <w:rPr>
          <w:rFonts w:hint="eastAsia"/>
          <w:b/>
          <w:bCs/>
          <w:sz w:val="32"/>
        </w:rPr>
        <w:t>湖南志远环境咨询服务有限公司</w:t>
      </w:r>
    </w:p>
    <w:p>
      <w:pPr>
        <w:spacing w:line="360" w:lineRule="auto"/>
        <w:jc w:val="center"/>
        <w:rPr>
          <w:b/>
          <w:bCs/>
          <w:spacing w:val="40"/>
          <w:sz w:val="32"/>
        </w:rPr>
      </w:pPr>
      <w:r>
        <w:rPr>
          <w:b/>
          <w:bCs/>
          <w:spacing w:val="40"/>
          <w:sz w:val="32"/>
        </w:rPr>
        <w:t>二</w:t>
      </w:r>
      <w:r>
        <w:rPr>
          <w:b/>
          <w:bCs/>
          <w:sz w:val="32"/>
        </w:rPr>
        <w:t>〇</w:t>
      </w:r>
      <w:r>
        <w:rPr>
          <w:rFonts w:hint="eastAsia"/>
          <w:b/>
          <w:bCs/>
          <w:sz w:val="32"/>
          <w:lang w:eastAsia="zh-CN"/>
        </w:rPr>
        <w:t>二一</w:t>
      </w:r>
      <w:r>
        <w:rPr>
          <w:b/>
          <w:bCs/>
          <w:spacing w:val="40"/>
          <w:sz w:val="32"/>
        </w:rPr>
        <w:t>年</w:t>
      </w:r>
      <w:r>
        <w:rPr>
          <w:rFonts w:hint="eastAsia"/>
          <w:b/>
          <w:bCs/>
          <w:spacing w:val="40"/>
          <w:sz w:val="32"/>
          <w:lang w:eastAsia="zh-CN"/>
        </w:rPr>
        <w:t>一</w:t>
      </w:r>
      <w:r>
        <w:rPr>
          <w:b/>
          <w:bCs/>
          <w:spacing w:val="40"/>
          <w:sz w:val="32"/>
        </w:rPr>
        <w:t>月</w:t>
      </w:r>
    </w:p>
    <w:p>
      <w:pPr>
        <w:pStyle w:val="29"/>
      </w:pPr>
    </w:p>
    <w:p/>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rFonts w:hint="eastAsia"/>
          <w:b/>
          <w:sz w:val="32"/>
          <w:szCs w:val="32"/>
          <w:lang w:eastAsia="zh-CN"/>
        </w:rPr>
      </w:pPr>
    </w:p>
    <w:p>
      <w:pPr>
        <w:pStyle w:val="15"/>
        <w:spacing w:line="360" w:lineRule="auto"/>
        <w:rPr>
          <w:b/>
          <w:sz w:val="32"/>
          <w:szCs w:val="32"/>
        </w:rPr>
      </w:pPr>
      <w:r>
        <w:rPr>
          <w:rFonts w:hint="eastAsia"/>
          <w:b/>
          <w:sz w:val="32"/>
          <w:szCs w:val="32"/>
          <w:lang w:eastAsia="zh-CN"/>
        </w:rPr>
        <w:t>《</w:t>
      </w:r>
      <w:r>
        <w:rPr>
          <w:rFonts w:hint="eastAsia"/>
          <w:b/>
          <w:sz w:val="32"/>
          <w:szCs w:val="32"/>
        </w:rPr>
        <w:t>建设项目环境影响报告表</w:t>
      </w:r>
      <w:r>
        <w:rPr>
          <w:rFonts w:hint="eastAsia"/>
          <w:b/>
          <w:sz w:val="32"/>
          <w:szCs w:val="32"/>
          <w:lang w:eastAsia="zh-CN"/>
        </w:rPr>
        <w:t>》</w:t>
      </w:r>
      <w:r>
        <w:rPr>
          <w:rFonts w:hint="eastAsia"/>
          <w:b/>
          <w:sz w:val="32"/>
          <w:szCs w:val="32"/>
        </w:rPr>
        <w:t>编制说明</w:t>
      </w:r>
    </w:p>
    <w:p/>
    <w:p>
      <w:pPr>
        <w:pStyle w:val="33"/>
        <w:spacing w:line="360" w:lineRule="auto"/>
        <w:ind w:left="0" w:firstLine="560" w:firstLineChars="200"/>
        <w:jc w:val="both"/>
        <w:rPr>
          <w:sz w:val="28"/>
          <w:szCs w:val="28"/>
        </w:rPr>
      </w:pPr>
      <w:r>
        <w:rPr>
          <w:rFonts w:hAnsi="宋体"/>
          <w:sz w:val="28"/>
          <w:szCs w:val="28"/>
        </w:rPr>
        <w:t>《建设项目环境影响报告表》由具有从事环境影响评价资质的单位编制。</w:t>
      </w:r>
    </w:p>
    <w:p>
      <w:pPr>
        <w:pStyle w:val="33"/>
        <w:spacing w:line="360" w:lineRule="auto"/>
        <w:ind w:firstLine="480" w:firstLineChars="200"/>
        <w:jc w:val="both"/>
        <w:rPr>
          <w:sz w:val="28"/>
          <w:szCs w:val="28"/>
        </w:rPr>
      </w:pPr>
      <w:r>
        <w:rPr>
          <w:szCs w:val="24"/>
        </w:rPr>
        <w:t xml:space="preserve"> </w:t>
      </w:r>
      <w:r>
        <w:rPr>
          <w:sz w:val="28"/>
          <w:szCs w:val="28"/>
        </w:rPr>
        <w:t>1</w:t>
      </w:r>
      <w:r>
        <w:rPr>
          <w:rFonts w:hAnsi="宋体"/>
          <w:sz w:val="28"/>
          <w:szCs w:val="28"/>
        </w:rPr>
        <w:t>、项目名称：指项目立项批复时的名称，应不超过</w:t>
      </w:r>
      <w:r>
        <w:rPr>
          <w:sz w:val="28"/>
          <w:szCs w:val="28"/>
        </w:rPr>
        <w:t>30</w:t>
      </w:r>
      <w:r>
        <w:rPr>
          <w:rFonts w:hAnsi="宋体"/>
          <w:sz w:val="28"/>
          <w:szCs w:val="28"/>
        </w:rPr>
        <w:t>个字（两个英文字段作一个汉字）。</w:t>
      </w:r>
    </w:p>
    <w:p>
      <w:pPr>
        <w:pStyle w:val="33"/>
        <w:spacing w:line="360" w:lineRule="auto"/>
        <w:ind w:firstLine="560" w:firstLineChars="200"/>
        <w:jc w:val="both"/>
        <w:rPr>
          <w:sz w:val="28"/>
          <w:szCs w:val="28"/>
        </w:rPr>
      </w:pPr>
      <w:r>
        <w:rPr>
          <w:sz w:val="28"/>
          <w:szCs w:val="28"/>
        </w:rPr>
        <w:t>2</w:t>
      </w:r>
      <w:r>
        <w:rPr>
          <w:rFonts w:hAnsi="宋体"/>
          <w:sz w:val="28"/>
          <w:szCs w:val="28"/>
        </w:rPr>
        <w:t>、建设地点：指项目所在地详细地址，公路、铁路应填写起止地点。</w:t>
      </w:r>
    </w:p>
    <w:p>
      <w:pPr>
        <w:pStyle w:val="33"/>
        <w:spacing w:line="360" w:lineRule="auto"/>
        <w:ind w:firstLine="560" w:firstLineChars="200"/>
        <w:jc w:val="both"/>
        <w:rPr>
          <w:sz w:val="28"/>
          <w:szCs w:val="28"/>
        </w:rPr>
      </w:pPr>
      <w:r>
        <w:rPr>
          <w:sz w:val="28"/>
          <w:szCs w:val="28"/>
        </w:rPr>
        <w:t>3</w:t>
      </w:r>
      <w:r>
        <w:rPr>
          <w:rFonts w:hAnsi="宋体"/>
          <w:sz w:val="28"/>
          <w:szCs w:val="28"/>
        </w:rPr>
        <w:t>、行业类别：按国标填写。</w:t>
      </w:r>
    </w:p>
    <w:p>
      <w:pPr>
        <w:pStyle w:val="33"/>
        <w:spacing w:line="360" w:lineRule="auto"/>
        <w:ind w:firstLine="560" w:firstLineChars="200"/>
        <w:jc w:val="both"/>
        <w:rPr>
          <w:sz w:val="28"/>
          <w:szCs w:val="28"/>
        </w:rPr>
      </w:pPr>
      <w:r>
        <w:rPr>
          <w:sz w:val="28"/>
          <w:szCs w:val="28"/>
        </w:rPr>
        <w:t>4</w:t>
      </w:r>
      <w:r>
        <w:rPr>
          <w:rFonts w:hAnsi="宋体"/>
          <w:sz w:val="28"/>
          <w:szCs w:val="28"/>
        </w:rPr>
        <w:t>、总投资：指项目投资总额。</w:t>
      </w:r>
    </w:p>
    <w:p>
      <w:pPr>
        <w:pStyle w:val="33"/>
        <w:spacing w:line="360" w:lineRule="auto"/>
        <w:ind w:firstLine="560" w:firstLineChars="200"/>
        <w:jc w:val="both"/>
        <w:rPr>
          <w:sz w:val="28"/>
          <w:szCs w:val="28"/>
        </w:rPr>
      </w:pPr>
      <w:r>
        <w:rPr>
          <w:sz w:val="28"/>
          <w:szCs w:val="28"/>
        </w:rPr>
        <w:t>5</w:t>
      </w:r>
      <w:r>
        <w:rPr>
          <w:rFonts w:hAnsi="宋体"/>
          <w:sz w:val="28"/>
          <w:szCs w:val="28"/>
        </w:rPr>
        <w:t>、主要环境保护目标：指项目周围一定范围内集中居民住宅区、学校、医院、保护文物、风景名胜区、水源地和生态敏感点等，应尽可能给出保护目标、性质、规模和距厂界距离等。</w:t>
      </w:r>
    </w:p>
    <w:p>
      <w:pPr>
        <w:pStyle w:val="33"/>
        <w:spacing w:line="360" w:lineRule="auto"/>
        <w:ind w:firstLine="560" w:firstLineChars="200"/>
        <w:jc w:val="both"/>
        <w:rPr>
          <w:sz w:val="28"/>
          <w:szCs w:val="28"/>
        </w:rPr>
      </w:pPr>
      <w:r>
        <w:rPr>
          <w:sz w:val="28"/>
          <w:szCs w:val="28"/>
        </w:rPr>
        <w:t>6</w:t>
      </w:r>
      <w:r>
        <w:rPr>
          <w:rFonts w:hAnsi="宋体"/>
          <w:sz w:val="28"/>
          <w:szCs w:val="28"/>
        </w:rPr>
        <w:t>、结论与建议：给出本项目清洁生产、达标排放和总量控制的分析结论，确定污染防治措施的有效性，说明本项目对环境造成的影响，给出建议项目环境可行性的明确结论。同时提出减少环境影响的其它建议。</w:t>
      </w:r>
    </w:p>
    <w:p>
      <w:pPr>
        <w:pStyle w:val="33"/>
        <w:spacing w:line="360" w:lineRule="auto"/>
        <w:ind w:firstLine="560" w:firstLineChars="200"/>
        <w:jc w:val="both"/>
        <w:rPr>
          <w:rFonts w:hAnsi="宋体"/>
          <w:sz w:val="28"/>
          <w:szCs w:val="28"/>
        </w:rPr>
      </w:pPr>
      <w:r>
        <w:rPr>
          <w:sz w:val="28"/>
          <w:szCs w:val="28"/>
        </w:rPr>
        <w:t>7</w:t>
      </w:r>
      <w:r>
        <w:rPr>
          <w:rFonts w:hAnsi="宋体"/>
          <w:sz w:val="28"/>
          <w:szCs w:val="28"/>
        </w:rPr>
        <w:t>、预审意见：由行业主管部门填写答复意见，无主管部门项目，可不填。</w:t>
      </w:r>
    </w:p>
    <w:p>
      <w:pPr>
        <w:pStyle w:val="33"/>
        <w:spacing w:line="360" w:lineRule="auto"/>
        <w:ind w:firstLine="560" w:firstLineChars="200"/>
        <w:jc w:val="both"/>
        <w:rPr>
          <w:rFonts w:hAnsi="宋体"/>
          <w:sz w:val="28"/>
          <w:szCs w:val="28"/>
        </w:rPr>
      </w:pPr>
      <w:r>
        <w:rPr>
          <w:sz w:val="28"/>
          <w:szCs w:val="28"/>
        </w:rPr>
        <w:t>8</w:t>
      </w:r>
      <w:r>
        <w:rPr>
          <w:rFonts w:hAnsi="宋体"/>
          <w:sz w:val="28"/>
          <w:szCs w:val="28"/>
        </w:rPr>
        <w:t>、审批意见：由负责审批该项目的环境保护行政主管部门批复</w:t>
      </w:r>
      <w:r>
        <w:rPr>
          <w:rFonts w:hint="eastAsia" w:hAnsi="宋体"/>
          <w:sz w:val="28"/>
          <w:szCs w:val="28"/>
        </w:rPr>
        <w:t>。</w:t>
      </w:r>
      <w:r>
        <w:rPr>
          <w:rFonts w:hAnsi="宋体"/>
          <w:sz w:val="28"/>
          <w:szCs w:val="28"/>
        </w:rPr>
        <w:br w:type="page"/>
      </w:r>
    </w:p>
    <w:p>
      <w:pPr>
        <w:pStyle w:val="33"/>
        <w:spacing w:line="360" w:lineRule="auto"/>
        <w:ind w:firstLine="560" w:firstLineChars="200"/>
        <w:jc w:val="both"/>
        <w:rPr>
          <w:rFonts w:hAnsi="宋体"/>
          <w:sz w:val="28"/>
          <w:szCs w:val="28"/>
        </w:rPr>
        <w:sectPr>
          <w:headerReference r:id="rId3" w:type="default"/>
          <w:footerReference r:id="rId4" w:type="default"/>
          <w:pgSz w:w="11906" w:h="16838"/>
          <w:pgMar w:top="1417" w:right="1587" w:bottom="1417" w:left="1587"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3"/>
        <w:snapToGrid/>
        <w:spacing w:beforeLines="0" w:afterLines="0"/>
        <w:contextualSpacing/>
        <w:jc w:val="left"/>
        <w:rPr>
          <w:rFonts w:hint="default" w:ascii="Times New Roman" w:hAnsi="Times New Roman" w:cs="Times New Roman"/>
          <w:b/>
          <w:bCs w:val="0"/>
          <w:sz w:val="32"/>
          <w:szCs w:val="32"/>
        </w:rPr>
      </w:pPr>
      <w:r>
        <w:rPr>
          <w:rFonts w:hint="default" w:ascii="Times New Roman" w:hAnsi="Times New Roman" w:cs="Times New Roman"/>
          <w:b/>
          <w:bCs w:val="0"/>
          <w:sz w:val="32"/>
          <w:szCs w:val="32"/>
        </w:rPr>
        <w:t>1建设项目基本情况</w:t>
      </w:r>
    </w:p>
    <w:tbl>
      <w:tblPr>
        <w:tblStyle w:val="2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572"/>
        <w:gridCol w:w="288"/>
        <w:gridCol w:w="1143"/>
        <w:gridCol w:w="145"/>
        <w:gridCol w:w="1430"/>
        <w:gridCol w:w="154"/>
        <w:gridCol w:w="1292"/>
        <w:gridCol w:w="533"/>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483" w:type="dxa"/>
            <w:vAlign w:val="center"/>
          </w:tcPr>
          <w:p>
            <w:pPr>
              <w:spacing w:line="312" w:lineRule="auto"/>
              <w:jc w:val="center"/>
              <w:rPr>
                <w:sz w:val="24"/>
              </w:rPr>
            </w:pPr>
            <w:r>
              <w:rPr>
                <w:sz w:val="24"/>
              </w:rPr>
              <w:t>项目名称</w:t>
            </w:r>
          </w:p>
        </w:tc>
        <w:tc>
          <w:tcPr>
            <w:tcW w:w="7589" w:type="dxa"/>
            <w:gridSpan w:val="9"/>
            <w:vAlign w:val="center"/>
          </w:tcPr>
          <w:p>
            <w:pPr>
              <w:spacing w:line="312" w:lineRule="auto"/>
              <w:jc w:val="center"/>
              <w:rPr>
                <w:rFonts w:hint="eastAsia" w:eastAsia="宋体"/>
                <w:sz w:val="24"/>
                <w:lang w:eastAsia="zh-CN"/>
              </w:rPr>
            </w:pPr>
            <w:r>
              <w:rPr>
                <w:rFonts w:hint="eastAsia"/>
                <w:sz w:val="24"/>
                <w:lang w:eastAsia="zh-CN"/>
              </w:rPr>
              <w:t>年产23万吨环保型配合饲料项目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vAlign w:val="center"/>
          </w:tcPr>
          <w:p>
            <w:pPr>
              <w:spacing w:line="312" w:lineRule="auto"/>
              <w:jc w:val="center"/>
              <w:rPr>
                <w:sz w:val="24"/>
              </w:rPr>
            </w:pPr>
            <w:r>
              <w:rPr>
                <w:sz w:val="24"/>
              </w:rPr>
              <w:t>建设单位</w:t>
            </w:r>
          </w:p>
        </w:tc>
        <w:tc>
          <w:tcPr>
            <w:tcW w:w="7589" w:type="dxa"/>
            <w:gridSpan w:val="9"/>
            <w:vAlign w:val="center"/>
          </w:tcPr>
          <w:p>
            <w:pPr>
              <w:spacing w:line="312" w:lineRule="auto"/>
              <w:jc w:val="center"/>
              <w:rPr>
                <w:sz w:val="24"/>
              </w:rPr>
            </w:pPr>
            <w:r>
              <w:rPr>
                <w:rFonts w:hint="eastAsia"/>
                <w:sz w:val="24"/>
                <w:lang w:eastAsia="zh-CN"/>
              </w:rPr>
              <w:t>常德市汇海饲料有限公司</w:t>
            </w:r>
            <w:r>
              <w:rPr>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vAlign w:val="center"/>
          </w:tcPr>
          <w:p>
            <w:pPr>
              <w:spacing w:line="312" w:lineRule="auto"/>
              <w:jc w:val="center"/>
              <w:rPr>
                <w:sz w:val="24"/>
              </w:rPr>
            </w:pPr>
            <w:r>
              <w:rPr>
                <w:sz w:val="24"/>
              </w:rPr>
              <w:t>法人代表</w:t>
            </w:r>
          </w:p>
        </w:tc>
        <w:tc>
          <w:tcPr>
            <w:tcW w:w="3003" w:type="dxa"/>
            <w:gridSpan w:val="3"/>
            <w:vAlign w:val="center"/>
          </w:tcPr>
          <w:p>
            <w:pPr>
              <w:spacing w:line="312" w:lineRule="auto"/>
              <w:jc w:val="center"/>
              <w:rPr>
                <w:rFonts w:hint="eastAsia" w:eastAsia="宋体"/>
                <w:sz w:val="24"/>
                <w:lang w:eastAsia="zh-CN"/>
              </w:rPr>
            </w:pPr>
            <w:r>
              <w:rPr>
                <w:rFonts w:hint="eastAsia" w:cs="Times New Roman"/>
                <w:sz w:val="24"/>
                <w:szCs w:val="24"/>
                <w:lang w:val="en-US" w:eastAsia="zh-CN"/>
              </w:rPr>
              <w:t>蒋云中</w:t>
            </w:r>
          </w:p>
        </w:tc>
        <w:tc>
          <w:tcPr>
            <w:tcW w:w="1729" w:type="dxa"/>
            <w:gridSpan w:val="3"/>
            <w:vAlign w:val="center"/>
          </w:tcPr>
          <w:p>
            <w:pPr>
              <w:spacing w:line="312" w:lineRule="auto"/>
              <w:jc w:val="center"/>
              <w:rPr>
                <w:sz w:val="24"/>
              </w:rPr>
            </w:pPr>
            <w:r>
              <w:rPr>
                <w:sz w:val="24"/>
              </w:rPr>
              <w:t>联系人</w:t>
            </w:r>
          </w:p>
        </w:tc>
        <w:tc>
          <w:tcPr>
            <w:tcW w:w="2857" w:type="dxa"/>
            <w:gridSpan w:val="3"/>
            <w:vAlign w:val="center"/>
          </w:tcPr>
          <w:p>
            <w:pPr>
              <w:spacing w:line="312" w:lineRule="auto"/>
              <w:jc w:val="center"/>
              <w:rPr>
                <w:rFonts w:hint="eastAsia" w:eastAsia="宋体"/>
                <w:sz w:val="24"/>
                <w:lang w:eastAsia="zh-CN"/>
              </w:rPr>
            </w:pPr>
            <w:r>
              <w:rPr>
                <w:rFonts w:hint="eastAsia" w:cs="Times New Roman"/>
                <w:sz w:val="24"/>
                <w:szCs w:val="24"/>
                <w:lang w:val="en-US" w:eastAsia="zh-CN"/>
              </w:rPr>
              <w:t>殷举亮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3" w:type="dxa"/>
            <w:vAlign w:val="center"/>
          </w:tcPr>
          <w:p>
            <w:pPr>
              <w:spacing w:line="312" w:lineRule="auto"/>
              <w:jc w:val="center"/>
              <w:rPr>
                <w:sz w:val="24"/>
              </w:rPr>
            </w:pPr>
            <w:r>
              <w:rPr>
                <w:sz w:val="24"/>
              </w:rPr>
              <w:t>通讯地址</w:t>
            </w:r>
          </w:p>
        </w:tc>
        <w:tc>
          <w:tcPr>
            <w:tcW w:w="7589" w:type="dxa"/>
            <w:gridSpan w:val="9"/>
            <w:vAlign w:val="center"/>
          </w:tcPr>
          <w:p>
            <w:pPr>
              <w:spacing w:line="312" w:lineRule="auto"/>
              <w:jc w:val="center"/>
              <w:rPr>
                <w:rFonts w:hint="eastAsia" w:eastAsia="宋体"/>
                <w:sz w:val="24"/>
                <w:lang w:eastAsia="zh-CN"/>
              </w:rPr>
            </w:pPr>
            <w:r>
              <w:rPr>
                <w:rFonts w:hint="eastAsia" w:ascii="Times New Roman" w:hAnsi="Times New Roman" w:cs="Times New Roman"/>
                <w:sz w:val="24"/>
                <w:lang w:val="en-US" w:eastAsia="zh-CN"/>
              </w:rPr>
              <w:t>津市高新区周家铺路以西创业路以北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vAlign w:val="center"/>
          </w:tcPr>
          <w:p>
            <w:pPr>
              <w:spacing w:line="312" w:lineRule="auto"/>
              <w:jc w:val="center"/>
              <w:rPr>
                <w:sz w:val="24"/>
              </w:rPr>
            </w:pPr>
            <w:r>
              <w:rPr>
                <w:sz w:val="24"/>
              </w:rPr>
              <w:t>联系电话</w:t>
            </w:r>
          </w:p>
        </w:tc>
        <w:tc>
          <w:tcPr>
            <w:tcW w:w="1860" w:type="dxa"/>
            <w:gridSpan w:val="2"/>
            <w:vAlign w:val="center"/>
          </w:tcPr>
          <w:p>
            <w:pPr>
              <w:spacing w:line="312" w:lineRule="auto"/>
              <w:jc w:val="center"/>
              <w:rPr>
                <w:rFonts w:hint="eastAsia" w:eastAsia="宋体"/>
                <w:sz w:val="24"/>
                <w:lang w:val="en-US" w:eastAsia="zh-CN"/>
              </w:rPr>
            </w:pPr>
            <w:r>
              <w:rPr>
                <w:rFonts w:hint="eastAsia" w:ascii="Times New Roman" w:hAnsi="Times New Roman" w:cs="Times New Roman"/>
                <w:sz w:val="24"/>
                <w:szCs w:val="24"/>
                <w:lang w:val="en-US" w:eastAsia="zh-CN"/>
              </w:rPr>
              <w:t>13907147094</w:t>
            </w:r>
          </w:p>
        </w:tc>
        <w:tc>
          <w:tcPr>
            <w:tcW w:w="1143" w:type="dxa"/>
            <w:vAlign w:val="center"/>
          </w:tcPr>
          <w:p>
            <w:pPr>
              <w:spacing w:line="312" w:lineRule="auto"/>
              <w:jc w:val="center"/>
              <w:rPr>
                <w:sz w:val="24"/>
              </w:rPr>
            </w:pPr>
            <w:r>
              <w:rPr>
                <w:sz w:val="24"/>
              </w:rPr>
              <w:t>传真</w:t>
            </w:r>
          </w:p>
        </w:tc>
        <w:tc>
          <w:tcPr>
            <w:tcW w:w="1575" w:type="dxa"/>
            <w:gridSpan w:val="2"/>
            <w:vAlign w:val="center"/>
          </w:tcPr>
          <w:p>
            <w:pPr>
              <w:spacing w:line="312" w:lineRule="auto"/>
              <w:jc w:val="center"/>
              <w:rPr>
                <w:sz w:val="24"/>
              </w:rPr>
            </w:pPr>
            <w:r>
              <w:rPr>
                <w:sz w:val="24"/>
              </w:rPr>
              <w:t>/</w:t>
            </w:r>
          </w:p>
        </w:tc>
        <w:tc>
          <w:tcPr>
            <w:tcW w:w="1446" w:type="dxa"/>
            <w:gridSpan w:val="2"/>
            <w:vAlign w:val="center"/>
          </w:tcPr>
          <w:p>
            <w:pPr>
              <w:spacing w:line="312" w:lineRule="auto"/>
              <w:jc w:val="center"/>
              <w:rPr>
                <w:sz w:val="24"/>
              </w:rPr>
            </w:pPr>
            <w:r>
              <w:rPr>
                <w:sz w:val="24"/>
              </w:rPr>
              <w:t>邮政编码</w:t>
            </w:r>
          </w:p>
        </w:tc>
        <w:tc>
          <w:tcPr>
            <w:tcW w:w="1565" w:type="dxa"/>
            <w:gridSpan w:val="2"/>
            <w:vAlign w:val="center"/>
          </w:tcPr>
          <w:p>
            <w:pPr>
              <w:spacing w:line="312" w:lineRule="auto"/>
              <w:jc w:val="center"/>
              <w:rPr>
                <w:rFonts w:hint="eastAsia" w:eastAsia="宋体"/>
                <w:sz w:val="24"/>
                <w:lang w:val="en-US" w:eastAsia="zh-CN"/>
              </w:rPr>
            </w:pPr>
            <w:r>
              <w:rPr>
                <w:sz w:val="24"/>
              </w:rPr>
              <w:t>415</w:t>
            </w:r>
            <w:r>
              <w:rPr>
                <w:rFonts w:hint="eastAsia"/>
                <w:sz w:val="24"/>
                <w:lang w:val="en-US" w:eastAsia="zh-CN"/>
              </w:rPr>
              <w:t>4</w:t>
            </w:r>
            <w:r>
              <w:rPr>
                <w:sz w:val="24"/>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vAlign w:val="center"/>
          </w:tcPr>
          <w:p>
            <w:pPr>
              <w:spacing w:line="312" w:lineRule="auto"/>
              <w:jc w:val="center"/>
              <w:rPr>
                <w:sz w:val="24"/>
              </w:rPr>
            </w:pPr>
            <w:r>
              <w:rPr>
                <w:sz w:val="24"/>
              </w:rPr>
              <w:t>建设地点</w:t>
            </w:r>
          </w:p>
        </w:tc>
        <w:tc>
          <w:tcPr>
            <w:tcW w:w="7589" w:type="dxa"/>
            <w:gridSpan w:val="9"/>
            <w:vAlign w:val="center"/>
          </w:tcPr>
          <w:p>
            <w:pPr>
              <w:spacing w:line="312" w:lineRule="auto"/>
              <w:jc w:val="center"/>
              <w:rPr>
                <w:rFonts w:hint="eastAsia" w:eastAsia="宋体"/>
                <w:sz w:val="24"/>
                <w:lang w:eastAsia="zh-CN"/>
              </w:rPr>
            </w:pPr>
            <w:r>
              <w:rPr>
                <w:rFonts w:hint="eastAsia" w:ascii="Times New Roman" w:hAnsi="Times New Roman" w:cs="Times New Roman"/>
                <w:sz w:val="24"/>
                <w:lang w:val="en-US" w:eastAsia="zh-CN"/>
              </w:rPr>
              <w:t>津市高新区周家铺路以西创业路以北地块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83" w:type="dxa"/>
            <w:vAlign w:val="center"/>
          </w:tcPr>
          <w:p>
            <w:pPr>
              <w:spacing w:line="312" w:lineRule="auto"/>
              <w:jc w:val="center"/>
              <w:rPr>
                <w:sz w:val="24"/>
              </w:rPr>
            </w:pPr>
            <w:r>
              <w:rPr>
                <w:sz w:val="24"/>
              </w:rPr>
              <w:t>备案部门</w:t>
            </w:r>
          </w:p>
        </w:tc>
        <w:tc>
          <w:tcPr>
            <w:tcW w:w="3148" w:type="dxa"/>
            <w:gridSpan w:val="4"/>
            <w:vAlign w:val="center"/>
          </w:tcPr>
          <w:p>
            <w:pPr>
              <w:spacing w:line="312" w:lineRule="auto"/>
              <w:jc w:val="center"/>
              <w:rPr>
                <w:sz w:val="24"/>
              </w:rPr>
            </w:pPr>
            <w:r>
              <w:rPr>
                <w:rFonts w:hint="eastAsia"/>
                <w:sz w:val="24"/>
                <w:lang w:eastAsia="zh-CN"/>
              </w:rPr>
              <w:t>津市市</w:t>
            </w:r>
            <w:r>
              <w:rPr>
                <w:sz w:val="24"/>
              </w:rPr>
              <w:t>发展和改革局</w:t>
            </w:r>
          </w:p>
        </w:tc>
        <w:tc>
          <w:tcPr>
            <w:tcW w:w="1430" w:type="dxa"/>
            <w:vAlign w:val="center"/>
          </w:tcPr>
          <w:p>
            <w:pPr>
              <w:spacing w:line="312" w:lineRule="auto"/>
              <w:jc w:val="center"/>
              <w:rPr>
                <w:sz w:val="24"/>
              </w:rPr>
            </w:pPr>
            <w:r>
              <w:rPr>
                <w:sz w:val="24"/>
              </w:rPr>
              <w:t>批准文号</w:t>
            </w:r>
          </w:p>
        </w:tc>
        <w:tc>
          <w:tcPr>
            <w:tcW w:w="3011" w:type="dxa"/>
            <w:gridSpan w:val="4"/>
            <w:vAlign w:val="center"/>
          </w:tcPr>
          <w:p>
            <w:pPr>
              <w:spacing w:line="312" w:lineRule="auto"/>
              <w:jc w:val="center"/>
              <w:rPr>
                <w:sz w:val="24"/>
              </w:rPr>
            </w:pPr>
            <w:r>
              <w:rPr>
                <w:rFonts w:hint="eastAsia"/>
                <w:sz w:val="24"/>
                <w:lang w:val="en-US" w:eastAsia="zh-CN"/>
              </w:rPr>
              <w:t>2018</w:t>
            </w:r>
            <w:r>
              <w:rPr>
                <w:sz w:val="24"/>
              </w:rPr>
              <w:t>-430</w:t>
            </w:r>
            <w:r>
              <w:rPr>
                <w:rFonts w:hint="eastAsia"/>
                <w:sz w:val="24"/>
                <w:lang w:val="en-US" w:eastAsia="zh-CN"/>
              </w:rPr>
              <w:t>781</w:t>
            </w:r>
            <w:r>
              <w:rPr>
                <w:sz w:val="24"/>
              </w:rPr>
              <w:t>-</w:t>
            </w:r>
            <w:r>
              <w:rPr>
                <w:rFonts w:hint="eastAsia"/>
                <w:sz w:val="24"/>
                <w:lang w:val="en-US" w:eastAsia="zh-CN"/>
              </w:rPr>
              <w:t>13</w:t>
            </w:r>
            <w:r>
              <w:rPr>
                <w:sz w:val="24"/>
              </w:rPr>
              <w:t>-03-</w:t>
            </w:r>
            <w:r>
              <w:rPr>
                <w:rFonts w:hint="eastAsia"/>
                <w:sz w:val="24"/>
                <w:lang w:val="en-US" w:eastAsia="zh-CN"/>
              </w:rPr>
              <w:t>031408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483" w:type="dxa"/>
            <w:vAlign w:val="center"/>
          </w:tcPr>
          <w:p>
            <w:pPr>
              <w:spacing w:line="312" w:lineRule="auto"/>
              <w:jc w:val="center"/>
              <w:rPr>
                <w:sz w:val="24"/>
              </w:rPr>
            </w:pPr>
            <w:r>
              <w:rPr>
                <w:sz w:val="24"/>
              </w:rPr>
              <w:t>建设性质</w:t>
            </w:r>
          </w:p>
        </w:tc>
        <w:tc>
          <w:tcPr>
            <w:tcW w:w="3148" w:type="dxa"/>
            <w:gridSpan w:val="4"/>
            <w:vAlign w:val="center"/>
          </w:tcPr>
          <w:p>
            <w:pPr>
              <w:spacing w:line="312" w:lineRule="auto"/>
              <w:jc w:val="center"/>
              <w:rPr>
                <w:rFonts w:ascii="宋体" w:hAnsi="宋体"/>
                <w:sz w:val="24"/>
              </w:rPr>
            </w:pPr>
            <w:r>
              <w:rPr>
                <w:sz w:val="24"/>
                <w:u w:val="none"/>
              </w:rPr>
              <w:t>■</w:t>
            </w:r>
            <w:r>
              <w:rPr>
                <w:rFonts w:hint="eastAsia" w:cs="宋体"/>
                <w:sz w:val="24"/>
                <w:u w:val="none"/>
              </w:rPr>
              <w:t>新建</w:t>
            </w:r>
            <w:r>
              <w:rPr>
                <w:sz w:val="24"/>
                <w:u w:val="none"/>
              </w:rPr>
              <w:t>□</w:t>
            </w:r>
            <w:r>
              <w:rPr>
                <w:rFonts w:hint="eastAsia"/>
                <w:sz w:val="24"/>
                <w:u w:val="none"/>
              </w:rPr>
              <w:t>改</w:t>
            </w:r>
            <w:r>
              <w:rPr>
                <w:rFonts w:hint="eastAsia" w:cs="宋体"/>
                <w:sz w:val="24"/>
                <w:u w:val="none"/>
              </w:rPr>
              <w:t>扩建</w:t>
            </w:r>
            <w:r>
              <w:rPr>
                <w:sz w:val="24"/>
                <w:u w:val="none"/>
              </w:rPr>
              <w:t>□</w:t>
            </w:r>
            <w:r>
              <w:rPr>
                <w:rFonts w:hint="eastAsia" w:cs="宋体"/>
                <w:sz w:val="24"/>
                <w:u w:val="none"/>
              </w:rPr>
              <w:t>迁建</w:t>
            </w:r>
          </w:p>
        </w:tc>
        <w:tc>
          <w:tcPr>
            <w:tcW w:w="1430" w:type="dxa"/>
            <w:vAlign w:val="center"/>
          </w:tcPr>
          <w:p>
            <w:pPr>
              <w:spacing w:line="312" w:lineRule="auto"/>
              <w:jc w:val="center"/>
              <w:rPr>
                <w:sz w:val="24"/>
              </w:rPr>
            </w:pPr>
            <w:r>
              <w:rPr>
                <w:sz w:val="24"/>
              </w:rPr>
              <w:t>行业类别及代码</w:t>
            </w:r>
          </w:p>
        </w:tc>
        <w:tc>
          <w:tcPr>
            <w:tcW w:w="3011" w:type="dxa"/>
            <w:gridSpan w:val="4"/>
            <w:vAlign w:val="center"/>
          </w:tcPr>
          <w:p>
            <w:pPr>
              <w:spacing w:line="312" w:lineRule="auto"/>
              <w:jc w:val="center"/>
              <w:rPr>
                <w:rFonts w:hint="eastAsia" w:eastAsia="宋体"/>
                <w:sz w:val="24"/>
                <w:lang w:val="en-US" w:eastAsia="zh-CN"/>
              </w:rPr>
            </w:pPr>
            <w:r>
              <w:rPr>
                <w:rFonts w:hint="eastAsia"/>
                <w:sz w:val="24"/>
              </w:rPr>
              <w:t>C1329 其他饲料加工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vAlign w:val="center"/>
          </w:tcPr>
          <w:p>
            <w:pPr>
              <w:spacing w:line="312" w:lineRule="auto"/>
              <w:jc w:val="center"/>
              <w:rPr>
                <w:sz w:val="24"/>
              </w:rPr>
            </w:pPr>
            <w:r>
              <w:rPr>
                <w:rFonts w:hint="eastAsia"/>
                <w:sz w:val="24"/>
              </w:rPr>
              <w:t>占地</w:t>
            </w:r>
            <w:r>
              <w:rPr>
                <w:sz w:val="24"/>
              </w:rPr>
              <w:t>面积</w:t>
            </w:r>
            <w:r>
              <w:rPr>
                <w:spacing w:val="-14"/>
                <w:sz w:val="24"/>
              </w:rPr>
              <w:t>（m</w:t>
            </w:r>
            <w:r>
              <w:rPr>
                <w:spacing w:val="-14"/>
                <w:sz w:val="24"/>
                <w:vertAlign w:val="superscript"/>
              </w:rPr>
              <w:t>2</w:t>
            </w:r>
            <w:r>
              <w:rPr>
                <w:spacing w:val="-14"/>
                <w:sz w:val="24"/>
              </w:rPr>
              <w:t>）</w:t>
            </w:r>
          </w:p>
        </w:tc>
        <w:tc>
          <w:tcPr>
            <w:tcW w:w="3148" w:type="dxa"/>
            <w:gridSpan w:val="4"/>
            <w:vAlign w:val="center"/>
          </w:tcPr>
          <w:p>
            <w:pPr>
              <w:spacing w:line="312" w:lineRule="auto"/>
              <w:jc w:val="center"/>
              <w:rPr>
                <w:rFonts w:hint="eastAsia" w:eastAsia="宋体"/>
                <w:sz w:val="24"/>
                <w:lang w:val="en-US" w:eastAsia="zh-CN"/>
              </w:rPr>
            </w:pPr>
            <w:r>
              <w:rPr>
                <w:rFonts w:hint="eastAsia" w:ascii="Times New Roman" w:hAnsi="Times New Roman" w:cs="Times New Roman"/>
                <w:color w:val="000000"/>
                <w:sz w:val="24"/>
                <w:lang w:val="en-US" w:eastAsia="zh-CN"/>
              </w:rPr>
              <w:t>33743.2</w:t>
            </w:r>
          </w:p>
        </w:tc>
        <w:tc>
          <w:tcPr>
            <w:tcW w:w="1430" w:type="dxa"/>
            <w:vAlign w:val="center"/>
          </w:tcPr>
          <w:p>
            <w:pPr>
              <w:spacing w:line="312" w:lineRule="auto"/>
              <w:jc w:val="center"/>
              <w:rPr>
                <w:sz w:val="24"/>
              </w:rPr>
            </w:pPr>
            <w:r>
              <w:rPr>
                <w:sz w:val="24"/>
              </w:rPr>
              <w:t>绿化面积（</w:t>
            </w:r>
            <w:r>
              <w:rPr>
                <w:spacing w:val="-14"/>
                <w:sz w:val="24"/>
              </w:rPr>
              <w:t>m</w:t>
            </w:r>
            <w:r>
              <w:rPr>
                <w:spacing w:val="-14"/>
                <w:sz w:val="24"/>
                <w:vertAlign w:val="superscript"/>
              </w:rPr>
              <w:t>2</w:t>
            </w:r>
            <w:r>
              <w:rPr>
                <w:sz w:val="24"/>
              </w:rPr>
              <w:t>）</w:t>
            </w:r>
          </w:p>
        </w:tc>
        <w:tc>
          <w:tcPr>
            <w:tcW w:w="3011" w:type="dxa"/>
            <w:gridSpan w:val="4"/>
            <w:vAlign w:val="center"/>
          </w:tcPr>
          <w:p>
            <w:pPr>
              <w:spacing w:line="312" w:lineRule="auto"/>
              <w:jc w:val="center"/>
              <w:rPr>
                <w:rFonts w:hint="eastAsia" w:eastAsia="宋体"/>
                <w:sz w:val="24"/>
                <w:lang w:eastAsia="zh-CN"/>
              </w:rPr>
            </w:pPr>
            <w:r>
              <w:rPr>
                <w:rFonts w:hint="eastAsia"/>
                <w:kern w:val="0"/>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83" w:type="dxa"/>
            <w:vAlign w:val="center"/>
          </w:tcPr>
          <w:p>
            <w:pPr>
              <w:spacing w:line="312" w:lineRule="auto"/>
              <w:jc w:val="center"/>
              <w:rPr>
                <w:sz w:val="24"/>
              </w:rPr>
            </w:pPr>
            <w:r>
              <w:rPr>
                <w:sz w:val="24"/>
              </w:rPr>
              <w:t>总投资</w:t>
            </w:r>
          </w:p>
          <w:p>
            <w:pPr>
              <w:spacing w:line="312" w:lineRule="auto"/>
              <w:jc w:val="center"/>
              <w:rPr>
                <w:sz w:val="24"/>
              </w:rPr>
            </w:pPr>
            <w:r>
              <w:rPr>
                <w:sz w:val="24"/>
              </w:rPr>
              <w:t>（万元）</w:t>
            </w:r>
          </w:p>
        </w:tc>
        <w:tc>
          <w:tcPr>
            <w:tcW w:w="1572" w:type="dxa"/>
            <w:vAlign w:val="center"/>
          </w:tcPr>
          <w:p>
            <w:pPr>
              <w:spacing w:line="312" w:lineRule="auto"/>
              <w:jc w:val="center"/>
              <w:rPr>
                <w:rFonts w:hint="default" w:eastAsia="宋体"/>
                <w:sz w:val="24"/>
                <w:lang w:val="en-US" w:eastAsia="zh-CN"/>
              </w:rPr>
            </w:pPr>
            <w:r>
              <w:rPr>
                <w:rFonts w:hint="eastAsia"/>
                <w:sz w:val="24"/>
                <w:lang w:val="en-US" w:eastAsia="zh-CN"/>
              </w:rPr>
              <w:t>12000</w:t>
            </w:r>
          </w:p>
        </w:tc>
        <w:tc>
          <w:tcPr>
            <w:tcW w:w="1576" w:type="dxa"/>
            <w:gridSpan w:val="3"/>
            <w:vAlign w:val="center"/>
          </w:tcPr>
          <w:p>
            <w:pPr>
              <w:spacing w:line="312" w:lineRule="auto"/>
              <w:jc w:val="center"/>
              <w:rPr>
                <w:sz w:val="24"/>
              </w:rPr>
            </w:pPr>
            <w:r>
              <w:rPr>
                <w:sz w:val="24"/>
              </w:rPr>
              <w:t>其中：环保投资（万元）</w:t>
            </w:r>
          </w:p>
        </w:tc>
        <w:tc>
          <w:tcPr>
            <w:tcW w:w="1430" w:type="dxa"/>
            <w:vAlign w:val="center"/>
          </w:tcPr>
          <w:p>
            <w:pPr>
              <w:spacing w:line="312" w:lineRule="auto"/>
              <w:jc w:val="center"/>
              <w:rPr>
                <w:rFonts w:hint="default" w:eastAsia="宋体"/>
                <w:sz w:val="24"/>
                <w:lang w:val="en-US" w:eastAsia="zh-CN"/>
              </w:rPr>
            </w:pPr>
            <w:r>
              <w:rPr>
                <w:rFonts w:hint="eastAsia"/>
                <w:sz w:val="24"/>
                <w:lang w:val="en-US" w:eastAsia="zh-CN"/>
              </w:rPr>
              <w:t>171.5</w:t>
            </w:r>
          </w:p>
        </w:tc>
        <w:tc>
          <w:tcPr>
            <w:tcW w:w="1979" w:type="dxa"/>
            <w:gridSpan w:val="3"/>
            <w:vAlign w:val="center"/>
          </w:tcPr>
          <w:p>
            <w:pPr>
              <w:spacing w:line="312" w:lineRule="auto"/>
              <w:jc w:val="center"/>
              <w:rPr>
                <w:sz w:val="24"/>
              </w:rPr>
            </w:pPr>
            <w:r>
              <w:rPr>
                <w:sz w:val="24"/>
              </w:rPr>
              <w:t>环保投资占总投资例%</w:t>
            </w:r>
          </w:p>
        </w:tc>
        <w:tc>
          <w:tcPr>
            <w:tcW w:w="1032" w:type="dxa"/>
            <w:vAlign w:val="center"/>
          </w:tcPr>
          <w:p>
            <w:pPr>
              <w:spacing w:line="312" w:lineRule="auto"/>
              <w:jc w:val="center"/>
              <w:rPr>
                <w:rFonts w:hint="default" w:eastAsia="宋体"/>
                <w:sz w:val="24"/>
                <w:lang w:val="en-US" w:eastAsia="zh-CN"/>
              </w:rPr>
            </w:pPr>
            <w:r>
              <w:rPr>
                <w:rFonts w:hint="eastAsia"/>
                <w:sz w:val="24"/>
                <w:lang w:val="en-US" w:eastAsia="zh-CN"/>
              </w:rPr>
              <w:t>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vAlign w:val="center"/>
          </w:tcPr>
          <w:p>
            <w:pPr>
              <w:spacing w:line="312" w:lineRule="auto"/>
              <w:jc w:val="center"/>
              <w:rPr>
                <w:sz w:val="24"/>
              </w:rPr>
            </w:pPr>
            <w:r>
              <w:rPr>
                <w:sz w:val="24"/>
              </w:rPr>
              <w:t>评价经费（万元）</w:t>
            </w:r>
          </w:p>
        </w:tc>
        <w:tc>
          <w:tcPr>
            <w:tcW w:w="1572" w:type="dxa"/>
            <w:vAlign w:val="center"/>
          </w:tcPr>
          <w:p>
            <w:pPr>
              <w:spacing w:line="312" w:lineRule="auto"/>
              <w:jc w:val="center"/>
              <w:rPr>
                <w:sz w:val="24"/>
              </w:rPr>
            </w:pPr>
            <w:r>
              <w:rPr>
                <w:rFonts w:hint="eastAsia"/>
                <w:sz w:val="24"/>
              </w:rPr>
              <w:t>/</w:t>
            </w:r>
          </w:p>
        </w:tc>
        <w:tc>
          <w:tcPr>
            <w:tcW w:w="1576" w:type="dxa"/>
            <w:gridSpan w:val="3"/>
            <w:vAlign w:val="center"/>
          </w:tcPr>
          <w:p>
            <w:pPr>
              <w:spacing w:line="312" w:lineRule="auto"/>
              <w:jc w:val="center"/>
              <w:rPr>
                <w:sz w:val="24"/>
              </w:rPr>
            </w:pPr>
            <w:r>
              <w:rPr>
                <w:rFonts w:hAnsi="宋体"/>
                <w:sz w:val="24"/>
              </w:rPr>
              <w:t>投产日期</w:t>
            </w:r>
          </w:p>
        </w:tc>
        <w:tc>
          <w:tcPr>
            <w:tcW w:w="4441" w:type="dxa"/>
            <w:gridSpan w:val="5"/>
            <w:vAlign w:val="center"/>
          </w:tcPr>
          <w:p>
            <w:pPr>
              <w:spacing w:line="312" w:lineRule="auto"/>
              <w:jc w:val="center"/>
              <w:rPr>
                <w:rFonts w:hint="eastAsia" w:eastAsia="宋体"/>
                <w:sz w:val="24"/>
                <w:lang w:val="en-US" w:eastAsia="zh-CN"/>
              </w:rPr>
            </w:pPr>
            <w:r>
              <w:rPr>
                <w:rFonts w:hint="eastAsia"/>
                <w:sz w:val="24"/>
                <w:lang w:val="en-US" w:eastAsia="zh-CN"/>
              </w:rPr>
              <w:t>2021年10月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72" w:type="dxa"/>
            <w:gridSpan w:val="10"/>
            <w:vAlign w:val="center"/>
          </w:tcPr>
          <w:p>
            <w:pPr>
              <w:adjustRightInd w:val="0"/>
              <w:spacing w:line="360" w:lineRule="auto"/>
              <w:contextualSpacing/>
              <w:rPr>
                <w:rFonts w:hAnsi="宋体"/>
                <w:b/>
                <w:sz w:val="28"/>
                <w:szCs w:val="28"/>
              </w:rPr>
            </w:pPr>
            <w:r>
              <w:rPr>
                <w:rFonts w:hint="eastAsia" w:hAnsi="宋体"/>
                <w:b/>
                <w:sz w:val="28"/>
                <w:szCs w:val="28"/>
              </w:rPr>
              <w:t>工程内容及规模</w:t>
            </w:r>
          </w:p>
          <w:p>
            <w:pPr>
              <w:adjustRightInd w:val="0"/>
              <w:spacing w:line="360" w:lineRule="auto"/>
              <w:ind w:firstLine="472" w:firstLineChars="196"/>
              <w:contextualSpacing/>
              <w:rPr>
                <w:rFonts w:hAnsi="宋体"/>
                <w:b/>
                <w:sz w:val="24"/>
              </w:rPr>
            </w:pPr>
            <w:r>
              <w:rPr>
                <w:rFonts w:hAnsi="宋体"/>
                <w:b/>
                <w:sz w:val="24"/>
              </w:rPr>
              <w:t>一、</w:t>
            </w:r>
            <w:r>
              <w:rPr>
                <w:rFonts w:hint="eastAsia" w:hAnsi="宋体"/>
                <w:b/>
                <w:sz w:val="24"/>
              </w:rPr>
              <w:t>项目由来</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饲料工业是现代畜牧业和水产养殖业发展的物质基础，是种、养加有机结合的纽带，是农牧渔业协调发展的载体。饲料工业一头牵着种植业，每年转化大量玉米、豆粕、棉粕、菜粕等饲料原料；另一头连着养殖业，促进我国肉、蛋、奶和水产品产量增长，对提高人民生活水平发挥了不可替代的作用。随着我国经济不断发展，饲料产业已成为一个方兴未艾的朝阳产业，对促进国民经济增长，促进养殖业发展，服务“三农”具有越来越重要的作用。 </w:t>
            </w:r>
          </w:p>
          <w:p>
            <w:pPr>
              <w:spacing w:line="360" w:lineRule="auto"/>
              <w:ind w:firstLine="480" w:firstLineChars="200"/>
              <w:rPr>
                <w:rFonts w:hint="eastAsia" w:ascii="Times New Roman" w:hAnsi="Times New Roman" w:cs="Times New Roman"/>
                <w:sz w:val="24"/>
                <w:lang w:val="en-US" w:eastAsia="zh-CN"/>
              </w:rPr>
            </w:pPr>
            <w:r>
              <w:rPr>
                <w:rFonts w:ascii="宋体" w:hAnsi="宋体" w:eastAsia="宋体" w:cs="宋体"/>
                <w:sz w:val="24"/>
                <w:szCs w:val="24"/>
              </w:rPr>
              <w:t>为满足市场需求，</w:t>
            </w:r>
            <w:r>
              <w:rPr>
                <w:rFonts w:hint="eastAsia" w:ascii="宋体" w:hAnsi="宋体" w:eastAsia="宋体" w:cs="宋体"/>
                <w:sz w:val="24"/>
                <w:szCs w:val="24"/>
                <w:lang w:eastAsia="zh-CN"/>
              </w:rPr>
              <w:t>常德市汇海饲料有限公司</w:t>
            </w:r>
            <w:r>
              <w:rPr>
                <w:rFonts w:ascii="宋体" w:hAnsi="宋体" w:eastAsia="宋体" w:cs="宋体"/>
                <w:sz w:val="24"/>
                <w:szCs w:val="24"/>
              </w:rPr>
              <w:t>拟投</w:t>
            </w:r>
            <w:r>
              <w:rPr>
                <w:rFonts w:hint="default" w:ascii="Times New Roman" w:hAnsi="Times New Roman" w:eastAsia="宋体" w:cs="Times New Roman"/>
                <w:sz w:val="24"/>
                <w:szCs w:val="24"/>
              </w:rPr>
              <w:t>资</w:t>
            </w:r>
            <w:r>
              <w:rPr>
                <w:rFonts w:hint="default" w:ascii="Times New Roman" w:hAnsi="Times New Roman" w:eastAsia="宋体" w:cs="Times New Roman"/>
                <w:sz w:val="24"/>
                <w:szCs w:val="24"/>
                <w:lang w:val="en-US" w:eastAsia="zh-CN"/>
              </w:rPr>
              <w:t>12000</w:t>
            </w:r>
            <w:r>
              <w:rPr>
                <w:rFonts w:hint="default" w:ascii="Times New Roman" w:hAnsi="Times New Roman" w:eastAsia="宋体" w:cs="Times New Roman"/>
                <w:sz w:val="24"/>
                <w:szCs w:val="24"/>
              </w:rPr>
              <w:t>万元在</w:t>
            </w:r>
            <w:r>
              <w:rPr>
                <w:rFonts w:hint="eastAsia" w:ascii="Times New Roman" w:hAnsi="Times New Roman" w:cs="Times New Roman"/>
                <w:sz w:val="24"/>
                <w:lang w:val="en-US" w:eastAsia="zh-CN"/>
              </w:rPr>
              <w:t>津市高新区周家铺路以西创业路以北地块新建</w:t>
            </w:r>
            <w:r>
              <w:rPr>
                <w:rFonts w:hint="eastAsia" w:ascii="宋体" w:hAnsi="宋体" w:eastAsia="宋体" w:cs="宋体"/>
                <w:sz w:val="24"/>
                <w:szCs w:val="24"/>
                <w:lang w:eastAsia="zh-CN"/>
              </w:rPr>
              <w:t>年产</w:t>
            </w:r>
            <w:r>
              <w:rPr>
                <w:rFonts w:hint="default" w:ascii="Times New Roman" w:hAnsi="Times New Roman" w:eastAsia="宋体" w:cs="Times New Roman"/>
                <w:sz w:val="24"/>
                <w:szCs w:val="24"/>
                <w:lang w:val="en-US" w:eastAsia="zh-CN"/>
              </w:rPr>
              <w:t>23万</w:t>
            </w:r>
            <w:r>
              <w:rPr>
                <w:rFonts w:hint="eastAsia" w:ascii="宋体" w:hAnsi="宋体" w:eastAsia="宋体" w:cs="宋体"/>
                <w:sz w:val="24"/>
                <w:szCs w:val="24"/>
                <w:lang w:val="en-US" w:eastAsia="zh-CN"/>
              </w:rPr>
              <w:t>吨环保型配合饲料项目</w:t>
            </w:r>
            <w:r>
              <w:rPr>
                <w:rFonts w:ascii="宋体" w:hAnsi="宋体" w:eastAsia="宋体" w:cs="宋体"/>
                <w:sz w:val="24"/>
                <w:szCs w:val="24"/>
              </w:rPr>
              <w:t>，主要生产</w:t>
            </w:r>
            <w:r>
              <w:rPr>
                <w:rFonts w:hint="eastAsia" w:ascii="宋体" w:hAnsi="宋体" w:eastAsia="宋体" w:cs="宋体"/>
                <w:sz w:val="24"/>
                <w:szCs w:val="24"/>
                <w:lang w:eastAsia="zh-CN"/>
              </w:rPr>
              <w:t>普通水产料、膨化水产料、环保型猪料及发酵料</w:t>
            </w:r>
            <w:r>
              <w:rPr>
                <w:rFonts w:ascii="宋体" w:hAnsi="宋体" w:eastAsia="宋体" w:cs="宋体"/>
                <w:sz w:val="24"/>
                <w:szCs w:val="24"/>
              </w:rPr>
              <w:t>。</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w:t>
            </w:r>
            <w:r>
              <w:rPr>
                <w:rFonts w:hint="eastAsia" w:ascii="Times New Roman" w:hAnsi="Times New Roman" w:cs="Times New Roman"/>
                <w:sz w:val="24"/>
                <w:lang w:val="en-US" w:eastAsia="zh-CN"/>
              </w:rPr>
              <w:t>《中华人民共和国环境保护法》、</w:t>
            </w:r>
            <w:r>
              <w:rPr>
                <w:rFonts w:hint="default" w:ascii="Times New Roman" w:hAnsi="Times New Roman" w:cs="Times New Roman"/>
                <w:sz w:val="24"/>
                <w:lang w:val="en-US" w:eastAsia="zh-CN"/>
              </w:rPr>
              <w:t>《中华人民共和国环境影响评价法》、《建设项目环境保护管理条例》（国务院2017年第682号令）的相关规定，对照《建设项目环境影响评价分类管理名录（20</w:t>
            </w:r>
            <w:r>
              <w:rPr>
                <w:rFonts w:hint="eastAsia" w:cs="Times New Roman"/>
                <w:sz w:val="24"/>
                <w:lang w:val="en-US" w:eastAsia="zh-CN"/>
              </w:rPr>
              <w:t>21</w:t>
            </w:r>
            <w:r>
              <w:rPr>
                <w:rFonts w:hint="default" w:ascii="Times New Roman" w:hAnsi="Times New Roman" w:cs="Times New Roman"/>
                <w:sz w:val="24"/>
                <w:lang w:val="en-US" w:eastAsia="zh-CN"/>
              </w:rPr>
              <w:t>年版）》，本项目属于</w:t>
            </w:r>
            <w:r>
              <w:rPr>
                <w:rFonts w:hint="eastAsia" w:ascii="Times New Roman" w:hAnsi="Times New Roman" w:cs="Times New Roman"/>
                <w:b/>
                <w:bCs/>
                <w:sz w:val="24"/>
                <w:lang w:val="en-US" w:eastAsia="zh-CN"/>
              </w:rPr>
              <w:t>“</w:t>
            </w:r>
            <w:r>
              <w:rPr>
                <w:rFonts w:hint="eastAsia" w:cs="Times New Roman"/>
                <w:b/>
                <w:bCs/>
                <w:sz w:val="24"/>
                <w:lang w:val="en-US" w:eastAsia="zh-CN"/>
              </w:rPr>
              <w:t>十</w:t>
            </w:r>
            <w:r>
              <w:rPr>
                <w:rFonts w:hint="eastAsia" w:ascii="Times New Roman" w:hAnsi="Times New Roman" w:cs="Times New Roman"/>
                <w:b/>
                <w:bCs/>
                <w:sz w:val="24"/>
                <w:lang w:val="en-US" w:eastAsia="zh-CN"/>
              </w:rPr>
              <w:t>、农副食品加工业</w:t>
            </w:r>
            <w:r>
              <w:rPr>
                <w:rFonts w:hint="eastAsia" w:cs="Times New Roman"/>
                <w:b/>
                <w:bCs/>
                <w:sz w:val="24"/>
                <w:lang w:val="en-US" w:eastAsia="zh-CN"/>
              </w:rPr>
              <w:t>13</w:t>
            </w:r>
            <w:r>
              <w:rPr>
                <w:rFonts w:hint="eastAsia" w:ascii="Times New Roman" w:hAnsi="Times New Roman" w:cs="Times New Roman"/>
                <w:b/>
                <w:bCs/>
                <w:sz w:val="24"/>
                <w:lang w:val="en-US" w:eastAsia="zh-CN"/>
              </w:rPr>
              <w:t>”中“</w:t>
            </w:r>
            <w:r>
              <w:rPr>
                <w:rFonts w:hint="eastAsia" w:cs="Times New Roman"/>
                <w:b/>
                <w:bCs/>
                <w:sz w:val="24"/>
                <w:lang w:val="en-US" w:eastAsia="zh-CN"/>
              </w:rPr>
              <w:t>15饲料加工132</w:t>
            </w:r>
            <w:r>
              <w:rPr>
                <w:rFonts w:hint="eastAsia" w:ascii="Times New Roman" w:hAnsi="Times New Roman" w:cs="Times New Roman"/>
                <w:b/>
                <w:bCs/>
                <w:sz w:val="24"/>
                <w:lang w:val="en-US" w:eastAsia="zh-CN"/>
              </w:rPr>
              <w:t>”</w:t>
            </w:r>
            <w:r>
              <w:rPr>
                <w:rFonts w:hint="eastAsia" w:cs="Times New Roman"/>
                <w:b/>
                <w:bCs/>
                <w:sz w:val="24"/>
                <w:lang w:val="en-US" w:eastAsia="zh-CN"/>
              </w:rPr>
              <w:t>含</w:t>
            </w:r>
            <w:r>
              <w:rPr>
                <w:rFonts w:hint="eastAsia" w:ascii="Times New Roman" w:hAnsi="Times New Roman" w:cs="Times New Roman"/>
                <w:b/>
                <w:bCs/>
                <w:sz w:val="24"/>
                <w:lang w:val="en-US" w:eastAsia="zh-CN"/>
              </w:rPr>
              <w:t>发酵工艺的</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编制环境影响报告</w:t>
            </w:r>
            <w:r>
              <w:rPr>
                <w:rFonts w:hint="eastAsia" w:cs="Times New Roman"/>
                <w:sz w:val="24"/>
                <w:lang w:val="en-US" w:eastAsia="zh-CN"/>
              </w:rPr>
              <w:t>表</w:t>
            </w:r>
            <w:r>
              <w:rPr>
                <w:rFonts w:hint="default" w:ascii="Times New Roman" w:hAnsi="Times New Roman" w:cs="Times New Roman"/>
                <w:sz w:val="24"/>
                <w:lang w:val="en-US" w:eastAsia="zh-CN"/>
              </w:rPr>
              <w:t>。为此，</w:t>
            </w:r>
            <w:r>
              <w:rPr>
                <w:rFonts w:hint="eastAsia" w:ascii="Times New Roman" w:hAnsi="Times New Roman" w:cs="Times New Roman"/>
                <w:sz w:val="24"/>
                <w:lang w:val="en-US" w:eastAsia="zh-CN"/>
              </w:rPr>
              <w:t>常德市汇海饲料有限公司</w:t>
            </w:r>
            <w:r>
              <w:rPr>
                <w:rFonts w:hint="default" w:ascii="Times New Roman" w:hAnsi="Times New Roman" w:cs="Times New Roman"/>
                <w:sz w:val="24"/>
                <w:lang w:val="en-US" w:eastAsia="zh-CN"/>
              </w:rPr>
              <w:t>委托</w:t>
            </w:r>
            <w:bookmarkStart w:id="0" w:name="OLE_LINK1"/>
            <w:r>
              <w:rPr>
                <w:rFonts w:hint="default" w:ascii="Times New Roman" w:hAnsi="Times New Roman" w:cs="Times New Roman"/>
                <w:sz w:val="24"/>
                <w:lang w:val="en-US" w:eastAsia="zh-CN"/>
              </w:rPr>
              <w:t>湖南志远环境咨询服务有限公司</w:t>
            </w:r>
            <w:bookmarkEnd w:id="0"/>
            <w:r>
              <w:rPr>
                <w:rFonts w:hint="default" w:ascii="Times New Roman" w:hAnsi="Times New Roman" w:cs="Times New Roman"/>
                <w:sz w:val="24"/>
                <w:lang w:val="en-US" w:eastAsia="zh-CN"/>
              </w:rPr>
              <w:t>承担《常德市汇海饲料有限公司</w:t>
            </w:r>
            <w:r>
              <w:rPr>
                <w:rFonts w:hint="eastAsia" w:ascii="Times New Roman" w:hAnsi="Times New Roman" w:cs="Times New Roman"/>
                <w:sz w:val="24"/>
                <w:lang w:val="en-US" w:eastAsia="zh-CN"/>
              </w:rPr>
              <w:t>年产23万吨环保型配合饲料项目</w:t>
            </w:r>
            <w:r>
              <w:rPr>
                <w:rFonts w:hint="default" w:ascii="Times New Roman" w:hAnsi="Times New Roman" w:cs="Times New Roman"/>
                <w:sz w:val="24"/>
                <w:lang w:val="en-US" w:eastAsia="zh-CN"/>
              </w:rPr>
              <w:t>环境影响报告</w:t>
            </w:r>
            <w:r>
              <w:rPr>
                <w:rFonts w:hint="eastAsia" w:cs="Times New Roman"/>
                <w:sz w:val="24"/>
                <w:lang w:val="en-US" w:eastAsia="zh-CN"/>
              </w:rPr>
              <w:t>表</w:t>
            </w:r>
            <w:r>
              <w:rPr>
                <w:rFonts w:hint="default" w:ascii="Times New Roman" w:hAnsi="Times New Roman" w:cs="Times New Roman"/>
                <w:sz w:val="24"/>
                <w:lang w:val="en-US" w:eastAsia="zh-CN"/>
              </w:rPr>
              <w:t>》的编制工作。</w:t>
            </w:r>
          </w:p>
          <w:p>
            <w:pPr>
              <w:adjustRightInd w:val="0"/>
              <w:spacing w:line="360" w:lineRule="auto"/>
              <w:ind w:firstLine="470" w:firstLineChars="196"/>
              <w:contextualSpacing/>
              <w:rPr>
                <w:sz w:val="24"/>
              </w:rPr>
            </w:pPr>
            <w:r>
              <w:rPr>
                <w:rFonts w:hint="eastAsia"/>
                <w:sz w:val="24"/>
              </w:rPr>
              <w:t>我公司接受委托后，以环评导则和相关法律法规为准则，在现场踏勘、资料收集和现场监测等工作的基础上，开展了项目工程分析、环境质量现状调查、环境影响分析与评价等工作，并对项目施工期、运营期的环境污染问题提出了相应的防治对策和管理措施，在以上工作的基础上，编制了本环境影响报告表。</w:t>
            </w:r>
          </w:p>
          <w:p>
            <w:pPr>
              <w:spacing w:line="360" w:lineRule="auto"/>
              <w:ind w:firstLine="482" w:firstLineChars="200"/>
              <w:rPr>
                <w:b/>
                <w:sz w:val="24"/>
              </w:rPr>
            </w:pPr>
            <w:r>
              <w:rPr>
                <w:rFonts w:hint="eastAsia"/>
                <w:b/>
                <w:sz w:val="24"/>
              </w:rPr>
              <w:t>二、</w:t>
            </w:r>
            <w:r>
              <w:rPr>
                <w:b/>
                <w:sz w:val="24"/>
              </w:rPr>
              <w:t>工程概况</w:t>
            </w:r>
          </w:p>
          <w:p>
            <w:pPr>
              <w:spacing w:line="360" w:lineRule="auto"/>
              <w:ind w:firstLine="480" w:firstLineChars="200"/>
              <w:contextualSpacing/>
              <w:rPr>
                <w:sz w:val="24"/>
              </w:rPr>
            </w:pPr>
            <w:r>
              <w:rPr>
                <w:sz w:val="24"/>
              </w:rPr>
              <w:t>1、项目建设地址</w:t>
            </w:r>
            <w:r>
              <w:rPr>
                <w:rFonts w:hint="eastAsia"/>
                <w:sz w:val="24"/>
              </w:rPr>
              <w:t>及</w:t>
            </w:r>
            <w:r>
              <w:rPr>
                <w:sz w:val="24"/>
              </w:rPr>
              <w:t>周边环境</w:t>
            </w:r>
          </w:p>
          <w:p>
            <w:pPr>
              <w:spacing w:line="360" w:lineRule="auto"/>
              <w:ind w:firstLine="480" w:firstLineChars="200"/>
              <w:contextualSpacing/>
              <w:jc w:val="both"/>
              <w:rPr>
                <w:sz w:val="24"/>
              </w:rPr>
            </w:pPr>
            <w:r>
              <w:rPr>
                <w:rFonts w:hint="eastAsia" w:ascii="Times New Roman" w:hAnsi="Times New Roman" w:cs="Times New Roman"/>
                <w:sz w:val="24"/>
                <w:lang w:val="en-US" w:eastAsia="zh-CN"/>
              </w:rPr>
              <w:t>本项目选址位于津市高新区周家铺路以西创业路以北地块，项目东面紧邻周家铺路，南侧紧邻创业路，西侧紧邻万木汇生物质燃料公司，北侧紧邻金湘猪鬃实业有限公司</w:t>
            </w:r>
            <w:r>
              <w:rPr>
                <w:rFonts w:hint="eastAsia" w:ascii="Times New Roman" w:hAnsi="Times New Roman" w:cs="Times New Roman"/>
                <w:sz w:val="24"/>
                <w:u w:val="none"/>
                <w:lang w:val="en-US" w:eastAsia="zh-CN"/>
              </w:rPr>
              <w:t>。</w:t>
            </w:r>
            <w:r>
              <w:rPr>
                <w:sz w:val="24"/>
              </w:rPr>
              <w:t xml:space="preserve"> </w:t>
            </w:r>
          </w:p>
          <w:p>
            <w:pPr>
              <w:spacing w:line="360" w:lineRule="auto"/>
              <w:ind w:firstLine="480" w:firstLineChars="200"/>
              <w:contextualSpacing/>
              <w:rPr>
                <w:sz w:val="24"/>
                <w:u w:val="single"/>
              </w:rPr>
            </w:pPr>
            <w:r>
              <w:rPr>
                <w:rFonts w:hint="eastAsia"/>
                <w:sz w:val="24"/>
                <w:u w:val="single"/>
              </w:rPr>
              <w:t>2</w:t>
            </w:r>
            <w:r>
              <w:rPr>
                <w:sz w:val="24"/>
                <w:u w:val="single"/>
              </w:rPr>
              <w:t>、</w:t>
            </w:r>
            <w:r>
              <w:rPr>
                <w:rFonts w:hint="eastAsia"/>
                <w:sz w:val="24"/>
                <w:u w:val="single"/>
              </w:rPr>
              <w:t>工程内容及建设规模</w:t>
            </w:r>
          </w:p>
          <w:p>
            <w:pPr>
              <w:spacing w:line="360" w:lineRule="auto"/>
              <w:ind w:firstLine="480" w:firstLineChars="200"/>
              <w:rPr>
                <w:sz w:val="24"/>
                <w:u w:val="single"/>
              </w:rPr>
            </w:pPr>
            <w:r>
              <w:rPr>
                <w:rFonts w:hint="eastAsia" w:ascii="Times New Roman" w:hAnsi="Times New Roman" w:cs="Times New Roman"/>
                <w:color w:val="000000"/>
                <w:sz w:val="24"/>
                <w:u w:val="single"/>
                <w:lang w:val="en-US" w:eastAsia="zh-CN"/>
              </w:rPr>
              <w:t>本项目主体工程新建主车间一栋、</w:t>
            </w:r>
            <w:r>
              <w:rPr>
                <w:rFonts w:hint="eastAsia" w:cs="Times New Roman"/>
                <w:color w:val="000000"/>
                <w:sz w:val="24"/>
                <w:u w:val="single"/>
                <w:lang w:val="en-US" w:eastAsia="zh-CN"/>
              </w:rPr>
              <w:t>2</w:t>
            </w:r>
            <w:r>
              <w:rPr>
                <w:rFonts w:hint="eastAsia" w:ascii="Times New Roman" w:hAnsi="Times New Roman" w:cs="Times New Roman"/>
                <w:color w:val="000000"/>
                <w:sz w:val="24"/>
                <w:u w:val="single"/>
                <w:lang w:val="en-US" w:eastAsia="zh-CN"/>
              </w:rPr>
              <w:t>#车间一栋</w:t>
            </w:r>
            <w:r>
              <w:rPr>
                <w:rFonts w:hint="eastAsia" w:cs="Times New Roman"/>
                <w:color w:val="000000"/>
                <w:sz w:val="24"/>
                <w:u w:val="single"/>
                <w:lang w:val="en-US" w:eastAsia="zh-CN"/>
              </w:rPr>
              <w:t>，</w:t>
            </w:r>
            <w:r>
              <w:rPr>
                <w:rFonts w:hint="eastAsia" w:ascii="Times New Roman" w:hAnsi="Times New Roman" w:cs="Times New Roman"/>
                <w:color w:val="000000"/>
                <w:sz w:val="24"/>
                <w:u w:val="single"/>
                <w:lang w:val="en-US" w:eastAsia="zh-CN"/>
              </w:rPr>
              <w:t>辅助工程新建综合楼及食堂各一栋、机修车间一栋，储运工程新建</w:t>
            </w:r>
            <w:r>
              <w:rPr>
                <w:rFonts w:hint="eastAsia" w:cs="Times New Roman"/>
                <w:color w:val="000000"/>
                <w:sz w:val="24"/>
                <w:u w:val="single"/>
                <w:lang w:val="en-US" w:eastAsia="zh-CN"/>
              </w:rPr>
              <w:t>1</w:t>
            </w:r>
            <w:r>
              <w:rPr>
                <w:rFonts w:hint="eastAsia" w:ascii="Times New Roman" w:hAnsi="Times New Roman" w:cs="Times New Roman"/>
                <w:color w:val="000000"/>
                <w:sz w:val="24"/>
                <w:u w:val="single"/>
                <w:lang w:val="en-US" w:eastAsia="zh-CN"/>
              </w:rPr>
              <w:t>#车间一栋</w:t>
            </w:r>
            <w:r>
              <w:rPr>
                <w:rFonts w:hint="eastAsia" w:cs="Times New Roman"/>
                <w:color w:val="000000"/>
                <w:sz w:val="24"/>
                <w:u w:val="single"/>
                <w:lang w:val="en-US" w:eastAsia="zh-CN"/>
              </w:rPr>
              <w:t>、</w:t>
            </w:r>
            <w:r>
              <w:rPr>
                <w:rFonts w:hint="eastAsia" w:ascii="Times New Roman" w:hAnsi="Times New Roman" w:cs="Times New Roman"/>
                <w:color w:val="000000"/>
                <w:sz w:val="24"/>
                <w:u w:val="single"/>
                <w:lang w:val="en-US" w:eastAsia="zh-CN"/>
              </w:rPr>
              <w:t>玉米及小麦筒仓10个，豆油储罐3个，配套建设废气、废水、噪声及固废等环保措施，</w:t>
            </w:r>
            <w:r>
              <w:rPr>
                <w:rFonts w:hint="eastAsia"/>
                <w:sz w:val="24"/>
                <w:u w:val="single"/>
              </w:rPr>
              <w:t>项目组成见表1-</w:t>
            </w:r>
            <w:r>
              <w:rPr>
                <w:rFonts w:hint="eastAsia"/>
                <w:sz w:val="24"/>
                <w:u w:val="single"/>
                <w:lang w:val="en-US" w:eastAsia="zh-CN"/>
              </w:rPr>
              <w:t>1</w:t>
            </w:r>
            <w:r>
              <w:rPr>
                <w:rFonts w:hint="eastAsia"/>
                <w:sz w:val="24"/>
                <w:u w:val="single"/>
              </w:rPr>
              <w:t>。</w:t>
            </w:r>
          </w:p>
          <w:p>
            <w:pPr>
              <w:spacing w:line="360" w:lineRule="auto"/>
              <w:contextualSpacing/>
              <w:jc w:val="center"/>
              <w:rPr>
                <w:b/>
                <w:u w:val="single"/>
              </w:rPr>
            </w:pPr>
            <w:r>
              <w:rPr>
                <w:rFonts w:hAnsi="宋体"/>
                <w:b/>
                <w:u w:val="single"/>
              </w:rPr>
              <w:t>表</w:t>
            </w:r>
            <w:r>
              <w:rPr>
                <w:b/>
                <w:u w:val="single"/>
              </w:rPr>
              <w:t>1-</w:t>
            </w:r>
            <w:r>
              <w:rPr>
                <w:rFonts w:hint="eastAsia"/>
                <w:b/>
                <w:u w:val="single"/>
                <w:lang w:val="en-US" w:eastAsia="zh-CN"/>
              </w:rPr>
              <w:t>1</w:t>
            </w:r>
            <w:r>
              <w:rPr>
                <w:b/>
                <w:u w:val="single"/>
              </w:rPr>
              <w:t xml:space="preserve">  </w:t>
            </w:r>
            <w:r>
              <w:rPr>
                <w:rFonts w:hAnsi="宋体"/>
                <w:b/>
                <w:u w:val="single"/>
              </w:rPr>
              <w:t>项目组成一览表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64"/>
              <w:gridCol w:w="1135"/>
              <w:gridCol w:w="66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类别</w:t>
                  </w: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工程名称</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工程内容及规模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restar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主体工程</w:t>
                  </w: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主车间</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位于</w:t>
                  </w:r>
                  <w:r>
                    <w:rPr>
                      <w:rFonts w:hint="eastAsia" w:ascii="Times New Roman" w:hAnsi="Times New Roman" w:cs="Times New Roman"/>
                      <w:b w:val="0"/>
                      <w:bCs w:val="0"/>
                      <w:color w:val="000000"/>
                      <w:kern w:val="0"/>
                      <w:sz w:val="21"/>
                      <w:szCs w:val="21"/>
                      <w:u w:val="single"/>
                      <w:lang w:val="en-US" w:eastAsia="zh-CN" w:bidi="ar"/>
                    </w:rPr>
                    <w:t>地块中南部</w:t>
                  </w:r>
                  <w:r>
                    <w:rPr>
                      <w:rFonts w:hint="default" w:ascii="Times New Roman" w:hAnsi="Times New Roman" w:cs="Times New Roman"/>
                      <w:b w:val="0"/>
                      <w:bCs w:val="0"/>
                      <w:color w:val="000000"/>
                      <w:kern w:val="0"/>
                      <w:sz w:val="21"/>
                      <w:szCs w:val="21"/>
                      <w:u w:val="single"/>
                      <w:lang w:val="en-US" w:eastAsia="zh-CN" w:bidi="ar"/>
                    </w:rPr>
                    <w:t>，设</w:t>
                  </w:r>
                  <w:r>
                    <w:rPr>
                      <w:rFonts w:hint="eastAsia" w:ascii="Times New Roman" w:hAnsi="Times New Roman" w:cs="Times New Roman"/>
                      <w:b w:val="0"/>
                      <w:bCs w:val="0"/>
                      <w:color w:val="000000"/>
                      <w:kern w:val="0"/>
                      <w:sz w:val="21"/>
                      <w:szCs w:val="21"/>
                      <w:u w:val="single"/>
                      <w:lang w:val="en-US" w:eastAsia="zh-CN" w:bidi="ar"/>
                    </w:rPr>
                    <w:t>普通水产饲料、</w:t>
                  </w:r>
                  <w:r>
                    <w:rPr>
                      <w:rFonts w:hint="default" w:ascii="Times New Roman" w:hAnsi="Times New Roman" w:cs="Times New Roman"/>
                      <w:b w:val="0"/>
                      <w:bCs w:val="0"/>
                      <w:color w:val="000000"/>
                      <w:kern w:val="0"/>
                      <w:sz w:val="21"/>
                      <w:szCs w:val="21"/>
                      <w:u w:val="single"/>
                      <w:lang w:val="en-US" w:eastAsia="zh-CN" w:bidi="ar"/>
                    </w:rPr>
                    <w:t>膨化水产饲料</w:t>
                  </w:r>
                  <w:r>
                    <w:rPr>
                      <w:rFonts w:hint="eastAsia" w:ascii="Times New Roman" w:hAnsi="Times New Roman" w:cs="Times New Roman"/>
                      <w:b w:val="0"/>
                      <w:bCs w:val="0"/>
                      <w:color w:val="000000"/>
                      <w:kern w:val="0"/>
                      <w:sz w:val="21"/>
                      <w:szCs w:val="21"/>
                      <w:u w:val="single"/>
                      <w:lang w:val="en-US" w:eastAsia="zh-CN" w:bidi="ar"/>
                    </w:rPr>
                    <w:t>及环保型猪配合饲料生产线各1条，一栋共6层，混凝土框架结构，高度为43.5m</w:t>
                  </w:r>
                  <w:r>
                    <w:rPr>
                      <w:rFonts w:hint="default" w:ascii="Times New Roman" w:hAnsi="Times New Roman" w:cs="Times New Roman"/>
                      <w:b w:val="0"/>
                      <w:bCs w:val="0"/>
                      <w:color w:val="000000"/>
                      <w:kern w:val="0"/>
                      <w:sz w:val="21"/>
                      <w:szCs w:val="21"/>
                      <w:u w:val="single"/>
                      <w:lang w:val="en-US" w:eastAsia="zh-CN" w:bidi="ar"/>
                    </w:rPr>
                    <w:t>，建筑面积</w:t>
                  </w:r>
                  <w:r>
                    <w:rPr>
                      <w:rFonts w:hint="eastAsia" w:ascii="Times New Roman" w:hAnsi="Times New Roman" w:cs="Times New Roman"/>
                      <w:b w:val="0"/>
                      <w:bCs w:val="0"/>
                      <w:color w:val="000000"/>
                      <w:kern w:val="0"/>
                      <w:sz w:val="21"/>
                      <w:szCs w:val="21"/>
                      <w:u w:val="single"/>
                      <w:lang w:val="en-US" w:eastAsia="zh-CN" w:bidi="ar"/>
                    </w:rPr>
                    <w:t>6765.84</w:t>
                  </w:r>
                  <w:r>
                    <w:rPr>
                      <w:rFonts w:hint="default" w:ascii="Times New Roman" w:hAnsi="Times New Roman" w:cs="Times New Roman"/>
                      <w:b w:val="0"/>
                      <w:bCs w:val="0"/>
                      <w:color w:val="000000"/>
                      <w:kern w:val="0"/>
                      <w:sz w:val="21"/>
                      <w:szCs w:val="21"/>
                      <w:u w:val="single"/>
                      <w:lang w:val="en-US" w:eastAsia="zh-CN" w:bidi="ar"/>
                    </w:rPr>
                    <w:t>m</w:t>
                  </w:r>
                  <w:r>
                    <w:rPr>
                      <w:rFonts w:hint="default"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cs="Times New Roman"/>
                      <w:b w:val="0"/>
                      <w:bCs w:val="0"/>
                      <w:color w:val="000000"/>
                      <w:kern w:val="0"/>
                      <w:sz w:val="21"/>
                      <w:szCs w:val="21"/>
                      <w:u w:val="single"/>
                      <w:lang w:val="en-US" w:eastAsia="zh-CN" w:bidi="ar"/>
                    </w:rPr>
                    <w:t>2</w:t>
                  </w:r>
                  <w:r>
                    <w:rPr>
                      <w:rFonts w:hint="eastAsia" w:ascii="Times New Roman" w:hAnsi="Times New Roman" w:cs="Times New Roman"/>
                      <w:b w:val="0"/>
                      <w:bCs w:val="0"/>
                      <w:color w:val="000000"/>
                      <w:kern w:val="0"/>
                      <w:sz w:val="21"/>
                      <w:szCs w:val="21"/>
                      <w:u w:val="single"/>
                      <w:lang w:val="en-US" w:eastAsia="zh-CN" w:bidi="ar"/>
                    </w:rPr>
                    <w:t>#车间</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位于地块</w:t>
                  </w:r>
                  <w:r>
                    <w:rPr>
                      <w:rFonts w:hint="eastAsia" w:cs="Times New Roman"/>
                      <w:b w:val="0"/>
                      <w:bCs w:val="0"/>
                      <w:color w:val="000000"/>
                      <w:kern w:val="0"/>
                      <w:sz w:val="21"/>
                      <w:szCs w:val="21"/>
                      <w:u w:val="single"/>
                      <w:lang w:val="en-US" w:eastAsia="zh-CN" w:bidi="ar"/>
                    </w:rPr>
                    <w:t>东</w:t>
                  </w:r>
                  <w:r>
                    <w:rPr>
                      <w:rFonts w:hint="eastAsia" w:ascii="Times New Roman" w:hAnsi="Times New Roman" w:cs="Times New Roman"/>
                      <w:b w:val="0"/>
                      <w:bCs w:val="0"/>
                      <w:color w:val="000000"/>
                      <w:kern w:val="0"/>
                      <w:sz w:val="21"/>
                      <w:szCs w:val="21"/>
                      <w:u w:val="single"/>
                      <w:lang w:val="en-US" w:eastAsia="zh-CN" w:bidi="ar"/>
                    </w:rPr>
                    <w:t>侧，主要用于产品打包、计量、产品仓库及发酵饲料生产线1条，一栋共1层，钢架结构，高度为8m，建筑面积5675.11</w:t>
                  </w:r>
                  <w:r>
                    <w:rPr>
                      <w:rFonts w:hint="default" w:ascii="Times New Roman" w:hAnsi="Times New Roman" w:cs="Times New Roman"/>
                      <w:b w:val="0"/>
                      <w:bCs w:val="0"/>
                      <w:color w:val="000000"/>
                      <w:kern w:val="0"/>
                      <w:sz w:val="21"/>
                      <w:szCs w:val="21"/>
                      <w:u w:val="single"/>
                      <w:lang w:val="en-US" w:eastAsia="zh-CN" w:bidi="ar"/>
                    </w:rPr>
                    <w:t>m</w:t>
                  </w:r>
                  <w:r>
                    <w:rPr>
                      <w:rFonts w:hint="default"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restar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辅助工程</w:t>
                  </w: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综合楼</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1栋，共5层</w:t>
                  </w:r>
                  <w:r>
                    <w:rPr>
                      <w:rFonts w:hint="default" w:ascii="Times New Roman" w:hAnsi="Times New Roman" w:cs="Times New Roman"/>
                      <w:b w:val="0"/>
                      <w:bCs w:val="0"/>
                      <w:color w:val="000000"/>
                      <w:kern w:val="0"/>
                      <w:sz w:val="21"/>
                      <w:szCs w:val="21"/>
                      <w:u w:val="single"/>
                      <w:lang w:val="en-US" w:eastAsia="zh-CN" w:bidi="ar"/>
                    </w:rPr>
                    <w:t>，砖混结构，建筑面积</w:t>
                  </w:r>
                  <w:r>
                    <w:rPr>
                      <w:rFonts w:hint="eastAsia" w:ascii="Times New Roman" w:hAnsi="Times New Roman" w:cs="Times New Roman"/>
                      <w:b w:val="0"/>
                      <w:bCs w:val="0"/>
                      <w:color w:val="000000"/>
                      <w:kern w:val="0"/>
                      <w:sz w:val="21"/>
                      <w:szCs w:val="21"/>
                      <w:u w:val="single"/>
                      <w:lang w:val="en-US" w:eastAsia="zh-CN" w:bidi="ar"/>
                    </w:rPr>
                    <w:t>4500</w:t>
                  </w:r>
                  <w:r>
                    <w:rPr>
                      <w:rFonts w:hint="default" w:ascii="Times New Roman" w:hAnsi="Times New Roman" w:cs="Times New Roman"/>
                      <w:b w:val="0"/>
                      <w:bCs w:val="0"/>
                      <w:color w:val="000000"/>
                      <w:kern w:val="0"/>
                      <w:sz w:val="21"/>
                      <w:szCs w:val="21"/>
                      <w:u w:val="single"/>
                      <w:lang w:val="en-US" w:eastAsia="zh-CN" w:bidi="ar"/>
                    </w:rPr>
                    <w:t>m</w:t>
                  </w:r>
                  <w:r>
                    <w:rPr>
                      <w:rFonts w:hint="default"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。主要为行政人员办公。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食堂</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1栋，共1层，砖混结构，建筑面积144.84m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门卫室</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1栋，共1层，砖混结构，建筑面积59.64m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，内含休息室、开票室。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机修车间</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1栋，共1层，砖混结构，建筑面积751.71m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，主要用于生产设备维修。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restar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公用工程</w:t>
                  </w: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供水</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项目用水由</w:t>
                  </w:r>
                  <w:r>
                    <w:rPr>
                      <w:rFonts w:hint="eastAsia" w:ascii="Times New Roman" w:hAnsi="Times New Roman" w:cs="Times New Roman"/>
                      <w:b w:val="0"/>
                      <w:bCs w:val="0"/>
                      <w:color w:val="000000"/>
                      <w:kern w:val="0"/>
                      <w:sz w:val="21"/>
                      <w:szCs w:val="21"/>
                      <w:u w:val="single"/>
                      <w:lang w:val="en-US" w:eastAsia="zh-CN" w:bidi="ar"/>
                    </w:rPr>
                    <w:t>津市高新区自来水管网</w:t>
                  </w:r>
                  <w:r>
                    <w:rPr>
                      <w:rFonts w:hint="default" w:ascii="Times New Roman" w:hAnsi="Times New Roman" w:cs="Times New Roman"/>
                      <w:b w:val="0"/>
                      <w:bCs w:val="0"/>
                      <w:color w:val="000000"/>
                      <w:kern w:val="0"/>
                      <w:sz w:val="21"/>
                      <w:szCs w:val="21"/>
                      <w:u w:val="single"/>
                      <w:lang w:val="en-US" w:eastAsia="zh-CN" w:bidi="ar"/>
                    </w:rPr>
                    <w:t>供给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排水</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项目区雨污分流，雨水经雨水管线收集后排入</w:t>
                  </w:r>
                  <w:r>
                    <w:rPr>
                      <w:rFonts w:hint="eastAsia" w:ascii="Times New Roman" w:hAnsi="Times New Roman" w:cs="Times New Roman"/>
                      <w:b w:val="0"/>
                      <w:bCs w:val="0"/>
                      <w:color w:val="000000"/>
                      <w:kern w:val="0"/>
                      <w:sz w:val="21"/>
                      <w:szCs w:val="21"/>
                      <w:u w:val="single"/>
                      <w:lang w:val="en-US" w:eastAsia="zh-CN" w:bidi="ar"/>
                    </w:rPr>
                    <w:t>市政雨水管网</w:t>
                  </w:r>
                  <w:r>
                    <w:rPr>
                      <w:rFonts w:hint="default" w:ascii="Times New Roman" w:hAnsi="Times New Roman" w:cs="Times New Roman"/>
                      <w:b w:val="0"/>
                      <w:bCs w:val="0"/>
                      <w:color w:val="000000"/>
                      <w:kern w:val="0"/>
                      <w:sz w:val="21"/>
                      <w:szCs w:val="21"/>
                      <w:u w:val="single"/>
                      <w:lang w:val="en-US" w:eastAsia="zh-CN" w:bidi="ar"/>
                    </w:rPr>
                    <w:t>；</w:t>
                  </w:r>
                  <w:r>
                    <w:rPr>
                      <w:rFonts w:hint="eastAsia" w:ascii="Times New Roman" w:hAnsi="Times New Roman" w:cs="Times New Roman"/>
                      <w:b w:val="0"/>
                      <w:bCs w:val="0"/>
                      <w:color w:val="000000"/>
                      <w:kern w:val="0"/>
                      <w:sz w:val="21"/>
                      <w:szCs w:val="21"/>
                      <w:u w:val="single"/>
                      <w:lang w:val="en-US" w:eastAsia="zh-CN" w:bidi="ar"/>
                    </w:rPr>
                    <w:t>生活废水</w:t>
                  </w:r>
                  <w:r>
                    <w:rPr>
                      <w:rFonts w:hint="default" w:ascii="Times New Roman" w:hAnsi="Times New Roman" w:cs="Times New Roman"/>
                      <w:b w:val="0"/>
                      <w:bCs w:val="0"/>
                      <w:color w:val="000000"/>
                      <w:kern w:val="0"/>
                      <w:sz w:val="21"/>
                      <w:szCs w:val="21"/>
                      <w:u w:val="single"/>
                      <w:lang w:val="en-US" w:eastAsia="zh-CN" w:bidi="ar"/>
                    </w:rPr>
                    <w:t>经隔油池</w:t>
                  </w:r>
                  <w:r>
                    <w:rPr>
                      <w:rFonts w:hint="eastAsia" w:ascii="Times New Roman" w:hAnsi="Times New Roman" w:cs="Times New Roman"/>
                      <w:b w:val="0"/>
                      <w:bCs w:val="0"/>
                      <w:color w:val="000000"/>
                      <w:kern w:val="0"/>
                      <w:sz w:val="21"/>
                      <w:szCs w:val="21"/>
                      <w:u w:val="single"/>
                      <w:lang w:val="en-US" w:eastAsia="zh-CN" w:bidi="ar"/>
                    </w:rPr>
                    <w:t>及化粪池处理后排入市政污水管网，最终经津市高新区工业污水处理厂处理后排入澧水</w:t>
                  </w:r>
                  <w:r>
                    <w:rPr>
                      <w:rFonts w:hint="default" w:ascii="Times New Roman" w:hAnsi="Times New Roman" w:cs="Times New Roman"/>
                      <w:b w:val="0"/>
                      <w:bCs w:val="0"/>
                      <w:color w:val="000000"/>
                      <w:kern w:val="0"/>
                      <w:sz w:val="21"/>
                      <w:szCs w:val="21"/>
                      <w:u w:val="singl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供电</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项目用电由</w:t>
                  </w:r>
                  <w:r>
                    <w:rPr>
                      <w:rFonts w:hint="eastAsia" w:ascii="Times New Roman" w:hAnsi="Times New Roman" w:cs="Times New Roman"/>
                      <w:b w:val="0"/>
                      <w:bCs w:val="0"/>
                      <w:color w:val="000000"/>
                      <w:kern w:val="0"/>
                      <w:sz w:val="21"/>
                      <w:szCs w:val="21"/>
                      <w:u w:val="single"/>
                      <w:lang w:val="en-US" w:eastAsia="zh-CN" w:bidi="ar"/>
                    </w:rPr>
                    <w:t>津市高新区</w:t>
                  </w:r>
                  <w:r>
                    <w:rPr>
                      <w:rFonts w:hint="default" w:ascii="Times New Roman" w:hAnsi="Times New Roman" w:cs="Times New Roman"/>
                      <w:b w:val="0"/>
                      <w:bCs w:val="0"/>
                      <w:color w:val="000000"/>
                      <w:kern w:val="0"/>
                      <w:sz w:val="21"/>
                      <w:szCs w:val="21"/>
                      <w:u w:val="single"/>
                      <w:lang w:val="en-US" w:eastAsia="zh-CN" w:bidi="ar"/>
                    </w:rPr>
                    <w:t>供电系统供电</w:t>
                  </w:r>
                  <w:r>
                    <w:rPr>
                      <w:rFonts w:hint="eastAsia" w:ascii="Times New Roman" w:hAnsi="Times New Roman" w:cs="Times New Roman"/>
                      <w:b w:val="0"/>
                      <w:bCs w:val="0"/>
                      <w:color w:val="000000"/>
                      <w:kern w:val="0"/>
                      <w:sz w:val="21"/>
                      <w:szCs w:val="21"/>
                      <w:u w:val="singl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restar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环保工程</w:t>
                  </w:r>
                </w:p>
              </w:tc>
              <w:tc>
                <w:tcPr>
                  <w:tcW w:w="1135" w:type="dxa"/>
                  <w:vMerge w:val="restar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废气</w:t>
                  </w:r>
                </w:p>
              </w:tc>
              <w:tc>
                <w:tcPr>
                  <w:tcW w:w="6618" w:type="dxa"/>
                  <w:tcBorders>
                    <w:tl2br w:val="nil"/>
                    <w:tr2bl w:val="nil"/>
                  </w:tcBorders>
                  <w:vAlign w:val="center"/>
                </w:tcPr>
                <w:p>
                  <w:pPr>
                    <w:adjustRightInd w:val="0"/>
                    <w:snapToGrid w:val="0"/>
                    <w:spacing w:line="240" w:lineRule="auto"/>
                    <w:jc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kern w:val="0"/>
                      <w:sz w:val="21"/>
                      <w:szCs w:val="21"/>
                      <w:u w:val="single"/>
                      <w:lang w:val="en-US" w:eastAsia="zh-CN"/>
                    </w:rPr>
                    <w:t>粉尘：</w:t>
                  </w:r>
                  <w:r>
                    <w:rPr>
                      <w:rFonts w:hint="eastAsia" w:cs="Times New Roman"/>
                      <w:kern w:val="0"/>
                      <w:sz w:val="21"/>
                      <w:szCs w:val="21"/>
                      <w:u w:val="single"/>
                      <w:lang w:val="en-US" w:eastAsia="zh-CN"/>
                    </w:rPr>
                    <w:t>筒仓原料接收口设2套布袋除尘器；1#车间原料接收口设置2套布袋除尘器；主车间内设置4台负压风机+1根45m排气筒（P1）排放水蒸气；设置5套脉冲布袋除尘器+1根45m排气筒（P2）排放粉尘。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6618" w:type="dxa"/>
                  <w:tcBorders>
                    <w:tl2br w:val="nil"/>
                    <w:tr2bl w:val="nil"/>
                  </w:tcBorders>
                  <w:vAlign w:val="center"/>
                </w:tcPr>
                <w:p>
                  <w:pPr>
                    <w:adjustRightInd w:val="0"/>
                    <w:snapToGrid w:val="0"/>
                    <w:spacing w:line="240" w:lineRule="auto"/>
                    <w:jc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kern w:val="0"/>
                      <w:sz w:val="21"/>
                      <w:szCs w:val="21"/>
                      <w:u w:val="single"/>
                      <w:lang w:val="en-US" w:eastAsia="zh-CN"/>
                    </w:rPr>
                    <w:t xml:space="preserve"> 1#车间内发酵料生产线恶臭：</w:t>
                  </w:r>
                  <w:r>
                    <w:rPr>
                      <w:rFonts w:hint="eastAsia" w:cs="Times New Roman"/>
                      <w:kern w:val="0"/>
                      <w:sz w:val="21"/>
                      <w:szCs w:val="21"/>
                      <w:u w:val="single"/>
                      <w:lang w:val="en-US" w:eastAsia="zh-CN"/>
                    </w:rPr>
                    <w:t>发酵床恶臭</w:t>
                  </w:r>
                  <w:r>
                    <w:rPr>
                      <w:rFonts w:hint="eastAsia" w:ascii="Times New Roman" w:hAnsi="Times New Roman" w:cs="Times New Roman"/>
                      <w:kern w:val="0"/>
                      <w:sz w:val="21"/>
                      <w:szCs w:val="21"/>
                      <w:u w:val="single"/>
                      <w:lang w:val="en-US" w:eastAsia="zh-CN"/>
                    </w:rPr>
                    <w:t>采用负压风机</w:t>
                  </w:r>
                  <w:r>
                    <w:rPr>
                      <w:rFonts w:hint="eastAsia" w:cs="Times New Roman"/>
                      <w:kern w:val="0"/>
                      <w:sz w:val="21"/>
                      <w:szCs w:val="21"/>
                      <w:u w:val="single"/>
                      <w:lang w:val="en-US" w:eastAsia="zh-CN"/>
                    </w:rPr>
                    <w:t>收集+环保水池+生物除臭喷淋塔+</w:t>
                  </w:r>
                  <w:r>
                    <w:rPr>
                      <w:rFonts w:hint="eastAsia" w:ascii="Times New Roman" w:hAnsi="Times New Roman" w:cs="Times New Roman"/>
                      <w:kern w:val="0"/>
                      <w:sz w:val="21"/>
                      <w:szCs w:val="21"/>
                      <w:u w:val="single"/>
                      <w:lang w:val="en-US" w:eastAsia="zh-CN"/>
                    </w:rPr>
                    <w:t>15m高排气筒（P</w:t>
                  </w:r>
                  <w:r>
                    <w:rPr>
                      <w:rFonts w:hint="eastAsia" w:cs="Times New Roman"/>
                      <w:kern w:val="0"/>
                      <w:sz w:val="21"/>
                      <w:szCs w:val="21"/>
                      <w:u w:val="single"/>
                      <w:lang w:val="en-US" w:eastAsia="zh-CN"/>
                    </w:rPr>
                    <w:t>3</w:t>
                  </w:r>
                  <w:r>
                    <w:rPr>
                      <w:rFonts w:hint="eastAsia" w:ascii="Times New Roman" w:hAnsi="Times New Roman" w:cs="Times New Roman"/>
                      <w:kern w:val="0"/>
                      <w:sz w:val="21"/>
                      <w:szCs w:val="21"/>
                      <w:u w:val="single"/>
                      <w:lang w:val="en-US" w:eastAsia="zh-CN"/>
                    </w:rPr>
                    <w:t>）排放</w:t>
                  </w:r>
                  <w:r>
                    <w:rPr>
                      <w:rFonts w:hint="eastAsia" w:cs="Times New Roman"/>
                      <w:kern w:val="0"/>
                      <w:sz w:val="21"/>
                      <w:szCs w:val="21"/>
                      <w:u w:val="singl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6618"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玉米及小麦筒仓：仓顶设脉冲布袋除尘器（共10套）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pStyle w:val="65"/>
                    <w:spacing w:line="262" w:lineRule="exact"/>
                    <w:ind w:right="0" w:rightChars="0"/>
                    <w:jc w:val="center"/>
                    <w:rPr>
                      <w:rFonts w:hint="eastAsia" w:ascii="Times New Roman" w:hAnsi="Times New Roman" w:eastAsia="宋体" w:cs="Times New Roman"/>
                      <w:b w:val="0"/>
                      <w:bCs w:val="0"/>
                      <w:color w:val="000000"/>
                      <w:kern w:val="0"/>
                      <w:sz w:val="21"/>
                      <w:szCs w:val="21"/>
                      <w:u w:val="single"/>
                      <w:lang w:val="en-US" w:eastAsia="zh-CN" w:bidi="ar"/>
                    </w:rPr>
                  </w:pP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宋体" w:hAnsi="宋体" w:eastAsia="宋体" w:cs="宋体"/>
                      <w:sz w:val="21"/>
                      <w:szCs w:val="21"/>
                      <w:u w:val="single"/>
                    </w:rPr>
                    <w:t>锅炉</w:t>
                  </w:r>
                  <w:r>
                    <w:rPr>
                      <w:rFonts w:hint="eastAsia" w:ascii="宋体" w:hAnsi="宋体" w:eastAsia="宋体" w:cs="宋体"/>
                      <w:sz w:val="21"/>
                      <w:szCs w:val="21"/>
                      <w:u w:val="single"/>
                      <w:lang w:eastAsia="zh-CN"/>
                    </w:rPr>
                    <w:t>烟气：</w:t>
                  </w:r>
                  <w:r>
                    <w:rPr>
                      <w:rFonts w:hint="default" w:ascii="Times New Roman" w:hAnsi="Times New Roman" w:cs="Times New Roman"/>
                      <w:b w:val="0"/>
                      <w:bCs w:val="0"/>
                      <w:color w:val="000000"/>
                      <w:kern w:val="0"/>
                      <w:sz w:val="21"/>
                      <w:szCs w:val="21"/>
                      <w:u w:val="single"/>
                      <w:lang w:val="en-US" w:eastAsia="zh-CN" w:bidi="ar"/>
                    </w:rPr>
                    <w:t>8m高排气筒</w:t>
                  </w:r>
                  <w:r>
                    <w:rPr>
                      <w:rFonts w:hint="eastAsia" w:ascii="Times New Roman" w:hAnsi="Times New Roman" w:cs="Times New Roman"/>
                      <w:b w:val="0"/>
                      <w:bCs w:val="0"/>
                      <w:color w:val="000000"/>
                      <w:kern w:val="0"/>
                      <w:sz w:val="21"/>
                      <w:szCs w:val="21"/>
                      <w:u w:val="single"/>
                      <w:lang w:val="en-US" w:eastAsia="zh-CN" w:bidi="ar"/>
                    </w:rPr>
                    <w:t>（P3）</w:t>
                  </w:r>
                  <w:r>
                    <w:rPr>
                      <w:rFonts w:hint="default" w:ascii="Times New Roman" w:hAnsi="Times New Roman" w:cs="Times New Roman"/>
                      <w:b w:val="0"/>
                      <w:bCs w:val="0"/>
                      <w:color w:val="000000"/>
                      <w:kern w:val="0"/>
                      <w:sz w:val="21"/>
                      <w:szCs w:val="21"/>
                      <w:u w:val="singl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pStyle w:val="65"/>
                    <w:spacing w:line="266" w:lineRule="exact"/>
                    <w:ind w:right="0" w:rightChars="0"/>
                    <w:jc w:val="center"/>
                    <w:rPr>
                      <w:rFonts w:hint="eastAsia" w:ascii="Times New Roman" w:hAnsi="Times New Roman" w:cs="Times New Roman"/>
                      <w:b w:val="0"/>
                      <w:bCs w:val="0"/>
                      <w:color w:val="000000"/>
                      <w:kern w:val="0"/>
                      <w:sz w:val="21"/>
                      <w:szCs w:val="21"/>
                      <w:u w:val="single"/>
                      <w:lang w:val="en-US" w:eastAsia="zh-CN" w:bidi="ar"/>
                    </w:rPr>
                  </w:pP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宋体" w:hAnsi="宋体" w:eastAsia="宋体" w:cs="宋体"/>
                      <w:sz w:val="21"/>
                      <w:szCs w:val="21"/>
                      <w:u w:val="single"/>
                    </w:rPr>
                    <w:t>食堂油烟</w:t>
                  </w:r>
                  <w:r>
                    <w:rPr>
                      <w:rFonts w:hint="eastAsia" w:ascii="宋体" w:hAnsi="宋体" w:eastAsia="宋体" w:cs="宋体"/>
                      <w:sz w:val="21"/>
                      <w:szCs w:val="21"/>
                      <w:u w:val="single"/>
                      <w:lang w:eastAsia="zh-CN"/>
                    </w:rPr>
                    <w:t>：</w:t>
                  </w:r>
                  <w:r>
                    <w:rPr>
                      <w:rFonts w:hint="default" w:ascii="Times New Roman" w:hAnsi="Times New Roman" w:cs="Times New Roman"/>
                      <w:b w:val="0"/>
                      <w:bCs w:val="0"/>
                      <w:color w:val="000000"/>
                      <w:kern w:val="0"/>
                      <w:sz w:val="21"/>
                      <w:szCs w:val="21"/>
                      <w:u w:val="single"/>
                      <w:lang w:val="en-US" w:eastAsia="zh-CN" w:bidi="ar"/>
                    </w:rPr>
                    <w:t>安装油烟净化器，净化效率不低于60%。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pStyle w:val="65"/>
                    <w:spacing w:line="266" w:lineRule="exact"/>
                    <w:ind w:right="0" w:rightChars="0"/>
                    <w:jc w:val="center"/>
                    <w:rPr>
                      <w:rFonts w:hint="eastAsia" w:ascii="Times New Roman" w:hAnsi="Times New Roman" w:cs="Times New Roman"/>
                      <w:b w:val="0"/>
                      <w:bCs w:val="0"/>
                      <w:color w:val="000000"/>
                      <w:kern w:val="0"/>
                      <w:sz w:val="21"/>
                      <w:szCs w:val="21"/>
                      <w:u w:val="single"/>
                      <w:lang w:val="en-US" w:eastAsia="zh-CN" w:bidi="ar"/>
                    </w:rPr>
                  </w:pP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宋体" w:hAnsi="宋体" w:eastAsia="宋体" w:cs="宋体"/>
                      <w:sz w:val="21"/>
                      <w:szCs w:val="21"/>
                      <w:u w:val="single"/>
                      <w:lang w:eastAsia="zh-CN"/>
                    </w:rPr>
                  </w:pPr>
                  <w:r>
                    <w:rPr>
                      <w:rFonts w:hint="default" w:ascii="宋体" w:hAnsi="宋体" w:eastAsia="宋体" w:cs="宋体"/>
                      <w:sz w:val="21"/>
                      <w:szCs w:val="21"/>
                      <w:u w:val="single"/>
                    </w:rPr>
                    <w:t>无组织粉尘</w:t>
                  </w:r>
                  <w:r>
                    <w:rPr>
                      <w:rFonts w:hint="eastAsia" w:ascii="宋体" w:hAnsi="宋体" w:eastAsia="宋体" w:cs="宋体"/>
                      <w:sz w:val="21"/>
                      <w:szCs w:val="21"/>
                      <w:u w:val="single"/>
                      <w:lang w:eastAsia="zh-CN"/>
                    </w:rPr>
                    <w:t>：</w:t>
                  </w:r>
                  <w:r>
                    <w:rPr>
                      <w:rFonts w:hint="default" w:ascii="Times New Roman" w:hAnsi="Times New Roman" w:cs="Times New Roman"/>
                      <w:b w:val="0"/>
                      <w:bCs w:val="0"/>
                      <w:color w:val="000000"/>
                      <w:kern w:val="0"/>
                      <w:sz w:val="21"/>
                      <w:szCs w:val="21"/>
                      <w:u w:val="single"/>
                      <w:lang w:val="en-US" w:eastAsia="zh-CN" w:bidi="ar"/>
                    </w:rPr>
                    <w:t>加强绿化及通风。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pStyle w:val="65"/>
                    <w:spacing w:line="240" w:lineRule="auto"/>
                    <w:ind w:left="4" w:leftChars="0" w:right="0" w:rightChars="0"/>
                    <w:jc w:val="center"/>
                    <w:rPr>
                      <w:rFonts w:hint="default" w:ascii="宋体" w:hAnsi="宋体" w:eastAsia="宋体" w:cs="宋体"/>
                      <w:sz w:val="21"/>
                      <w:szCs w:val="21"/>
                      <w:u w:val="single"/>
                    </w:rPr>
                  </w:pPr>
                  <w:r>
                    <w:rPr>
                      <w:rFonts w:hint="default" w:ascii="宋体" w:hAnsi="宋体" w:eastAsia="宋体" w:cs="宋体"/>
                      <w:sz w:val="21"/>
                      <w:szCs w:val="21"/>
                      <w:u w:val="single"/>
                    </w:rPr>
                    <w:t>废水</w:t>
                  </w:r>
                </w:p>
              </w:tc>
              <w:tc>
                <w:tcPr>
                  <w:tcW w:w="6618" w:type="dxa"/>
                  <w:tcBorders>
                    <w:tl2br w:val="nil"/>
                    <w:tr2bl w:val="nil"/>
                  </w:tcBorders>
                  <w:vAlign w:val="center"/>
                </w:tcPr>
                <w:p>
                  <w:pPr>
                    <w:pStyle w:val="65"/>
                    <w:spacing w:line="261" w:lineRule="auto"/>
                    <w:ind w:left="103" w:leftChars="0" w:right="-4" w:rightChars="0" w:hanging="105" w:firstLineChars="0"/>
                    <w:jc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eastAsia="宋体" w:cs="Times New Roman"/>
                      <w:spacing w:val="-4"/>
                      <w:sz w:val="21"/>
                      <w:szCs w:val="21"/>
                      <w:u w:val="single"/>
                      <w:lang w:val="en-US" w:eastAsia="zh-CN"/>
                    </w:rPr>
                    <w:t>生活废水：隔油池及化粪池（总容积为5m</w:t>
                  </w:r>
                  <w:r>
                    <w:rPr>
                      <w:rFonts w:hint="default" w:ascii="Times New Roman" w:hAnsi="Times New Roman" w:eastAsia="宋体" w:cs="Times New Roman"/>
                      <w:spacing w:val="-4"/>
                      <w:sz w:val="21"/>
                      <w:szCs w:val="21"/>
                      <w:u w:val="single"/>
                      <w:vertAlign w:val="superscript"/>
                      <w:lang w:val="en-US" w:eastAsia="zh-CN"/>
                    </w:rPr>
                    <w:t>3</w:t>
                  </w:r>
                  <w:r>
                    <w:rPr>
                      <w:rFonts w:hint="default" w:ascii="Times New Roman" w:hAnsi="Times New Roman" w:eastAsia="宋体" w:cs="Times New Roman"/>
                      <w:spacing w:val="-4"/>
                      <w:sz w:val="21"/>
                      <w:szCs w:val="21"/>
                      <w:u w:val="singl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pStyle w:val="65"/>
                    <w:spacing w:line="262" w:lineRule="exact"/>
                    <w:ind w:left="4" w:leftChars="0" w:right="0" w:rightChars="0"/>
                    <w:jc w:val="center"/>
                    <w:rPr>
                      <w:rFonts w:hint="default" w:ascii="宋体" w:hAnsi="宋体" w:eastAsia="宋体" w:cs="宋体"/>
                      <w:sz w:val="21"/>
                      <w:szCs w:val="21"/>
                      <w:u w:val="single"/>
                    </w:rPr>
                  </w:pPr>
                  <w:r>
                    <w:rPr>
                      <w:rFonts w:hint="default" w:ascii="宋体" w:hAnsi="宋体" w:eastAsia="宋体" w:cs="宋体"/>
                      <w:sz w:val="21"/>
                      <w:szCs w:val="21"/>
                      <w:u w:val="single"/>
                    </w:rPr>
                    <w:t>噪声</w:t>
                  </w:r>
                </w:p>
              </w:tc>
              <w:tc>
                <w:tcPr>
                  <w:tcW w:w="6618" w:type="dxa"/>
                  <w:tcBorders>
                    <w:tl2br w:val="nil"/>
                    <w:tr2bl w:val="nil"/>
                  </w:tcBorders>
                  <w:vAlign w:val="center"/>
                </w:tcPr>
                <w:p>
                  <w:pPr>
                    <w:pStyle w:val="65"/>
                    <w:spacing w:line="262" w:lineRule="exact"/>
                    <w:ind w:left="1528" w:leftChars="0" w:right="0" w:rightChars="0"/>
                    <w:jc w:val="center"/>
                    <w:rPr>
                      <w:rFonts w:hint="default" w:ascii="Times New Roman" w:hAnsi="Times New Roman" w:cs="Times New Roman"/>
                      <w:b w:val="0"/>
                      <w:bCs w:val="0"/>
                      <w:color w:val="000000"/>
                      <w:kern w:val="0"/>
                      <w:sz w:val="21"/>
                      <w:szCs w:val="21"/>
                      <w:u w:val="single"/>
                      <w:lang w:val="en-US" w:eastAsia="zh-CN" w:bidi="ar"/>
                    </w:rPr>
                  </w:pPr>
                  <w:r>
                    <w:rPr>
                      <w:rFonts w:hint="default" w:ascii="宋体" w:hAnsi="宋体" w:eastAsia="宋体" w:cs="宋体"/>
                      <w:spacing w:val="-3"/>
                      <w:sz w:val="21"/>
                      <w:szCs w:val="21"/>
                      <w:u w:val="single"/>
                    </w:rPr>
                    <w:t>采取减振、消声、厂房隔音等措施。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restart"/>
                  <w:tcBorders>
                    <w:tl2br w:val="nil"/>
                    <w:tr2bl w:val="nil"/>
                  </w:tcBorders>
                  <w:vAlign w:val="center"/>
                </w:tcPr>
                <w:p>
                  <w:pPr>
                    <w:pStyle w:val="65"/>
                    <w:spacing w:before="106" w:line="240" w:lineRule="auto"/>
                    <w:ind w:left="4" w:leftChars="0" w:right="0" w:rightChars="0"/>
                    <w:jc w:val="center"/>
                    <w:rPr>
                      <w:rFonts w:hint="default" w:ascii="宋体" w:hAnsi="宋体" w:eastAsia="宋体" w:cs="宋体"/>
                      <w:sz w:val="21"/>
                      <w:szCs w:val="21"/>
                      <w:u w:val="single"/>
                    </w:rPr>
                  </w:pPr>
                  <w:r>
                    <w:rPr>
                      <w:rFonts w:hint="default" w:ascii="宋体" w:hAnsi="宋体" w:eastAsia="宋体" w:cs="宋体"/>
                      <w:sz w:val="21"/>
                      <w:szCs w:val="21"/>
                      <w:u w:val="single"/>
                    </w:rPr>
                    <w:t>固废</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危险废物：危险废物暂存间（10m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 xml:space="preserve">），位于机修车间内，委托有资质的单位定期处置。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pStyle w:val="65"/>
                    <w:spacing w:before="106" w:line="240" w:lineRule="auto"/>
                    <w:ind w:left="4" w:leftChars="0" w:right="0" w:rightChars="0"/>
                    <w:jc w:val="center"/>
                    <w:rPr>
                      <w:rFonts w:hint="default" w:ascii="宋体" w:hAnsi="宋体" w:eastAsia="宋体" w:cs="宋体"/>
                      <w:sz w:val="21"/>
                      <w:szCs w:val="21"/>
                      <w:u w:val="single"/>
                    </w:rPr>
                  </w:pP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 xml:space="preserve"> 一般固废：一般固废暂存间（50m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），位于1#车间内，定期外售给市场回收企业。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vMerge w:val="continue"/>
                  <w:tcBorders>
                    <w:tl2br w:val="nil"/>
                    <w:tr2bl w:val="nil"/>
                  </w:tcBorders>
                  <w:vAlign w:val="center"/>
                </w:tcPr>
                <w:p>
                  <w:pPr>
                    <w:pStyle w:val="65"/>
                    <w:spacing w:before="106" w:line="240" w:lineRule="auto"/>
                    <w:ind w:left="4" w:leftChars="0" w:right="0" w:rightChars="0"/>
                    <w:jc w:val="center"/>
                    <w:rPr>
                      <w:rFonts w:hint="default" w:ascii="宋体" w:hAnsi="宋体" w:eastAsia="宋体" w:cs="宋体"/>
                      <w:sz w:val="21"/>
                      <w:szCs w:val="21"/>
                      <w:u w:val="single"/>
                    </w:rPr>
                  </w:pP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生活垃圾：设置生活垃圾桶、箱若干，委托环卫部门清运。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restart"/>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储运工程</w:t>
                  </w: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小麦仓及玉米仓</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vertAlign w:val="baseline"/>
                      <w:lang w:val="en-US" w:eastAsia="zh-CN" w:bidi="ar"/>
                    </w:rPr>
                  </w:pPr>
                  <w:r>
                    <w:rPr>
                      <w:rFonts w:hint="eastAsia" w:ascii="Times New Roman" w:hAnsi="Times New Roman" w:cs="Times New Roman"/>
                      <w:b w:val="0"/>
                      <w:bCs w:val="0"/>
                      <w:color w:val="000000"/>
                      <w:kern w:val="0"/>
                      <w:sz w:val="21"/>
                      <w:szCs w:val="21"/>
                      <w:u w:val="single"/>
                      <w:lang w:val="en-US" w:eastAsia="zh-CN" w:bidi="ar"/>
                    </w:rPr>
                    <w:t>共10个圆形筒仓，其中2个为玉米仓，容积均为3068m</w:t>
                  </w:r>
                  <w:r>
                    <w:rPr>
                      <w:rFonts w:hint="eastAsia" w:ascii="Times New Roman" w:hAnsi="Times New Roman" w:cs="Times New Roman"/>
                      <w:b w:val="0"/>
                      <w:bCs w:val="0"/>
                      <w:color w:val="000000"/>
                      <w:kern w:val="0"/>
                      <w:sz w:val="21"/>
                      <w:szCs w:val="21"/>
                      <w:u w:val="single"/>
                      <w:vertAlign w:val="superscript"/>
                      <w:lang w:val="en-US" w:eastAsia="zh-CN" w:bidi="ar"/>
                    </w:rPr>
                    <w:t>3</w:t>
                  </w:r>
                  <w:r>
                    <w:rPr>
                      <w:rFonts w:hint="eastAsia" w:ascii="Times New Roman" w:hAnsi="Times New Roman" w:cs="Times New Roman"/>
                      <w:b w:val="0"/>
                      <w:bCs w:val="0"/>
                      <w:color w:val="000000"/>
                      <w:kern w:val="0"/>
                      <w:sz w:val="21"/>
                      <w:szCs w:val="21"/>
                      <w:u w:val="single"/>
                      <w:vertAlign w:val="baseline"/>
                      <w:lang w:val="en-US" w:eastAsia="zh-CN" w:bidi="ar"/>
                    </w:rPr>
                    <w:t>/个</w:t>
                  </w:r>
                  <w:r>
                    <w:rPr>
                      <w:rFonts w:hint="eastAsia" w:ascii="Times New Roman" w:hAnsi="Times New Roman" w:cs="Times New Roman"/>
                      <w:b w:val="0"/>
                      <w:bCs w:val="0"/>
                      <w:color w:val="000000"/>
                      <w:kern w:val="0"/>
                      <w:sz w:val="21"/>
                      <w:szCs w:val="21"/>
                      <w:u w:val="single"/>
                      <w:lang w:val="en-US" w:eastAsia="zh-CN" w:bidi="ar"/>
                    </w:rPr>
                    <w:t>，其余8个均为小麦仓，容积均为1039m</w:t>
                  </w:r>
                  <w:r>
                    <w:rPr>
                      <w:rFonts w:hint="eastAsia" w:ascii="Times New Roman" w:hAnsi="Times New Roman" w:cs="Times New Roman"/>
                      <w:b w:val="0"/>
                      <w:bCs w:val="0"/>
                      <w:color w:val="000000"/>
                      <w:kern w:val="0"/>
                      <w:sz w:val="21"/>
                      <w:szCs w:val="21"/>
                      <w:u w:val="single"/>
                      <w:vertAlign w:val="superscript"/>
                      <w:lang w:val="en-US" w:eastAsia="zh-CN" w:bidi="ar"/>
                    </w:rPr>
                    <w:t>3</w:t>
                  </w:r>
                  <w:r>
                    <w:rPr>
                      <w:rFonts w:hint="eastAsia" w:ascii="Times New Roman" w:hAnsi="Times New Roman" w:cs="Times New Roman"/>
                      <w:b w:val="0"/>
                      <w:bCs w:val="0"/>
                      <w:color w:val="000000"/>
                      <w:kern w:val="0"/>
                      <w:sz w:val="21"/>
                      <w:szCs w:val="21"/>
                      <w:u w:val="single"/>
                      <w:vertAlign w:val="baseline"/>
                      <w:lang w:val="en-US" w:eastAsia="zh-CN" w:bidi="ar"/>
                    </w:rPr>
                    <w:t>/个，共3个储油罐，容积均为41</w:t>
                  </w:r>
                  <w:r>
                    <w:rPr>
                      <w:rFonts w:hint="eastAsia" w:ascii="Times New Roman" w:hAnsi="Times New Roman" w:cs="Times New Roman"/>
                      <w:b w:val="0"/>
                      <w:bCs w:val="0"/>
                      <w:color w:val="000000"/>
                      <w:kern w:val="0"/>
                      <w:sz w:val="21"/>
                      <w:szCs w:val="21"/>
                      <w:u w:val="single"/>
                      <w:lang w:val="en-US" w:eastAsia="zh-CN" w:bidi="ar"/>
                    </w:rPr>
                    <w:t>m</w:t>
                  </w:r>
                  <w:r>
                    <w:rPr>
                      <w:rFonts w:hint="eastAsia" w:ascii="Times New Roman" w:hAnsi="Times New Roman" w:cs="Times New Roman"/>
                      <w:b w:val="0"/>
                      <w:bCs w:val="0"/>
                      <w:color w:val="000000"/>
                      <w:kern w:val="0"/>
                      <w:sz w:val="21"/>
                      <w:szCs w:val="21"/>
                      <w:u w:val="single"/>
                      <w:vertAlign w:val="superscript"/>
                      <w:lang w:val="en-US" w:eastAsia="zh-CN" w:bidi="ar"/>
                    </w:rPr>
                    <w:t>3</w:t>
                  </w:r>
                  <w:r>
                    <w:rPr>
                      <w:rFonts w:hint="eastAsia" w:ascii="Times New Roman" w:hAnsi="Times New Roman" w:cs="Times New Roman"/>
                      <w:b w:val="0"/>
                      <w:bCs w:val="0"/>
                      <w:color w:val="000000"/>
                      <w:kern w:val="0"/>
                      <w:sz w:val="21"/>
                      <w:szCs w:val="21"/>
                      <w:u w:val="single"/>
                      <w:vertAlign w:val="baseline"/>
                      <w:lang w:val="en-US" w:eastAsia="zh-CN" w:bidi="ar"/>
                    </w:rPr>
                    <w:t>/个</w:t>
                  </w:r>
                  <w:r>
                    <w:rPr>
                      <w:rFonts w:hint="eastAsia" w:ascii="Times New Roman" w:hAnsi="Times New Roman" w:cs="Times New Roman"/>
                      <w:b w:val="0"/>
                      <w:bCs w:val="0"/>
                      <w:color w:val="000000"/>
                      <w:kern w:val="0"/>
                      <w:sz w:val="21"/>
                      <w:szCs w:val="21"/>
                      <w:u w:val="single"/>
                      <w:lang w:val="en-US" w:eastAsia="zh-CN" w:bidi="ar"/>
                    </w:rPr>
                    <w:t>，用于储存豆油，储罐均位于室外，主车间北侧。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64" w:type="dxa"/>
                  <w:vMerge w:val="continue"/>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p>
              </w:tc>
              <w:tc>
                <w:tcPr>
                  <w:tcW w:w="1135"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cs="Times New Roman"/>
                      <w:b w:val="0"/>
                      <w:bCs w:val="0"/>
                      <w:color w:val="000000"/>
                      <w:kern w:val="0"/>
                      <w:sz w:val="21"/>
                      <w:szCs w:val="21"/>
                      <w:u w:val="single"/>
                      <w:lang w:val="en-US" w:eastAsia="zh-CN" w:bidi="ar"/>
                    </w:rPr>
                    <w:t>1</w:t>
                  </w:r>
                  <w:r>
                    <w:rPr>
                      <w:rFonts w:hint="eastAsia" w:ascii="Times New Roman" w:hAnsi="Times New Roman" w:cs="Times New Roman"/>
                      <w:b w:val="0"/>
                      <w:bCs w:val="0"/>
                      <w:color w:val="000000"/>
                      <w:kern w:val="0"/>
                      <w:sz w:val="21"/>
                      <w:szCs w:val="21"/>
                      <w:u w:val="single"/>
                      <w:lang w:val="en-US" w:eastAsia="zh-CN" w:bidi="ar"/>
                    </w:rPr>
                    <w:t>#车间</w:t>
                  </w:r>
                </w:p>
              </w:tc>
              <w:tc>
                <w:tcPr>
                  <w:tcW w:w="661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位于地块</w:t>
                  </w:r>
                  <w:r>
                    <w:rPr>
                      <w:rFonts w:hint="eastAsia" w:cs="Times New Roman"/>
                      <w:b w:val="0"/>
                      <w:bCs w:val="0"/>
                      <w:color w:val="000000"/>
                      <w:kern w:val="0"/>
                      <w:sz w:val="21"/>
                      <w:szCs w:val="21"/>
                      <w:u w:val="single"/>
                      <w:lang w:val="en-US" w:eastAsia="zh-CN" w:bidi="ar"/>
                    </w:rPr>
                    <w:t>西</w:t>
                  </w:r>
                  <w:r>
                    <w:rPr>
                      <w:rFonts w:hint="eastAsia" w:ascii="Times New Roman" w:hAnsi="Times New Roman" w:cs="Times New Roman"/>
                      <w:b w:val="0"/>
                      <w:bCs w:val="0"/>
                      <w:color w:val="000000"/>
                      <w:kern w:val="0"/>
                      <w:sz w:val="21"/>
                      <w:szCs w:val="21"/>
                      <w:u w:val="single"/>
                      <w:lang w:val="en-US" w:eastAsia="zh-CN" w:bidi="ar"/>
                    </w:rPr>
                    <w:t>侧，主要为原材料仓库，一栋共1层，钢架结构，高度为8m，建筑面积5675.11</w:t>
                  </w:r>
                  <w:r>
                    <w:rPr>
                      <w:rFonts w:hint="default" w:ascii="Times New Roman" w:hAnsi="Times New Roman" w:cs="Times New Roman"/>
                      <w:b w:val="0"/>
                      <w:bCs w:val="0"/>
                      <w:color w:val="000000"/>
                      <w:kern w:val="0"/>
                      <w:sz w:val="21"/>
                      <w:szCs w:val="21"/>
                      <w:u w:val="single"/>
                      <w:lang w:val="en-US" w:eastAsia="zh-CN" w:bidi="ar"/>
                    </w:rPr>
                    <w:t>m</w:t>
                  </w:r>
                  <w:r>
                    <w:rPr>
                      <w:rFonts w:hint="default"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w:t>
                  </w:r>
                </w:p>
              </w:tc>
            </w:tr>
          </w:tbl>
          <w:p>
            <w:pPr>
              <w:spacing w:line="360" w:lineRule="auto"/>
              <w:ind w:firstLine="480" w:firstLineChars="200"/>
              <w:rPr>
                <w:b/>
                <w:sz w:val="24"/>
              </w:rPr>
            </w:pPr>
            <w:r>
              <w:rPr>
                <w:rFonts w:hint="eastAsia"/>
                <w:sz w:val="24"/>
              </w:rPr>
              <w:t>3、主要设备</w:t>
            </w:r>
          </w:p>
          <w:p>
            <w:pPr>
              <w:spacing w:line="360" w:lineRule="auto"/>
              <w:ind w:firstLine="480"/>
              <w:rPr>
                <w:sz w:val="24"/>
              </w:rPr>
            </w:pPr>
            <w:r>
              <w:rPr>
                <w:rFonts w:hint="eastAsia"/>
                <w:sz w:val="24"/>
              </w:rPr>
              <w:t>本项目主要设备见表1-</w:t>
            </w:r>
            <w:r>
              <w:rPr>
                <w:rFonts w:hint="eastAsia"/>
                <w:sz w:val="24"/>
                <w:lang w:val="en-US" w:eastAsia="zh-CN"/>
              </w:rPr>
              <w:t>2</w:t>
            </w:r>
            <w:r>
              <w:rPr>
                <w:rFonts w:hint="eastAsia"/>
                <w:sz w:val="24"/>
              </w:rPr>
              <w:t>。</w:t>
            </w:r>
          </w:p>
          <w:p>
            <w:pPr>
              <w:spacing w:line="360" w:lineRule="auto"/>
              <w:ind w:firstLine="480"/>
              <w:jc w:val="center"/>
              <w:rPr>
                <w:b/>
                <w:szCs w:val="21"/>
              </w:rPr>
            </w:pPr>
            <w:r>
              <w:rPr>
                <w:rFonts w:hint="eastAsia"/>
                <w:b/>
                <w:szCs w:val="21"/>
              </w:rPr>
              <w:t>表1-</w:t>
            </w:r>
            <w:r>
              <w:rPr>
                <w:rFonts w:hint="eastAsia"/>
                <w:b/>
                <w:szCs w:val="21"/>
                <w:lang w:val="en-US" w:eastAsia="zh-CN"/>
              </w:rPr>
              <w:t>2</w:t>
            </w:r>
            <w:r>
              <w:rPr>
                <w:rFonts w:hint="eastAsia"/>
                <w:b/>
                <w:szCs w:val="21"/>
              </w:rPr>
              <w:t xml:space="preserve">  主要设备一览表</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3653"/>
              <w:gridCol w:w="2073"/>
              <w:gridCol w:w="938"/>
              <w:gridCol w:w="1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设备名称</w:t>
                  </w:r>
                </w:p>
              </w:tc>
              <w:tc>
                <w:tcPr>
                  <w:tcW w:w="207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型号规格</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数量</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bCs/>
                      <w:lang w:val="en-US" w:eastAsia="zh-CN"/>
                    </w:rPr>
                    <w:t>一</w:t>
                  </w:r>
                </w:p>
              </w:tc>
              <w:tc>
                <w:tcPr>
                  <w:tcW w:w="7745" w:type="dxa"/>
                  <w:gridSpan w:val="4"/>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b/>
                      <w:bCs/>
                      <w:lang w:val="en-US" w:eastAsia="zh-CN"/>
                    </w:rPr>
                    <w:t>原料接收系统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粒料投料斗及栅栏</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default" w:ascii="Times New Roman" w:hAnsi="Times New Roman" w:cs="Times New Roman"/>
                      <w:b w:val="0"/>
                      <w:bCs w:val="0"/>
                      <w:color w:val="000000"/>
                      <w:kern w:val="0"/>
                      <w:sz w:val="21"/>
                      <w:szCs w:val="21"/>
                      <w:u w:val="none"/>
                      <w:lang w:val="en-US" w:eastAsia="zh-CN" w:bidi="ar"/>
                    </w:rPr>
                    <w:t>投料斗2m</w:t>
                  </w:r>
                  <w:r>
                    <w:rPr>
                      <w:rFonts w:hint="default" w:ascii="Times New Roman" w:hAnsi="Times New Roman" w:cs="Times New Roman"/>
                      <w:b w:val="0"/>
                      <w:bCs w:val="0"/>
                      <w:color w:val="000000"/>
                      <w:kern w:val="0"/>
                      <w:sz w:val="21"/>
                      <w:szCs w:val="21"/>
                      <w:u w:val="none"/>
                      <w:vertAlign w:val="superscript"/>
                      <w:lang w:val="en-US" w:eastAsia="zh-CN" w:bidi="ar"/>
                    </w:rPr>
                    <w:t xml:space="preserve">3 </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脉冲除尘器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LNGM27</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4-72-4A</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7</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刮板输送机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TGSS25</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5</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自清式提升机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TDTGk50/28</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5</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6</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刮板输送机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TGSS25</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7</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圆筒初清筛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TCQY125</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8</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永磁筒</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TCXT30</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脉冲除尘器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TBLMB4</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11</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12</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分配器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TFPX-6</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圆筒初清筛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TCQY125</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二</w:t>
                  </w:r>
                </w:p>
              </w:tc>
              <w:tc>
                <w:tcPr>
                  <w:tcW w:w="7745" w:type="dxa"/>
                  <w:gridSpan w:val="4"/>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一次粉碎系统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15</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待粉碎仓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每个仓约26m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1m3</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21</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叶轮喂料器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TWLY20X125</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22</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粉碎机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SFSP65X125W</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26</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脉冲除尘器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LNGM77</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27</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高压风机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6-30-8C</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30</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沉降室</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3m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9</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32</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料封螺旋输送机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TLSSF32</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33</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斗式提升机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TDTGk50/28</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5</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34</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32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35</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脉冲除尘器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TBLMB4</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36</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37</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分配器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TFPX-8</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三</w:t>
                  </w:r>
                </w:p>
              </w:tc>
              <w:tc>
                <w:tcPr>
                  <w:tcW w:w="7745" w:type="dxa"/>
                  <w:gridSpan w:val="4"/>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一次配料混合系统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38</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配料仓群</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default" w:ascii="Times New Roman" w:hAnsi="Times New Roman" w:cs="Times New Roman"/>
                      <w:b w:val="0"/>
                      <w:bCs w:val="0"/>
                      <w:color w:val="000000"/>
                      <w:kern w:val="0"/>
                      <w:sz w:val="21"/>
                      <w:szCs w:val="21"/>
                      <w:u w:val="none"/>
                      <w:lang w:val="en-US" w:eastAsia="zh-CN" w:bidi="ar"/>
                    </w:rPr>
                    <w:t>共约402m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bottom"/>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39</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大出仓机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TWLL40</w:t>
                  </w:r>
                </w:p>
              </w:tc>
              <w:tc>
                <w:tcPr>
                  <w:tcW w:w="938" w:type="dxa"/>
                  <w:tcBorders>
                    <w:tl2br w:val="nil"/>
                    <w:tr2bl w:val="nil"/>
                  </w:tcBorders>
                  <w:vAlign w:val="bottom"/>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40</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大出仓机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TWLL32</w:t>
                  </w:r>
                </w:p>
              </w:tc>
              <w:tc>
                <w:tcPr>
                  <w:tcW w:w="938" w:type="dxa"/>
                  <w:tcBorders>
                    <w:tl2br w:val="nil"/>
                    <w:tr2bl w:val="nil"/>
                  </w:tcBorders>
                  <w:vAlign w:val="bottom"/>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41</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小出仓机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TWLL25</w:t>
                  </w:r>
                </w:p>
              </w:tc>
              <w:tc>
                <w:tcPr>
                  <w:tcW w:w="938" w:type="dxa"/>
                  <w:tcBorders>
                    <w:tl2br w:val="nil"/>
                    <w:tr2bl w:val="nil"/>
                  </w:tcBorders>
                  <w:vAlign w:val="bottom"/>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42</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小出仓机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TWLL20</w:t>
                  </w:r>
                </w:p>
              </w:tc>
              <w:tc>
                <w:tcPr>
                  <w:tcW w:w="938" w:type="dxa"/>
                  <w:tcBorders>
                    <w:tl2br w:val="nil"/>
                    <w:tr2bl w:val="nil"/>
                  </w:tcBorders>
                  <w:vAlign w:val="bottom"/>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43</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双轴桨叶式混合机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SLHSJ7</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44</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7m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45</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刮板输送机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TGSS32</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46</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脉冲除尘器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TBLMB2</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47</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斗式提升机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TDTG60/28</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48</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永磁筒</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TXCT40</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49</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50</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分配器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TFPX-6</w:t>
                  </w:r>
                </w:p>
              </w:tc>
              <w:tc>
                <w:tcPr>
                  <w:tcW w:w="9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四</w:t>
                  </w:r>
                </w:p>
              </w:tc>
              <w:tc>
                <w:tcPr>
                  <w:tcW w:w="7745" w:type="dxa"/>
                  <w:gridSpan w:val="4"/>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颗粒料、冷却生产系统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51</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待制粒仓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约18m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52</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破拱喂料仓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TXLP120*180</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53</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颗粒机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KDZL550</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54</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闭风喂料器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TGFY40</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55</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翻板冷却器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SLNF24X24</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56</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破碎机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KDSL30X180X</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57</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刮板输送机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TGSU25</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58</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冷却风机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4-72-8C</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59</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斗式提升机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TDTGk50/28</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60</w:t>
                  </w:r>
                </w:p>
              </w:tc>
              <w:tc>
                <w:tcPr>
                  <w:tcW w:w="365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分级筛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SFJH153X3C</w:t>
                  </w:r>
                </w:p>
              </w:tc>
              <w:tc>
                <w:tcPr>
                  <w:tcW w:w="93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五</w:t>
                  </w:r>
                </w:p>
              </w:tc>
              <w:tc>
                <w:tcPr>
                  <w:tcW w:w="7745"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颗粒料成品包装系统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61</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成品仓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每个约19m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62</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7.5kw</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63</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振动筛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TQLZ150*200</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64</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高方筛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65</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66</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电子打包秤（双称斗）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67</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自动切线缝包装置</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68</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皮带输送机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69</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4-72-5.5A</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六</w:t>
                  </w:r>
                </w:p>
              </w:tc>
              <w:tc>
                <w:tcPr>
                  <w:tcW w:w="7745" w:type="dxa"/>
                  <w:gridSpan w:val="4"/>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none"/>
                      <w:lang w:val="en-US" w:eastAsia="zh-CN" w:bidi="ar"/>
                    </w:rPr>
                  </w:pPr>
                  <w:r>
                    <w:rPr>
                      <w:rFonts w:hint="eastAsia" w:ascii="Times New Roman" w:hAnsi="Times New Roman" w:cs="Times New Roman"/>
                      <w:b/>
                      <w:bCs/>
                      <w:color w:val="000000"/>
                      <w:kern w:val="0"/>
                      <w:sz w:val="21"/>
                      <w:szCs w:val="21"/>
                      <w:u w:val="none"/>
                      <w:lang w:val="en-US" w:eastAsia="zh-CN" w:bidi="ar"/>
                    </w:rPr>
                    <w:t>二次粉碎系统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70</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超微待粉碎仓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每个仓约24m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71</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缓冲仓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1m</w:t>
                  </w:r>
                  <w:r>
                    <w:rPr>
                      <w:rFonts w:hint="eastAsia" w:ascii="Times New Roman" w:hAnsi="Times New Roman" w:cs="Times New Roman"/>
                      <w:b w:val="0"/>
                      <w:bCs w:val="0"/>
                      <w:color w:val="000000"/>
                      <w:kern w:val="0"/>
                      <w:sz w:val="21"/>
                      <w:szCs w:val="21"/>
                      <w:u w:val="none"/>
                      <w:vertAlign w:val="superscript"/>
                      <w:lang w:val="en-US" w:eastAsia="zh-CN" w:bidi="ar"/>
                    </w:rPr>
                    <w:t>3</w:t>
                  </w:r>
                  <w:r>
                    <w:rPr>
                      <w:rFonts w:hint="eastAsia" w:ascii="Times New Roman" w:hAnsi="Times New Roman" w:cs="Times New Roman"/>
                      <w:b w:val="0"/>
                      <w:bCs w:val="0"/>
                      <w:color w:val="000000"/>
                      <w:kern w:val="0"/>
                      <w:sz w:val="21"/>
                      <w:szCs w:val="21"/>
                      <w:u w:val="none"/>
                      <w:lang w:val="en-US" w:eastAsia="zh-CN" w:bidi="ar"/>
                    </w:rPr>
                    <w:t>/个</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72</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螺旋输送机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TLSS20</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73</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刮板输送机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TGSU25</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七</w:t>
                  </w:r>
                </w:p>
              </w:tc>
              <w:tc>
                <w:tcPr>
                  <w:tcW w:w="7745" w:type="dxa"/>
                  <w:gridSpan w:val="4"/>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none"/>
                      <w:lang w:val="en-US" w:eastAsia="zh-CN" w:bidi="ar"/>
                    </w:rPr>
                  </w:pPr>
                  <w:r>
                    <w:rPr>
                      <w:rFonts w:hint="eastAsia" w:ascii="Times New Roman" w:hAnsi="Times New Roman" w:cs="Times New Roman"/>
                      <w:b/>
                      <w:bCs/>
                      <w:color w:val="000000"/>
                      <w:kern w:val="0"/>
                      <w:sz w:val="21"/>
                      <w:szCs w:val="21"/>
                      <w:u w:val="none"/>
                      <w:lang w:val="en-US" w:eastAsia="zh-CN" w:bidi="ar"/>
                    </w:rPr>
                    <w:t>二次配料系统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74</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二次配料仓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每个仓约24m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75</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破拱装置</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76</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出仓机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TWLL25</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77</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配料秤</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3000KG/批</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78</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小料秤</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150kg</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79</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双轴桨叶式混合机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SLHSJ7</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80</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缓冲斗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7m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81</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刮板输送机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TGSS32</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82</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斗式提升机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TDTG60/28</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83</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永磁筒</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TXCT30</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84</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油脂添加罐</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3</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八</w:t>
                  </w:r>
                </w:p>
              </w:tc>
              <w:tc>
                <w:tcPr>
                  <w:tcW w:w="7745" w:type="dxa"/>
                  <w:gridSpan w:val="4"/>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none"/>
                      <w:lang w:val="en-US" w:eastAsia="zh-CN" w:bidi="ar"/>
                    </w:rPr>
                  </w:pPr>
                  <w:r>
                    <w:rPr>
                      <w:rFonts w:hint="default" w:ascii="Times New Roman" w:hAnsi="Times New Roman" w:cs="Times New Roman"/>
                      <w:b/>
                      <w:bCs/>
                      <w:color w:val="000000"/>
                      <w:kern w:val="0"/>
                      <w:sz w:val="21"/>
                      <w:szCs w:val="21"/>
                      <w:u w:val="none"/>
                      <w:lang w:val="en-US" w:eastAsia="zh-CN" w:bidi="ar"/>
                    </w:rPr>
                    <w:t>膨化、烘干、筛分、喷涂、冷却生产系统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85</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待膨化仓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每个约18m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86</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振动卸料器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TDXZ130*50</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87</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破拱喂料器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TXLP120*180</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88</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喂料器</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TWLL25</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89</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膨化机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KDPH150X2</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90</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4-72-4A</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91</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斗式提升机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TDTG50/28</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92</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分级筛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SFJH140x2C</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93</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滚筒喷涂机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SYPT15</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94</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烘干机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KDVD24X24-4</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95</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除湿风机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4-68-7C</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九</w:t>
                  </w:r>
                </w:p>
              </w:tc>
              <w:tc>
                <w:tcPr>
                  <w:tcW w:w="7745" w:type="dxa"/>
                  <w:gridSpan w:val="4"/>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none"/>
                      <w:lang w:val="en-US" w:eastAsia="zh-CN" w:bidi="ar"/>
                    </w:rPr>
                  </w:pPr>
                  <w:r>
                    <w:rPr>
                      <w:rFonts w:hint="default" w:ascii="Times New Roman" w:hAnsi="Times New Roman" w:cs="Times New Roman"/>
                      <w:b/>
                      <w:bCs/>
                      <w:color w:val="000000"/>
                      <w:kern w:val="0"/>
                      <w:sz w:val="21"/>
                      <w:szCs w:val="21"/>
                      <w:u w:val="none"/>
                      <w:lang w:val="en-US" w:eastAsia="zh-CN" w:bidi="ar"/>
                    </w:rPr>
                    <w:t>膨化成品包装系统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96</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成品仓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约18m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97</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分级筛</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SFJH140x2C</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98</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缓冲仓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11m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99</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电子打包秤（双称斗）</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LCS-25-BZ</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100</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自动切线缝包装置</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101</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皮带输送机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总长2.5m</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102</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回粉仓</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每个约5m</w:t>
                  </w:r>
                  <w:r>
                    <w:rPr>
                      <w:rFonts w:hint="eastAsia" w:ascii="Times New Roman" w:hAnsi="Times New Roman" w:cs="Times New Roman"/>
                      <w:b w:val="0"/>
                      <w:bCs w:val="0"/>
                      <w:color w:val="000000"/>
                      <w:kern w:val="0"/>
                      <w:sz w:val="21"/>
                      <w:szCs w:val="21"/>
                      <w:u w:val="none"/>
                      <w:vertAlign w:val="superscript"/>
                      <w:lang w:val="en-US" w:eastAsia="zh-CN" w:bidi="ar"/>
                    </w:rPr>
                    <w:t>3</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103</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刮板机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TGSS20</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104</w:t>
                  </w:r>
                </w:p>
              </w:tc>
              <w:tc>
                <w:tcPr>
                  <w:tcW w:w="365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提升机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TDTGk36/28</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十</w:t>
                  </w:r>
                </w:p>
              </w:tc>
              <w:tc>
                <w:tcPr>
                  <w:tcW w:w="7745"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发酵料设备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105</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DengXian" w:hAnsi="DengXian" w:eastAsia="DengXian" w:cs="宋体"/>
                      <w:color w:val="000000"/>
                      <w:kern w:val="0"/>
                      <w:sz w:val="22"/>
                      <w:szCs w:val="22"/>
                    </w:rPr>
                    <w:t>混合机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106</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DengXian" w:hAnsi="DengXian" w:eastAsia="DengXian" w:cs="宋体"/>
                      <w:color w:val="000000"/>
                      <w:kern w:val="0"/>
                      <w:sz w:val="22"/>
                      <w:szCs w:val="22"/>
                    </w:rPr>
                    <w:t>菌种添加系统</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107</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Courier New" w:hAnsi="Courier New" w:eastAsia="DengXian" w:cs="Courier New"/>
                      <w:color w:val="000000"/>
                      <w:kern w:val="0"/>
                      <w:sz w:val="22"/>
                      <w:szCs w:val="22"/>
                    </w:rPr>
                    <w:t>﻿</w:t>
                  </w:r>
                  <w:r>
                    <w:rPr>
                      <w:rFonts w:hint="eastAsia" w:ascii="DengXian" w:hAnsi="DengXian" w:eastAsia="DengXian" w:cs="宋体"/>
                      <w:color w:val="000000"/>
                      <w:kern w:val="0"/>
                      <w:sz w:val="22"/>
                      <w:szCs w:val="22"/>
                    </w:rPr>
                    <w:t>布料移动车</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108</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Courier New" w:hAnsi="Courier New" w:eastAsia="DengXian" w:cs="Courier New"/>
                      <w:color w:val="000000"/>
                      <w:kern w:val="0"/>
                      <w:sz w:val="22"/>
                      <w:szCs w:val="22"/>
                    </w:rPr>
                    <w:t>﻿</w:t>
                  </w:r>
                  <w:r>
                    <w:rPr>
                      <w:rFonts w:hint="eastAsia" w:ascii="DengXian" w:hAnsi="DengXian" w:eastAsia="DengXian" w:cs="宋体"/>
                      <w:color w:val="000000"/>
                      <w:kern w:val="0"/>
                      <w:sz w:val="22"/>
                      <w:szCs w:val="22"/>
                    </w:rPr>
                    <w:t>发酵车</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50</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109</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Courier New" w:hAnsi="Courier New" w:eastAsia="DengXian" w:cs="Courier New"/>
                      <w:color w:val="000000"/>
                      <w:kern w:val="0"/>
                      <w:sz w:val="22"/>
                      <w:szCs w:val="22"/>
                    </w:rPr>
                    <w:t>﻿</w:t>
                  </w:r>
                  <w:r>
                    <w:rPr>
                      <w:rFonts w:hint="eastAsia" w:ascii="DengXian" w:hAnsi="DengXian" w:eastAsia="DengXian" w:cs="宋体"/>
                      <w:color w:val="000000"/>
                      <w:kern w:val="0"/>
                      <w:sz w:val="22"/>
                      <w:szCs w:val="22"/>
                    </w:rPr>
                    <w:t>卸料移动车</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110</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DengXian" w:hAnsi="DengXian" w:eastAsia="DengXian" w:cs="宋体"/>
                      <w:color w:val="000000"/>
                      <w:kern w:val="0"/>
                      <w:sz w:val="22"/>
                      <w:szCs w:val="22"/>
                    </w:rPr>
                    <w:t>无轴绞龙</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2</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111</w:t>
                  </w: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DengXian" w:hAnsi="DengXian" w:eastAsia="DengXian" w:cs="宋体"/>
                      <w:color w:val="000000"/>
                      <w:kern w:val="0"/>
                      <w:sz w:val="22"/>
                      <w:szCs w:val="22"/>
                    </w:rPr>
                    <w:t>自动包装系统</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7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p>
              </w:tc>
              <w:tc>
                <w:tcPr>
                  <w:tcW w:w="3653" w:type="dxa"/>
                  <w:tcBorders>
                    <w:tl2br w:val="nil"/>
                    <w:tr2bl w:val="nil"/>
                  </w:tcBorders>
                  <w:vAlign w:val="center"/>
                </w:tcPr>
                <w:p>
                  <w:pPr>
                    <w:widowControl/>
                    <w:jc w:val="center"/>
                    <w:rPr>
                      <w:rFonts w:hint="eastAsia" w:ascii="Times New Roman" w:hAnsi="Times New Roman" w:cs="Times New Roman"/>
                      <w:b w:val="0"/>
                      <w:bCs w:val="0"/>
                      <w:color w:val="000000"/>
                      <w:kern w:val="0"/>
                      <w:sz w:val="21"/>
                      <w:szCs w:val="21"/>
                      <w:u w:val="none"/>
                      <w:lang w:val="en-US" w:eastAsia="zh-CN" w:bidi="ar"/>
                    </w:rPr>
                  </w:pPr>
                  <w:r>
                    <w:rPr>
                      <w:rFonts w:hint="eastAsia" w:ascii="DengXian" w:hAnsi="DengXian" w:eastAsia="DengXian" w:cs="宋体"/>
                      <w:color w:val="000000"/>
                      <w:kern w:val="0"/>
                      <w:sz w:val="22"/>
                      <w:szCs w:val="22"/>
                    </w:rPr>
                    <w:t>自动码包机</w:t>
                  </w:r>
                </w:p>
              </w:tc>
              <w:tc>
                <w:tcPr>
                  <w:tcW w:w="2073"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w:t>
                  </w:r>
                </w:p>
              </w:tc>
              <w:tc>
                <w:tcPr>
                  <w:tcW w:w="938"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1</w:t>
                  </w:r>
                </w:p>
              </w:tc>
              <w:tc>
                <w:tcPr>
                  <w:tcW w:w="108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r>
          </w:tbl>
          <w:p>
            <w:pPr>
              <w:spacing w:line="360" w:lineRule="auto"/>
              <w:ind w:firstLine="480" w:firstLineChars="200"/>
              <w:contextualSpacing/>
              <w:jc w:val="left"/>
              <w:rPr>
                <w:sz w:val="24"/>
                <w:u w:val="none"/>
              </w:rPr>
            </w:pPr>
            <w:r>
              <w:rPr>
                <w:rFonts w:hint="eastAsia"/>
                <w:sz w:val="24"/>
                <w:u w:val="none"/>
              </w:rPr>
              <w:t>4、主要原辅材料</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本项目生产车间主要原辅材料年消耗情况见表</w:t>
            </w:r>
            <w:r>
              <w:rPr>
                <w:rFonts w:hint="eastAsia" w:cs="Times New Roman"/>
                <w:color w:val="000000"/>
                <w:sz w:val="24"/>
                <w:lang w:val="en-US" w:eastAsia="zh-CN"/>
              </w:rPr>
              <w:t>1</w:t>
            </w:r>
            <w:r>
              <w:rPr>
                <w:rFonts w:hint="eastAsia" w:ascii="Times New Roman" w:hAnsi="Times New Roman" w:cs="Times New Roman"/>
                <w:color w:val="000000"/>
                <w:sz w:val="24"/>
                <w:lang w:val="en-US" w:eastAsia="zh-CN"/>
              </w:rPr>
              <w:t>-3。</w:t>
            </w:r>
          </w:p>
          <w:p>
            <w:pPr>
              <w:adjustRightInd w:val="0"/>
              <w:snapToGrid w:val="0"/>
              <w:spacing w:line="360" w:lineRule="auto"/>
              <w:jc w:val="center"/>
              <w:rPr>
                <w:b/>
                <w:szCs w:val="21"/>
                <w:u w:val="none"/>
              </w:rPr>
            </w:pPr>
            <w:r>
              <w:rPr>
                <w:rFonts w:hint="eastAsia" w:ascii="Times New Roman" w:hAnsi="Times New Roman" w:cs="Times New Roman"/>
                <w:b/>
                <w:szCs w:val="24"/>
                <w:lang w:val="en-US" w:eastAsia="zh-CN"/>
              </w:rPr>
              <w:t>表</w:t>
            </w:r>
            <w:r>
              <w:rPr>
                <w:rFonts w:hint="eastAsia" w:cs="Times New Roman"/>
                <w:b/>
                <w:szCs w:val="24"/>
                <w:lang w:val="en-US" w:eastAsia="zh-CN"/>
              </w:rPr>
              <w:t>1</w:t>
            </w:r>
            <w:r>
              <w:rPr>
                <w:rFonts w:hint="eastAsia" w:ascii="Times New Roman" w:hAnsi="Times New Roman" w:cs="Times New Roman"/>
                <w:b/>
                <w:szCs w:val="24"/>
                <w:lang w:val="en-US" w:eastAsia="zh-CN"/>
              </w:rPr>
              <w:t>-3  生产车间主要原辅材料消耗情况表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0"/>
              <w:gridCol w:w="1637"/>
              <w:gridCol w:w="671"/>
              <w:gridCol w:w="1736"/>
              <w:gridCol w:w="1165"/>
              <w:gridCol w:w="1537"/>
              <w:gridCol w:w="12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物料名称</w:t>
                  </w:r>
                </w:p>
              </w:tc>
              <w:tc>
                <w:tcPr>
                  <w:tcW w:w="67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形态</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单耗kg/t产品</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年耗量t/a</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最大储存量t/a</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储存方式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玉米</w:t>
                  </w:r>
                </w:p>
              </w:tc>
              <w:tc>
                <w:tcPr>
                  <w:tcW w:w="67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663.7</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131049</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3000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筒仓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棉粕</w:t>
                  </w:r>
                </w:p>
              </w:tc>
              <w:tc>
                <w:tcPr>
                  <w:tcW w:w="67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56.3</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11259</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2000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default" w:ascii="Times New Roman" w:hAnsi="Times New Roman" w:cs="Times New Roman"/>
                      <w:lang w:val="en-US" w:eastAsia="zh-CN"/>
                    </w:rPr>
                    <w:t>袋装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豆粕</w:t>
                  </w:r>
                </w:p>
              </w:tc>
              <w:tc>
                <w:tcPr>
                  <w:tcW w:w="67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62.5</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12491</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2000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default" w:ascii="Times New Roman" w:hAnsi="Times New Roman" w:cs="Times New Roman"/>
                      <w:lang w:val="en-US" w:eastAsia="zh-CN"/>
                    </w:rPr>
                    <w:t>袋装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菜粕</w:t>
                  </w:r>
                </w:p>
              </w:tc>
              <w:tc>
                <w:tcPr>
                  <w:tcW w:w="67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96.6</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19325</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3000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default" w:ascii="Times New Roman" w:hAnsi="Times New Roman" w:cs="Times New Roman"/>
                      <w:lang w:val="en-US" w:eastAsia="zh-CN"/>
                    </w:rPr>
                    <w:t>袋装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5</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豆油</w:t>
                  </w:r>
                </w:p>
              </w:tc>
              <w:tc>
                <w:tcPr>
                  <w:tcW w:w="67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液体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6.72</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672</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储罐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6</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小麦</w:t>
                  </w:r>
                </w:p>
              </w:tc>
              <w:tc>
                <w:tcPr>
                  <w:tcW w:w="67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225.2</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45037</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5000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筒仓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7</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大麦</w:t>
                  </w:r>
                </w:p>
              </w:tc>
              <w:tc>
                <w:tcPr>
                  <w:tcW w:w="6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40.5</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8100</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1000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袋装</w:t>
                  </w:r>
                  <w:r>
                    <w:rPr>
                      <w:rFonts w:hint="eastAsia" w:ascii="Times New Roman" w:hAnsi="Times New Roman" w:cs="Times New Roman"/>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饲料添加剂</w:t>
                  </w:r>
                </w:p>
              </w:tc>
              <w:tc>
                <w:tcPr>
                  <w:tcW w:w="67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2.35</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469</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袋装</w:t>
                  </w:r>
                  <w:r>
                    <w:rPr>
                      <w:rFonts w:hint="eastAsia" w:ascii="Times New Roman" w:hAnsi="Times New Roman" w:cs="Times New Roman"/>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9</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菌种</w:t>
                  </w:r>
                </w:p>
              </w:tc>
              <w:tc>
                <w:tcPr>
                  <w:tcW w:w="67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30</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 xml:space="preserve">桶装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4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63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麦麸</w:t>
                  </w:r>
                </w:p>
              </w:tc>
              <w:tc>
                <w:tcPr>
                  <w:tcW w:w="67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固体</w:t>
                  </w:r>
                </w:p>
              </w:tc>
              <w:tc>
                <w:tcPr>
                  <w:tcW w:w="173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56.2</w:t>
                  </w:r>
                </w:p>
              </w:tc>
              <w:tc>
                <w:tcPr>
                  <w:tcW w:w="116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1685</w:t>
                  </w:r>
                </w:p>
              </w:tc>
              <w:tc>
                <w:tcPr>
                  <w:tcW w:w="153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1231"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袋装</w:t>
                  </w:r>
                  <w:r>
                    <w:rPr>
                      <w:rFonts w:hint="eastAsia" w:ascii="Times New Roman" w:hAnsi="Times New Roman" w:cs="Times New Roman"/>
                      <w:lang w:val="en-US" w:eastAsia="zh-CN"/>
                    </w:rPr>
                    <w:t xml:space="preserve"> </w:t>
                  </w:r>
                </w:p>
              </w:tc>
            </w:tr>
          </w:tbl>
          <w:p>
            <w:pPr>
              <w:adjustRightInd w:val="0"/>
              <w:snapToGrid w:val="0"/>
              <w:spacing w:line="360" w:lineRule="auto"/>
              <w:ind w:firstLine="482" w:firstLineChars="200"/>
              <w:rPr>
                <w:rFonts w:hint="eastAsia" w:ascii="Times New Roman" w:hAnsi="Times New Roman" w:cs="Times New Roman"/>
                <w:color w:val="000000"/>
                <w:sz w:val="24"/>
                <w:lang w:val="en-US" w:eastAsia="zh-CN"/>
              </w:rPr>
            </w:pPr>
            <w:r>
              <w:rPr>
                <w:rFonts w:hint="eastAsia" w:ascii="Times New Roman" w:hAnsi="Times New Roman" w:cs="Times New Roman"/>
                <w:b/>
                <w:bCs/>
                <w:color w:val="000000"/>
                <w:sz w:val="24"/>
                <w:lang w:val="en-US" w:eastAsia="zh-CN"/>
              </w:rPr>
              <w:t>饲料添加剂：</w:t>
            </w:r>
            <w:r>
              <w:rPr>
                <w:rFonts w:hint="eastAsia" w:ascii="Times New Roman" w:hAnsi="Times New Roman" w:cs="Times New Roman"/>
                <w:color w:val="000000"/>
                <w:sz w:val="24"/>
                <w:lang w:val="en-US" w:eastAsia="zh-CN"/>
              </w:rPr>
              <w:t>主要为营养物质、矿物元素、维生素等，主要用于强化饲养效果，有利于配合饲料生产和贮存的非营养性添加剂原料及其配制产品。</w:t>
            </w:r>
          </w:p>
          <w:p>
            <w:pPr>
              <w:adjustRightInd w:val="0"/>
              <w:snapToGrid w:val="0"/>
              <w:spacing w:line="360" w:lineRule="auto"/>
              <w:ind w:firstLine="482" w:firstLineChars="200"/>
              <w:rPr>
                <w:rFonts w:hint="eastAsia" w:ascii="Times New Roman" w:hAnsi="Times New Roman" w:cs="Times New Roman"/>
                <w:color w:val="000000"/>
                <w:sz w:val="24"/>
                <w:lang w:val="en-US" w:eastAsia="zh-CN"/>
              </w:rPr>
            </w:pPr>
            <w:r>
              <w:rPr>
                <w:rFonts w:hint="eastAsia" w:ascii="Times New Roman" w:hAnsi="Times New Roman" w:cs="Times New Roman"/>
                <w:b/>
                <w:bCs/>
                <w:color w:val="000000"/>
                <w:sz w:val="24"/>
                <w:lang w:val="en-US" w:eastAsia="zh-CN"/>
              </w:rPr>
              <w:t>菌种：</w:t>
            </w:r>
            <w:r>
              <w:rPr>
                <w:rFonts w:hint="eastAsia" w:ascii="Times New Roman" w:hAnsi="Times New Roman" w:cs="Times New Roman"/>
                <w:color w:val="000000"/>
                <w:sz w:val="24"/>
                <w:lang w:val="en-US" w:eastAsia="zh-CN"/>
              </w:rPr>
              <w:t>枯草芽孢杆菌、乳酸菌、酵母菌等复合菌种。</w:t>
            </w:r>
          </w:p>
          <w:p>
            <w:pPr>
              <w:spacing w:line="360" w:lineRule="auto"/>
              <w:ind w:firstLine="480"/>
              <w:contextualSpacing/>
              <w:jc w:val="left"/>
              <w:rPr>
                <w:sz w:val="24"/>
                <w:u w:val="none"/>
              </w:rPr>
            </w:pPr>
            <w:r>
              <w:rPr>
                <w:rFonts w:hint="eastAsia"/>
                <w:sz w:val="24"/>
                <w:u w:val="none"/>
              </w:rPr>
              <w:t>5、产品方案</w:t>
            </w:r>
          </w:p>
          <w:p>
            <w:pPr>
              <w:spacing w:line="360" w:lineRule="auto"/>
              <w:ind w:firstLine="480"/>
              <w:rPr>
                <w:rFonts w:hint="eastAsia"/>
                <w:sz w:val="24"/>
                <w:u w:val="none"/>
              </w:rPr>
            </w:pPr>
            <w:r>
              <w:rPr>
                <w:rFonts w:hint="eastAsia"/>
                <w:sz w:val="24"/>
                <w:u w:val="none"/>
              </w:rPr>
              <w:t>本项目主要产品见表1-</w:t>
            </w:r>
            <w:r>
              <w:rPr>
                <w:rFonts w:hint="eastAsia"/>
                <w:sz w:val="24"/>
                <w:u w:val="none"/>
                <w:lang w:val="en-US" w:eastAsia="zh-CN"/>
              </w:rPr>
              <w:t>4</w:t>
            </w:r>
            <w:r>
              <w:rPr>
                <w:rFonts w:hint="eastAsia"/>
                <w:sz w:val="24"/>
                <w:u w:val="none"/>
              </w:rPr>
              <w:t>。</w:t>
            </w:r>
          </w:p>
          <w:p>
            <w:pPr>
              <w:spacing w:line="360" w:lineRule="auto"/>
              <w:jc w:val="center"/>
              <w:rPr>
                <w:b/>
                <w:szCs w:val="21"/>
                <w:u w:val="none"/>
              </w:rPr>
            </w:pPr>
            <w:r>
              <w:rPr>
                <w:rFonts w:hint="eastAsia"/>
                <w:b/>
                <w:szCs w:val="21"/>
                <w:u w:val="none"/>
              </w:rPr>
              <w:t>表1-</w:t>
            </w:r>
            <w:r>
              <w:rPr>
                <w:rFonts w:hint="eastAsia"/>
                <w:b/>
                <w:szCs w:val="21"/>
                <w:u w:val="none"/>
                <w:lang w:val="en-US" w:eastAsia="zh-CN"/>
              </w:rPr>
              <w:t>4</w:t>
            </w:r>
            <w:r>
              <w:rPr>
                <w:rFonts w:hint="eastAsia"/>
                <w:b/>
                <w:szCs w:val="21"/>
                <w:u w:val="none"/>
              </w:rPr>
              <w:t xml:space="preserve">  主要产品一览表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731"/>
              <w:gridCol w:w="3329"/>
              <w:gridCol w:w="35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1754" w:type="dxa"/>
                  <w:tcBorders>
                    <w:tl2br w:val="nil"/>
                    <w:tr2bl w:val="nil"/>
                  </w:tcBorders>
                  <w:vAlign w:val="center"/>
                </w:tcPr>
                <w:p>
                  <w:pPr>
                    <w:kinsoku w:val="0"/>
                    <w:overflowPunct w:val="0"/>
                    <w:autoSpaceDE w:val="0"/>
                    <w:autoSpaceDN w:val="0"/>
                    <w:adjustRightInd w:val="0"/>
                    <w:spacing w:line="240" w:lineRule="exact"/>
                    <w:jc w:val="center"/>
                    <w:rPr>
                      <w:rFonts w:ascii="Times New Roman" w:hAnsi="Times New Roman"/>
                      <w:b/>
                      <w:bCs/>
                      <w:kern w:val="0"/>
                      <w:sz w:val="21"/>
                      <w:szCs w:val="21"/>
                      <w:u w:val="none"/>
                    </w:rPr>
                  </w:pPr>
                  <w:r>
                    <w:rPr>
                      <w:rFonts w:ascii="Times New Roman" w:hAnsi="Times New Roman"/>
                      <w:b/>
                      <w:bCs/>
                      <w:kern w:val="0"/>
                      <w:sz w:val="21"/>
                      <w:szCs w:val="21"/>
                      <w:u w:val="none"/>
                    </w:rPr>
                    <w:t>序号</w:t>
                  </w:r>
                </w:p>
              </w:tc>
              <w:tc>
                <w:tcPr>
                  <w:tcW w:w="3373" w:type="dxa"/>
                  <w:tcBorders>
                    <w:tl2br w:val="nil"/>
                    <w:tr2bl w:val="nil"/>
                  </w:tcBorders>
                  <w:vAlign w:val="center"/>
                </w:tcPr>
                <w:p>
                  <w:pPr>
                    <w:kinsoku w:val="0"/>
                    <w:overflowPunct w:val="0"/>
                    <w:autoSpaceDE w:val="0"/>
                    <w:autoSpaceDN w:val="0"/>
                    <w:adjustRightInd w:val="0"/>
                    <w:spacing w:line="240" w:lineRule="exact"/>
                    <w:jc w:val="center"/>
                    <w:rPr>
                      <w:rFonts w:ascii="Times New Roman" w:hAnsi="Times New Roman"/>
                      <w:b/>
                      <w:bCs/>
                      <w:kern w:val="0"/>
                      <w:sz w:val="21"/>
                      <w:szCs w:val="21"/>
                      <w:u w:val="none"/>
                    </w:rPr>
                  </w:pPr>
                  <w:r>
                    <w:rPr>
                      <w:rFonts w:ascii="Times New Roman" w:hAnsi="Times New Roman"/>
                      <w:b/>
                      <w:bCs/>
                      <w:kern w:val="0"/>
                      <w:sz w:val="21"/>
                      <w:szCs w:val="21"/>
                      <w:u w:val="none"/>
                    </w:rPr>
                    <w:t>产品名称</w:t>
                  </w:r>
                </w:p>
              </w:tc>
              <w:tc>
                <w:tcPr>
                  <w:tcW w:w="3604" w:type="dxa"/>
                  <w:tcBorders>
                    <w:tl2br w:val="nil"/>
                    <w:tr2bl w:val="nil"/>
                  </w:tcBorders>
                  <w:vAlign w:val="center"/>
                </w:tcPr>
                <w:p>
                  <w:pPr>
                    <w:kinsoku w:val="0"/>
                    <w:overflowPunct w:val="0"/>
                    <w:autoSpaceDE w:val="0"/>
                    <w:autoSpaceDN w:val="0"/>
                    <w:adjustRightInd w:val="0"/>
                    <w:spacing w:line="240" w:lineRule="exact"/>
                    <w:jc w:val="center"/>
                    <w:rPr>
                      <w:rFonts w:ascii="Times New Roman" w:hAnsi="Times New Roman"/>
                      <w:b/>
                      <w:bCs/>
                      <w:kern w:val="0"/>
                      <w:sz w:val="21"/>
                      <w:szCs w:val="21"/>
                      <w:u w:val="none"/>
                    </w:rPr>
                  </w:pPr>
                  <w:r>
                    <w:rPr>
                      <w:rFonts w:ascii="Times New Roman" w:hAnsi="Times New Roman"/>
                      <w:b/>
                      <w:bCs/>
                      <w:kern w:val="0"/>
                      <w:sz w:val="21"/>
                      <w:szCs w:val="21"/>
                      <w:u w:val="none"/>
                    </w:rPr>
                    <w:t>设计产能</w:t>
                  </w:r>
                  <w:r>
                    <w:rPr>
                      <w:rFonts w:hint="eastAsia" w:ascii="Times New Roman" w:hAnsi="Times New Roman"/>
                      <w:b/>
                      <w:bCs/>
                      <w:kern w:val="0"/>
                      <w:sz w:val="21"/>
                      <w:szCs w:val="21"/>
                      <w:u w:val="none"/>
                      <w:lang w:eastAsia="zh-CN"/>
                    </w:rPr>
                    <w:t>（</w:t>
                  </w:r>
                  <w:r>
                    <w:rPr>
                      <w:rFonts w:ascii="Times New Roman" w:hAnsi="Times New Roman"/>
                      <w:b/>
                      <w:bCs/>
                      <w:kern w:val="0"/>
                      <w:sz w:val="21"/>
                      <w:szCs w:val="21"/>
                      <w:u w:val="none"/>
                    </w:rPr>
                    <w:t>t/a</w:t>
                  </w:r>
                  <w:r>
                    <w:rPr>
                      <w:rFonts w:hint="eastAsia" w:ascii="Times New Roman" w:hAnsi="Times New Roman"/>
                      <w:b/>
                      <w:bCs/>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1754"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eastAsiaTheme="minorEastAsia"/>
                      <w:kern w:val="0"/>
                      <w:sz w:val="21"/>
                      <w:szCs w:val="21"/>
                      <w:u w:val="none"/>
                      <w:lang w:val="en-US" w:eastAsia="zh-CN"/>
                    </w:rPr>
                  </w:pPr>
                  <w:r>
                    <w:rPr>
                      <w:rFonts w:hint="eastAsia" w:ascii="Times New Roman" w:hAnsi="Times New Roman"/>
                      <w:kern w:val="0"/>
                      <w:sz w:val="21"/>
                      <w:szCs w:val="21"/>
                      <w:u w:val="none"/>
                      <w:lang w:val="en-US" w:eastAsia="zh-CN"/>
                    </w:rPr>
                    <w:t>1</w:t>
                  </w:r>
                </w:p>
              </w:tc>
              <w:tc>
                <w:tcPr>
                  <w:tcW w:w="3373"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eastAsiaTheme="minorEastAsia"/>
                      <w:kern w:val="0"/>
                      <w:sz w:val="21"/>
                      <w:szCs w:val="21"/>
                      <w:u w:val="none"/>
                      <w:lang w:eastAsia="zh-CN"/>
                    </w:rPr>
                  </w:pPr>
                  <w:r>
                    <w:rPr>
                      <w:rFonts w:hint="eastAsia" w:ascii="Times New Roman" w:hAnsi="Times New Roman"/>
                      <w:kern w:val="0"/>
                      <w:sz w:val="21"/>
                      <w:szCs w:val="21"/>
                      <w:u w:val="none"/>
                      <w:lang w:eastAsia="zh-CN"/>
                    </w:rPr>
                    <w:t>膨化水产料</w:t>
                  </w:r>
                </w:p>
              </w:tc>
              <w:tc>
                <w:tcPr>
                  <w:tcW w:w="3604" w:type="dxa"/>
                  <w:tcBorders>
                    <w:tl2br w:val="nil"/>
                    <w:tr2bl w:val="nil"/>
                  </w:tcBorders>
                  <w:vAlign w:val="center"/>
                </w:tcPr>
                <w:p>
                  <w:pPr>
                    <w:kinsoku w:val="0"/>
                    <w:overflowPunct w:val="0"/>
                    <w:autoSpaceDE w:val="0"/>
                    <w:autoSpaceDN w:val="0"/>
                    <w:adjustRightInd w:val="0"/>
                    <w:spacing w:line="240" w:lineRule="exact"/>
                    <w:jc w:val="center"/>
                    <w:rPr>
                      <w:rFonts w:hint="default" w:ascii="Times New Roman" w:hAnsi="Times New Roman" w:eastAsiaTheme="minorEastAsia"/>
                      <w:kern w:val="0"/>
                      <w:sz w:val="21"/>
                      <w:szCs w:val="21"/>
                      <w:u w:val="none"/>
                      <w:lang w:val="en-US" w:eastAsia="zh-CN"/>
                    </w:rPr>
                  </w:pPr>
                  <w:r>
                    <w:rPr>
                      <w:rFonts w:hint="eastAsia" w:ascii="Times New Roman" w:hAnsi="Times New Roman"/>
                      <w:kern w:val="0"/>
                      <w:sz w:val="21"/>
                      <w:szCs w:val="21"/>
                      <w:u w:val="none"/>
                      <w:lang w:val="en-US" w:eastAsia="zh-CN"/>
                    </w:rPr>
                    <w:t>5万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jc w:val="center"/>
              </w:trPr>
              <w:tc>
                <w:tcPr>
                  <w:tcW w:w="1754" w:type="dxa"/>
                  <w:tcBorders>
                    <w:tl2br w:val="nil"/>
                    <w:tr2bl w:val="nil"/>
                  </w:tcBorders>
                  <w:vAlign w:val="center"/>
                </w:tcPr>
                <w:p>
                  <w:pPr>
                    <w:kinsoku w:val="0"/>
                    <w:overflowPunct w:val="0"/>
                    <w:autoSpaceDE w:val="0"/>
                    <w:autoSpaceDN w:val="0"/>
                    <w:adjustRightInd w:val="0"/>
                    <w:spacing w:line="240" w:lineRule="exact"/>
                    <w:jc w:val="center"/>
                    <w:rPr>
                      <w:rFonts w:hint="default" w:ascii="Times New Roman" w:hAnsi="Times New Roman"/>
                      <w:kern w:val="0"/>
                      <w:sz w:val="21"/>
                      <w:szCs w:val="21"/>
                      <w:u w:val="none"/>
                      <w:lang w:val="en-US" w:eastAsia="zh-CN"/>
                    </w:rPr>
                  </w:pPr>
                  <w:r>
                    <w:rPr>
                      <w:rFonts w:hint="eastAsia" w:ascii="Times New Roman" w:hAnsi="Times New Roman"/>
                      <w:kern w:val="0"/>
                      <w:sz w:val="21"/>
                      <w:szCs w:val="21"/>
                      <w:u w:val="none"/>
                      <w:lang w:val="en-US" w:eastAsia="zh-CN"/>
                    </w:rPr>
                    <w:t>2</w:t>
                  </w:r>
                </w:p>
              </w:tc>
              <w:tc>
                <w:tcPr>
                  <w:tcW w:w="3373"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kern w:val="0"/>
                      <w:sz w:val="21"/>
                      <w:szCs w:val="21"/>
                      <w:u w:val="none"/>
                      <w:lang w:eastAsia="zh-CN"/>
                    </w:rPr>
                  </w:pPr>
                  <w:r>
                    <w:rPr>
                      <w:rFonts w:hint="eastAsia" w:ascii="Times New Roman" w:hAnsi="Times New Roman"/>
                      <w:kern w:val="0"/>
                      <w:sz w:val="21"/>
                      <w:szCs w:val="21"/>
                      <w:u w:val="none"/>
                      <w:lang w:eastAsia="zh-CN"/>
                    </w:rPr>
                    <w:t>普通水产料</w:t>
                  </w:r>
                </w:p>
              </w:tc>
              <w:tc>
                <w:tcPr>
                  <w:tcW w:w="3604"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kern w:val="0"/>
                      <w:sz w:val="21"/>
                      <w:szCs w:val="21"/>
                      <w:u w:val="none"/>
                      <w:lang w:val="en-US" w:eastAsia="zh-CN"/>
                    </w:rPr>
                  </w:pPr>
                  <w:r>
                    <w:rPr>
                      <w:rFonts w:hint="eastAsia" w:ascii="Times New Roman" w:hAnsi="Times New Roman"/>
                      <w:kern w:val="0"/>
                      <w:sz w:val="21"/>
                      <w:szCs w:val="21"/>
                      <w:u w:val="none"/>
                      <w:lang w:val="en-US" w:eastAsia="zh-CN"/>
                    </w:rPr>
                    <w:t>5万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5" w:hRule="atLeast"/>
                <w:jc w:val="center"/>
              </w:trPr>
              <w:tc>
                <w:tcPr>
                  <w:tcW w:w="1754"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eastAsiaTheme="minorEastAsia"/>
                      <w:kern w:val="0"/>
                      <w:sz w:val="21"/>
                      <w:szCs w:val="21"/>
                      <w:u w:val="none"/>
                      <w:lang w:val="en-US" w:eastAsia="zh-CN"/>
                    </w:rPr>
                  </w:pPr>
                  <w:r>
                    <w:rPr>
                      <w:rFonts w:hint="eastAsia" w:ascii="Times New Roman" w:hAnsi="Times New Roman"/>
                      <w:kern w:val="0"/>
                      <w:sz w:val="21"/>
                      <w:szCs w:val="21"/>
                      <w:u w:val="none"/>
                      <w:lang w:val="en-US" w:eastAsia="zh-CN"/>
                    </w:rPr>
                    <w:t>3</w:t>
                  </w:r>
                </w:p>
              </w:tc>
              <w:tc>
                <w:tcPr>
                  <w:tcW w:w="3373"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eastAsiaTheme="minorEastAsia"/>
                      <w:kern w:val="0"/>
                      <w:sz w:val="21"/>
                      <w:szCs w:val="21"/>
                      <w:u w:val="none"/>
                      <w:lang w:eastAsia="zh-CN"/>
                    </w:rPr>
                  </w:pPr>
                  <w:r>
                    <w:rPr>
                      <w:rFonts w:hint="eastAsia" w:ascii="Times New Roman" w:hAnsi="Times New Roman"/>
                      <w:kern w:val="0"/>
                      <w:sz w:val="21"/>
                      <w:szCs w:val="21"/>
                      <w:u w:val="none"/>
                      <w:lang w:eastAsia="zh-CN"/>
                    </w:rPr>
                    <w:t>环保型猪料</w:t>
                  </w:r>
                </w:p>
              </w:tc>
              <w:tc>
                <w:tcPr>
                  <w:tcW w:w="3604" w:type="dxa"/>
                  <w:tcBorders>
                    <w:tl2br w:val="nil"/>
                    <w:tr2bl w:val="nil"/>
                  </w:tcBorders>
                  <w:vAlign w:val="center"/>
                </w:tcPr>
                <w:p>
                  <w:pPr>
                    <w:kinsoku w:val="0"/>
                    <w:overflowPunct w:val="0"/>
                    <w:autoSpaceDE w:val="0"/>
                    <w:autoSpaceDN w:val="0"/>
                    <w:adjustRightInd w:val="0"/>
                    <w:spacing w:line="240" w:lineRule="exact"/>
                    <w:jc w:val="center"/>
                    <w:rPr>
                      <w:rFonts w:hint="default" w:ascii="Times New Roman" w:hAnsi="Times New Roman" w:eastAsiaTheme="minorEastAsia"/>
                      <w:kern w:val="0"/>
                      <w:sz w:val="21"/>
                      <w:szCs w:val="21"/>
                      <w:u w:val="none"/>
                      <w:lang w:val="en-US" w:eastAsia="zh-CN"/>
                    </w:rPr>
                  </w:pPr>
                  <w:r>
                    <w:rPr>
                      <w:rFonts w:hint="eastAsia" w:ascii="Times New Roman" w:hAnsi="Times New Roman"/>
                      <w:kern w:val="0"/>
                      <w:sz w:val="21"/>
                      <w:szCs w:val="21"/>
                      <w:u w:val="none"/>
                      <w:lang w:val="en-US" w:eastAsia="zh-CN"/>
                    </w:rPr>
                    <w:t>10万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5" w:hRule="atLeast"/>
                <w:jc w:val="center"/>
              </w:trPr>
              <w:tc>
                <w:tcPr>
                  <w:tcW w:w="1754" w:type="dxa"/>
                  <w:tcBorders>
                    <w:tl2br w:val="nil"/>
                    <w:tr2bl w:val="nil"/>
                  </w:tcBorders>
                  <w:vAlign w:val="center"/>
                </w:tcPr>
                <w:p>
                  <w:pPr>
                    <w:kinsoku w:val="0"/>
                    <w:overflowPunct w:val="0"/>
                    <w:autoSpaceDE w:val="0"/>
                    <w:autoSpaceDN w:val="0"/>
                    <w:adjustRightInd w:val="0"/>
                    <w:spacing w:line="240" w:lineRule="exact"/>
                    <w:jc w:val="center"/>
                    <w:rPr>
                      <w:rFonts w:hint="default" w:ascii="Times New Roman" w:hAnsi="Times New Roman"/>
                      <w:kern w:val="0"/>
                      <w:sz w:val="21"/>
                      <w:szCs w:val="21"/>
                      <w:u w:val="none"/>
                      <w:lang w:val="en-US" w:eastAsia="zh-CN"/>
                    </w:rPr>
                  </w:pPr>
                  <w:r>
                    <w:rPr>
                      <w:rFonts w:hint="eastAsia" w:ascii="Times New Roman" w:hAnsi="Times New Roman"/>
                      <w:kern w:val="0"/>
                      <w:sz w:val="21"/>
                      <w:szCs w:val="21"/>
                      <w:u w:val="none"/>
                      <w:lang w:val="en-US" w:eastAsia="zh-CN"/>
                    </w:rPr>
                    <w:t>4</w:t>
                  </w:r>
                </w:p>
              </w:tc>
              <w:tc>
                <w:tcPr>
                  <w:tcW w:w="3373"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kern w:val="0"/>
                      <w:sz w:val="21"/>
                      <w:szCs w:val="21"/>
                      <w:u w:val="none"/>
                      <w:lang w:eastAsia="zh-CN"/>
                    </w:rPr>
                  </w:pPr>
                  <w:r>
                    <w:rPr>
                      <w:rFonts w:hint="eastAsia" w:ascii="Times New Roman" w:hAnsi="Times New Roman"/>
                      <w:kern w:val="0"/>
                      <w:sz w:val="21"/>
                      <w:szCs w:val="21"/>
                      <w:u w:val="none"/>
                      <w:lang w:eastAsia="zh-CN"/>
                    </w:rPr>
                    <w:t>发酵料</w:t>
                  </w:r>
                </w:p>
              </w:tc>
              <w:tc>
                <w:tcPr>
                  <w:tcW w:w="3604" w:type="dxa"/>
                  <w:tcBorders>
                    <w:tl2br w:val="nil"/>
                    <w:tr2bl w:val="nil"/>
                  </w:tcBorders>
                  <w:vAlign w:val="center"/>
                </w:tcPr>
                <w:p>
                  <w:pPr>
                    <w:kinsoku w:val="0"/>
                    <w:overflowPunct w:val="0"/>
                    <w:autoSpaceDE w:val="0"/>
                    <w:autoSpaceDN w:val="0"/>
                    <w:adjustRightInd w:val="0"/>
                    <w:spacing w:line="240" w:lineRule="exact"/>
                    <w:jc w:val="center"/>
                    <w:rPr>
                      <w:rFonts w:hint="eastAsia" w:ascii="Times New Roman" w:hAnsi="Times New Roman"/>
                      <w:kern w:val="0"/>
                      <w:sz w:val="21"/>
                      <w:szCs w:val="21"/>
                      <w:u w:val="none"/>
                      <w:lang w:val="en-US" w:eastAsia="zh-CN"/>
                    </w:rPr>
                  </w:pPr>
                  <w:r>
                    <w:rPr>
                      <w:rFonts w:hint="eastAsia" w:ascii="Times New Roman" w:hAnsi="Times New Roman"/>
                      <w:kern w:val="0"/>
                      <w:sz w:val="21"/>
                      <w:szCs w:val="21"/>
                      <w:u w:val="none"/>
                      <w:lang w:val="en-US" w:eastAsia="zh-CN"/>
                    </w:rPr>
                    <w:t>3万</w:t>
                  </w:r>
                </w:p>
              </w:tc>
            </w:tr>
          </w:tbl>
          <w:p>
            <w:pPr>
              <w:spacing w:line="360" w:lineRule="auto"/>
              <w:ind w:firstLine="482" w:firstLineChars="200"/>
              <w:rPr>
                <w:b/>
                <w:color w:val="000000"/>
                <w:sz w:val="24"/>
                <w:szCs w:val="22"/>
              </w:rPr>
            </w:pPr>
            <w:r>
              <w:rPr>
                <w:b/>
                <w:color w:val="000000"/>
                <w:sz w:val="24"/>
                <w:szCs w:val="22"/>
              </w:rPr>
              <w:t>三、公用工程</w:t>
            </w:r>
          </w:p>
          <w:p>
            <w:pPr>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1、给水工程</w:t>
            </w:r>
          </w:p>
          <w:p>
            <w:pPr>
              <w:spacing w:line="360" w:lineRule="auto"/>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本项目生活用水来自津市高新区自来水管网</w:t>
            </w:r>
            <w:r>
              <w:rPr>
                <w:rFonts w:hint="default" w:ascii="Times New Roman" w:hAnsi="Times New Roman" w:cs="Times New Roman"/>
                <w:color w:val="000000"/>
                <w:sz w:val="24"/>
                <w:lang w:val="en-US" w:eastAsia="zh-CN"/>
              </w:rPr>
              <w:t>。</w:t>
            </w:r>
          </w:p>
          <w:p>
            <w:pPr>
              <w:spacing w:line="360" w:lineRule="auto"/>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w:t>
            </w:r>
            <w:r>
              <w:rPr>
                <w:rFonts w:hint="default" w:ascii="Times New Roman" w:hAnsi="Times New Roman" w:cs="Times New Roman"/>
                <w:color w:val="000000"/>
                <w:sz w:val="24"/>
                <w:lang w:val="en-US" w:eastAsia="zh-CN"/>
              </w:rPr>
              <w:t>排水工程</w:t>
            </w:r>
          </w:p>
          <w:p>
            <w:pPr>
              <w:spacing w:line="360" w:lineRule="auto"/>
              <w:ind w:firstLine="480" w:firstLineChars="200"/>
              <w:rPr>
                <w:rFonts w:hint="eastAsia"/>
                <w:bCs/>
                <w:color w:val="000000"/>
                <w:sz w:val="24"/>
                <w:szCs w:val="22"/>
                <w:lang w:eastAsia="zh-CN"/>
              </w:rPr>
            </w:pPr>
            <w:r>
              <w:rPr>
                <w:rFonts w:hint="eastAsia" w:ascii="Times New Roman" w:hAnsi="Times New Roman" w:cs="Times New Roman"/>
                <w:color w:val="000000"/>
                <w:sz w:val="24"/>
                <w:lang w:val="en-US" w:eastAsia="zh-CN"/>
              </w:rPr>
              <w:t>本项目</w:t>
            </w:r>
            <w:r>
              <w:rPr>
                <w:rFonts w:hint="default" w:ascii="Times New Roman" w:hAnsi="Times New Roman" w:cs="Times New Roman"/>
                <w:color w:val="000000"/>
                <w:sz w:val="24"/>
                <w:lang w:val="en-US" w:eastAsia="zh-CN"/>
              </w:rPr>
              <w:t>排水采用雨污分流制。</w:t>
            </w:r>
            <w:r>
              <w:rPr>
                <w:rFonts w:hint="eastAsia" w:ascii="Times New Roman" w:hAnsi="Times New Roman" w:cs="Times New Roman"/>
                <w:color w:val="000000"/>
                <w:sz w:val="24"/>
                <w:lang w:val="en-US" w:eastAsia="zh-CN"/>
              </w:rPr>
              <w:t>雨水经厂区内雨水沟收集后进入市政雨水管网，生活废水经隔油池及化粪池处理后排入市政污水管网，本项目生活废水最终经津市高新区工业污水处理厂处理后排入澧水</w:t>
            </w:r>
            <w:r>
              <w:rPr>
                <w:rFonts w:hint="default" w:ascii="Times New Roman" w:hAnsi="Times New Roman" w:cs="Times New Roman"/>
                <w:color w:val="000000"/>
                <w:sz w:val="24"/>
                <w:lang w:val="en-US" w:eastAsia="zh-CN"/>
              </w:rPr>
              <w:t>。</w:t>
            </w:r>
          </w:p>
          <w:p>
            <w:pPr>
              <w:spacing w:line="360" w:lineRule="auto"/>
              <w:ind w:firstLine="470" w:firstLineChars="196"/>
              <w:rPr>
                <w:bCs/>
                <w:color w:val="000000"/>
                <w:sz w:val="24"/>
                <w:szCs w:val="22"/>
              </w:rPr>
            </w:pPr>
            <w:r>
              <w:rPr>
                <w:rFonts w:hint="eastAsia"/>
                <w:bCs/>
                <w:color w:val="000000"/>
                <w:sz w:val="24"/>
                <w:szCs w:val="22"/>
                <w:lang w:eastAsia="zh-CN"/>
              </w:rPr>
              <w:t>3、供电：</w:t>
            </w:r>
            <w:r>
              <w:rPr>
                <w:rFonts w:hint="eastAsia" w:ascii="Times New Roman" w:hAnsi="Times New Roman" w:cs="Times New Roman"/>
                <w:color w:val="000000"/>
                <w:sz w:val="24"/>
                <w:lang w:val="en-US" w:eastAsia="zh-CN"/>
              </w:rPr>
              <w:t>本项目用电由津市高新区电网提供</w:t>
            </w:r>
            <w:r>
              <w:rPr>
                <w:bCs/>
                <w:color w:val="000000"/>
                <w:sz w:val="24"/>
                <w:szCs w:val="22"/>
              </w:rPr>
              <w:t>。</w:t>
            </w:r>
          </w:p>
          <w:p>
            <w:pPr>
              <w:spacing w:line="360" w:lineRule="auto"/>
              <w:ind w:firstLine="482" w:firstLineChars="200"/>
              <w:rPr>
                <w:b/>
                <w:color w:val="000000"/>
                <w:sz w:val="24"/>
                <w:szCs w:val="22"/>
                <w:u w:val="none"/>
              </w:rPr>
            </w:pPr>
            <w:r>
              <w:rPr>
                <w:b/>
                <w:color w:val="000000"/>
                <w:sz w:val="24"/>
                <w:szCs w:val="22"/>
                <w:u w:val="none"/>
              </w:rPr>
              <w:t>四、</w:t>
            </w:r>
            <w:r>
              <w:rPr>
                <w:rFonts w:hint="eastAsia"/>
                <w:b/>
                <w:color w:val="000000"/>
                <w:sz w:val="24"/>
                <w:szCs w:val="22"/>
                <w:u w:val="none"/>
                <w:lang w:eastAsia="zh-CN"/>
              </w:rPr>
              <w:t>总</w:t>
            </w:r>
            <w:r>
              <w:rPr>
                <w:b/>
                <w:color w:val="000000"/>
                <w:sz w:val="24"/>
                <w:szCs w:val="22"/>
                <w:u w:val="none"/>
              </w:rPr>
              <w:t>平面布置</w:t>
            </w:r>
          </w:p>
          <w:p>
            <w:pPr>
              <w:spacing w:line="360" w:lineRule="auto"/>
              <w:ind w:firstLine="470" w:firstLineChars="196"/>
              <w:rPr>
                <w:bCs/>
                <w:color w:val="000000"/>
                <w:sz w:val="24"/>
                <w:szCs w:val="22"/>
                <w:u w:val="none"/>
              </w:rPr>
            </w:pPr>
            <w:r>
              <w:rPr>
                <w:rFonts w:hint="eastAsia" w:ascii="Times New Roman" w:hAnsi="Times New Roman" w:cs="Times New Roman"/>
                <w:color w:val="000000"/>
                <w:sz w:val="24"/>
                <w:lang w:val="en-US" w:eastAsia="zh-CN"/>
              </w:rPr>
              <w:t>本项目位于</w:t>
            </w:r>
            <w:r>
              <w:rPr>
                <w:rFonts w:hint="eastAsia" w:ascii="Times New Roman" w:hAnsi="Times New Roman" w:cs="Times New Roman"/>
                <w:sz w:val="24"/>
                <w:lang w:val="en-US" w:eastAsia="zh-CN"/>
              </w:rPr>
              <w:t>津市高新区周家铺路以西创业路以北</w:t>
            </w:r>
            <w:r>
              <w:rPr>
                <w:rFonts w:hint="eastAsia" w:ascii="Times New Roman" w:hAnsi="Times New Roman" w:cs="Times New Roman"/>
                <w:color w:val="000000"/>
                <w:sz w:val="24"/>
                <w:lang w:val="en-US" w:eastAsia="zh-CN"/>
              </w:rPr>
              <w:t>，厂区设置2个出入口，主出入口设置于厂区南面临创业路，次出入口设置于厂区东北角临周家铺路，两个入口相互不干扰。项目主体工程包括1#车间、2#车间、主车间及检测车间，其中1#车间位于厂区西侧，2#生产车间位于厂区东侧，1#车间与2#车间之间设置主车间及小麦、玉米仓，检测车间设置于厂区东南角，辅助工程中综合楼位于厂区西南侧，食堂及锅炉房均设置于厂区西南角，机修车间设置于厂区最西侧，厂区最东侧临周家铺路设置卸货区。厂区为设置环形道路和绿化，各个构筑物间均设置有厂区道路互通，交通运输畅通</w:t>
            </w:r>
            <w:r>
              <w:rPr>
                <w:rFonts w:hint="eastAsia"/>
                <w:bCs/>
                <w:color w:val="000000"/>
                <w:sz w:val="24"/>
                <w:szCs w:val="22"/>
                <w:u w:val="none"/>
              </w:rPr>
              <w:t>。</w:t>
            </w:r>
          </w:p>
          <w:p>
            <w:pPr>
              <w:spacing w:line="360" w:lineRule="auto"/>
              <w:ind w:firstLine="482" w:firstLineChars="200"/>
              <w:rPr>
                <w:b/>
                <w:color w:val="000000"/>
                <w:sz w:val="24"/>
                <w:szCs w:val="22"/>
              </w:rPr>
            </w:pPr>
            <w:r>
              <w:rPr>
                <w:b/>
                <w:color w:val="000000"/>
                <w:sz w:val="24"/>
                <w:szCs w:val="22"/>
              </w:rPr>
              <w:t>五、总投资及资金来源</w:t>
            </w:r>
          </w:p>
          <w:p>
            <w:pPr>
              <w:spacing w:line="360" w:lineRule="auto"/>
              <w:ind w:firstLine="470" w:firstLineChars="196"/>
              <w:rPr>
                <w:bCs/>
                <w:color w:val="000000"/>
                <w:sz w:val="24"/>
                <w:szCs w:val="22"/>
              </w:rPr>
            </w:pPr>
            <w:r>
              <w:rPr>
                <w:bCs/>
                <w:color w:val="000000"/>
                <w:sz w:val="24"/>
                <w:szCs w:val="22"/>
              </w:rPr>
              <w:t>项目总投资</w:t>
            </w:r>
            <w:r>
              <w:rPr>
                <w:rFonts w:hint="eastAsia"/>
                <w:bCs/>
                <w:color w:val="000000"/>
                <w:sz w:val="24"/>
                <w:szCs w:val="22"/>
                <w:lang w:val="en-US" w:eastAsia="zh-CN"/>
              </w:rPr>
              <w:t>12000</w:t>
            </w:r>
            <w:r>
              <w:rPr>
                <w:bCs/>
                <w:color w:val="000000"/>
                <w:sz w:val="24"/>
                <w:szCs w:val="22"/>
              </w:rPr>
              <w:t xml:space="preserve">万元，资金来源全部为企业自筹。 </w:t>
            </w:r>
          </w:p>
          <w:p>
            <w:pPr>
              <w:spacing w:line="360" w:lineRule="auto"/>
              <w:ind w:firstLine="482" w:firstLineChars="200"/>
              <w:rPr>
                <w:b/>
                <w:color w:val="000000"/>
                <w:sz w:val="24"/>
                <w:szCs w:val="22"/>
              </w:rPr>
            </w:pPr>
            <w:r>
              <w:rPr>
                <w:b/>
                <w:color w:val="000000"/>
                <w:sz w:val="24"/>
                <w:szCs w:val="22"/>
              </w:rPr>
              <w:t>六、劳动定员及班制</w:t>
            </w:r>
          </w:p>
          <w:p>
            <w:pPr>
              <w:spacing w:line="360" w:lineRule="auto"/>
              <w:ind w:firstLine="470" w:firstLineChars="196"/>
              <w:rPr>
                <w:bCs/>
                <w:color w:val="000000"/>
                <w:sz w:val="24"/>
                <w:szCs w:val="22"/>
              </w:rPr>
            </w:pPr>
            <w:r>
              <w:rPr>
                <w:rFonts w:hint="eastAsia" w:ascii="Times New Roman" w:hAnsi="Times New Roman" w:cs="Times New Roman"/>
                <w:color w:val="000000"/>
                <w:sz w:val="24"/>
                <w:lang w:eastAsia="zh-CN"/>
              </w:rPr>
              <w:t>劳动定员</w:t>
            </w:r>
            <w:r>
              <w:rPr>
                <w:rFonts w:hint="eastAsia" w:ascii="Times New Roman" w:hAnsi="Times New Roman" w:cs="Times New Roman"/>
                <w:color w:val="000000"/>
                <w:sz w:val="24"/>
                <w:lang w:val="en-US" w:eastAsia="zh-CN"/>
              </w:rPr>
              <w:t>45人</w:t>
            </w:r>
            <w:r>
              <w:rPr>
                <w:bCs/>
                <w:color w:val="000000"/>
                <w:sz w:val="24"/>
                <w:szCs w:val="22"/>
              </w:rPr>
              <w:t>。</w:t>
            </w:r>
            <w:r>
              <w:rPr>
                <w:rFonts w:hint="eastAsia" w:ascii="Times New Roman" w:hAnsi="Times New Roman" w:cs="Times New Roman"/>
                <w:color w:val="000000"/>
                <w:sz w:val="24"/>
              </w:rPr>
              <w:t>全年工作</w:t>
            </w:r>
            <w:r>
              <w:rPr>
                <w:rFonts w:hint="eastAsia" w:ascii="Times New Roman" w:hAnsi="Times New Roman" w:cs="Times New Roman"/>
                <w:color w:val="000000"/>
                <w:sz w:val="24"/>
                <w:lang w:val="en-US" w:eastAsia="zh-CN"/>
              </w:rPr>
              <w:t>300</w:t>
            </w:r>
            <w:r>
              <w:rPr>
                <w:rFonts w:hint="eastAsia" w:cs="Times New Roman"/>
                <w:color w:val="000000"/>
                <w:sz w:val="24"/>
                <w:lang w:eastAsia="zh-CN"/>
              </w:rPr>
              <w:t>天</w:t>
            </w:r>
            <w:r>
              <w:rPr>
                <w:rFonts w:hint="eastAsia" w:ascii="Times New Roman" w:hAnsi="Times New Roman" w:cs="Times New Roman"/>
                <w:color w:val="000000"/>
                <w:sz w:val="24"/>
                <w:lang w:eastAsia="zh-CN"/>
              </w:rPr>
              <w:t>，每天</w:t>
            </w:r>
            <w:r>
              <w:rPr>
                <w:rFonts w:hint="eastAsia" w:ascii="Times New Roman" w:hAnsi="Times New Roman" w:cs="Times New Roman"/>
                <w:color w:val="000000"/>
                <w:sz w:val="24"/>
                <w:lang w:val="en-US" w:eastAsia="zh-CN"/>
              </w:rPr>
              <w:t>8h</w:t>
            </w:r>
            <w:r>
              <w:rPr>
                <w:bCs/>
                <w:color w:val="000000"/>
                <w:sz w:val="24"/>
                <w:szCs w:val="22"/>
              </w:rPr>
              <w:t>。</w:t>
            </w:r>
          </w:p>
          <w:p>
            <w:pPr>
              <w:spacing w:line="360" w:lineRule="auto"/>
              <w:ind w:firstLine="482" w:firstLineChars="200"/>
              <w:rPr>
                <w:rFonts w:hint="eastAsia" w:eastAsia="宋体"/>
                <w:b/>
                <w:color w:val="000000"/>
                <w:sz w:val="24"/>
                <w:szCs w:val="22"/>
                <w:lang w:eastAsia="zh-CN"/>
              </w:rPr>
            </w:pPr>
            <w:r>
              <w:rPr>
                <w:b/>
                <w:color w:val="000000"/>
                <w:sz w:val="24"/>
                <w:szCs w:val="22"/>
              </w:rPr>
              <w:t>七、</w:t>
            </w:r>
            <w:r>
              <w:rPr>
                <w:rFonts w:hint="eastAsia"/>
                <w:b/>
                <w:color w:val="000000"/>
                <w:sz w:val="24"/>
                <w:szCs w:val="22"/>
                <w:lang w:eastAsia="zh-CN"/>
              </w:rPr>
              <w:t>投产时间</w:t>
            </w:r>
          </w:p>
          <w:p>
            <w:pPr>
              <w:spacing w:line="360" w:lineRule="auto"/>
              <w:ind w:firstLine="470" w:firstLineChars="196"/>
              <w:rPr>
                <w:bCs/>
                <w:color w:val="000000"/>
                <w:sz w:val="24"/>
                <w:szCs w:val="22"/>
              </w:rPr>
            </w:pPr>
            <w:r>
              <w:rPr>
                <w:bCs/>
                <w:color w:val="000000"/>
                <w:sz w:val="24"/>
                <w:szCs w:val="22"/>
              </w:rPr>
              <w:t>本项目</w:t>
            </w:r>
            <w:r>
              <w:rPr>
                <w:rFonts w:hint="eastAsia"/>
                <w:bCs/>
                <w:color w:val="000000"/>
                <w:sz w:val="24"/>
                <w:szCs w:val="22"/>
                <w:lang w:eastAsia="zh-CN"/>
              </w:rPr>
              <w:t>预计</w:t>
            </w:r>
            <w:r>
              <w:rPr>
                <w:rFonts w:hint="eastAsia"/>
                <w:bCs/>
                <w:color w:val="000000"/>
                <w:sz w:val="24"/>
                <w:szCs w:val="22"/>
                <w:lang w:val="en-US" w:eastAsia="zh-CN"/>
              </w:rPr>
              <w:t>2021</w:t>
            </w:r>
            <w:r>
              <w:rPr>
                <w:bCs/>
                <w:color w:val="000000"/>
                <w:sz w:val="24"/>
                <w:szCs w:val="22"/>
              </w:rPr>
              <w:t>年</w:t>
            </w:r>
            <w:r>
              <w:rPr>
                <w:rFonts w:hint="eastAsia"/>
                <w:bCs/>
                <w:color w:val="000000"/>
                <w:sz w:val="24"/>
                <w:szCs w:val="22"/>
                <w:lang w:val="en-US" w:eastAsia="zh-CN"/>
              </w:rPr>
              <w:t>10</w:t>
            </w:r>
            <w:r>
              <w:rPr>
                <w:bCs/>
                <w:color w:val="000000"/>
                <w:sz w:val="24"/>
                <w:szCs w:val="22"/>
              </w:rPr>
              <w:t>月建成投产。</w:t>
            </w:r>
          </w:p>
          <w:p>
            <w:pPr>
              <w:pStyle w:val="5"/>
              <w:widowControl/>
              <w:spacing w:line="360" w:lineRule="auto"/>
              <w:ind w:firstLine="482" w:firstLineChars="200"/>
              <w:jc w:val="left"/>
              <w:rPr>
                <w:b/>
                <w:bCs/>
                <w:sz w:val="24"/>
                <w:szCs w:val="24"/>
              </w:rPr>
            </w:pPr>
            <w:r>
              <w:rPr>
                <w:b/>
                <w:bCs/>
                <w:sz w:val="24"/>
                <w:szCs w:val="24"/>
              </w:rPr>
              <w:t>八、编制依据</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1、国家</w:t>
            </w:r>
            <w:r>
              <w:rPr>
                <w:rFonts w:hint="default"/>
                <w:bCs/>
                <w:color w:val="000000"/>
                <w:sz w:val="24"/>
                <w:szCs w:val="22"/>
                <w:lang w:val="en-US" w:eastAsia="zh-CN"/>
              </w:rPr>
              <w:t>法律</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（1）</w:t>
            </w:r>
            <w:r>
              <w:rPr>
                <w:rFonts w:hint="default"/>
                <w:bCs/>
                <w:color w:val="000000"/>
                <w:sz w:val="24"/>
                <w:szCs w:val="22"/>
                <w:lang w:val="en-US" w:eastAsia="zh-CN"/>
              </w:rPr>
              <w:t>《中华人民共和国环境保护法》，2015年1月1日施行；</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（2）</w:t>
            </w:r>
            <w:r>
              <w:rPr>
                <w:rFonts w:hint="default"/>
                <w:bCs/>
                <w:color w:val="000000"/>
                <w:sz w:val="24"/>
                <w:szCs w:val="22"/>
                <w:lang w:val="en-US" w:eastAsia="zh-CN"/>
              </w:rPr>
              <w:t>《中华人民共和国环境影响评价法》，2018年12月29日修订；</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（3）</w:t>
            </w:r>
            <w:r>
              <w:rPr>
                <w:rFonts w:hint="default"/>
                <w:bCs/>
                <w:color w:val="000000"/>
                <w:sz w:val="24"/>
                <w:szCs w:val="22"/>
                <w:lang w:val="en-US" w:eastAsia="zh-CN"/>
              </w:rPr>
              <w:t>《中华人民共和国水污染防治法》，2018年1月1日施行；</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（4）</w:t>
            </w:r>
            <w:r>
              <w:rPr>
                <w:rFonts w:hint="default"/>
                <w:bCs/>
                <w:color w:val="000000"/>
                <w:sz w:val="24"/>
                <w:szCs w:val="22"/>
                <w:lang w:val="en-US" w:eastAsia="zh-CN"/>
              </w:rPr>
              <w:t>《中华人民共和国大气污染防治法》，2018年10月26日修正；</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（5）</w:t>
            </w:r>
            <w:r>
              <w:rPr>
                <w:rFonts w:hint="default"/>
                <w:bCs/>
                <w:color w:val="000000"/>
                <w:sz w:val="24"/>
                <w:szCs w:val="22"/>
                <w:lang w:val="en-US" w:eastAsia="zh-CN"/>
              </w:rPr>
              <w:t>《中华人民共和国固体废物污染环境防治法》，20</w:t>
            </w:r>
            <w:r>
              <w:rPr>
                <w:rFonts w:hint="eastAsia"/>
                <w:bCs/>
                <w:color w:val="000000"/>
                <w:sz w:val="24"/>
                <w:szCs w:val="22"/>
                <w:lang w:val="en-US" w:eastAsia="zh-CN"/>
              </w:rPr>
              <w:t>20</w:t>
            </w:r>
            <w:r>
              <w:rPr>
                <w:rFonts w:hint="default"/>
                <w:bCs/>
                <w:color w:val="000000"/>
                <w:sz w:val="24"/>
                <w:szCs w:val="22"/>
                <w:lang w:val="en-US" w:eastAsia="zh-CN"/>
              </w:rPr>
              <w:t>年</w:t>
            </w:r>
            <w:r>
              <w:rPr>
                <w:rFonts w:hint="eastAsia"/>
                <w:bCs/>
                <w:color w:val="000000"/>
                <w:sz w:val="24"/>
                <w:szCs w:val="22"/>
                <w:lang w:val="en-US" w:eastAsia="zh-CN"/>
              </w:rPr>
              <w:t>4</w:t>
            </w:r>
            <w:r>
              <w:rPr>
                <w:rFonts w:hint="default"/>
                <w:bCs/>
                <w:color w:val="000000"/>
                <w:sz w:val="24"/>
                <w:szCs w:val="22"/>
                <w:lang w:val="en-US" w:eastAsia="zh-CN"/>
              </w:rPr>
              <w:t>月</w:t>
            </w:r>
            <w:r>
              <w:rPr>
                <w:rFonts w:hint="eastAsia"/>
                <w:bCs/>
                <w:color w:val="000000"/>
                <w:sz w:val="24"/>
                <w:szCs w:val="22"/>
                <w:lang w:val="en-US" w:eastAsia="zh-CN"/>
              </w:rPr>
              <w:t>29</w:t>
            </w:r>
            <w:r>
              <w:rPr>
                <w:rFonts w:hint="default"/>
                <w:bCs/>
                <w:color w:val="000000"/>
                <w:sz w:val="24"/>
                <w:szCs w:val="22"/>
                <w:lang w:val="en-US" w:eastAsia="zh-CN"/>
              </w:rPr>
              <w:t>日修订；</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（6）</w:t>
            </w:r>
            <w:r>
              <w:rPr>
                <w:rFonts w:hint="default"/>
                <w:bCs/>
                <w:color w:val="000000"/>
                <w:sz w:val="24"/>
                <w:szCs w:val="22"/>
                <w:lang w:val="en-US" w:eastAsia="zh-CN"/>
              </w:rPr>
              <w:t>《中华人民共和国环境噪声污染防治法》，2018年12月29日修订；</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（7）</w:t>
            </w:r>
            <w:r>
              <w:rPr>
                <w:rFonts w:hint="default"/>
                <w:bCs/>
                <w:color w:val="000000"/>
                <w:sz w:val="24"/>
                <w:szCs w:val="22"/>
                <w:lang w:val="en-US" w:eastAsia="zh-CN"/>
              </w:rPr>
              <w:t>《中华人民共和国土壤污染防治法》，2019年1月1日起施行；</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（8）</w:t>
            </w:r>
            <w:r>
              <w:rPr>
                <w:rFonts w:hint="default"/>
                <w:bCs/>
                <w:color w:val="000000"/>
                <w:sz w:val="24"/>
                <w:szCs w:val="22"/>
                <w:lang w:val="en-US" w:eastAsia="zh-CN"/>
              </w:rPr>
              <w:t>《中华人民共和国环境保护税法》，2018年1月1起施行；</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（9）</w:t>
            </w:r>
            <w:r>
              <w:rPr>
                <w:rFonts w:hint="default"/>
                <w:bCs/>
                <w:color w:val="000000"/>
                <w:sz w:val="24"/>
                <w:szCs w:val="22"/>
                <w:lang w:val="en-US" w:eastAsia="zh-CN"/>
              </w:rPr>
              <w:t>《中华人民共和国节约能源法》，2018年10月26日</w:t>
            </w:r>
            <w:r>
              <w:rPr>
                <w:rFonts w:hint="eastAsia"/>
                <w:bCs/>
                <w:color w:val="000000"/>
                <w:sz w:val="24"/>
                <w:szCs w:val="22"/>
                <w:lang w:val="en-US" w:eastAsia="zh-CN"/>
              </w:rPr>
              <w:t>修订</w:t>
            </w:r>
            <w:r>
              <w:rPr>
                <w:rFonts w:hint="default"/>
                <w:bCs/>
                <w:color w:val="000000"/>
                <w:sz w:val="24"/>
                <w:szCs w:val="22"/>
                <w:lang w:val="en-US" w:eastAsia="zh-CN"/>
              </w:rPr>
              <w:t>；</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（10）《中华人民共和国水法》，2016年7月2日修订；</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（11）《中华人民共和国水土保持法》，2011年3月1日实施。</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2、国家行政</w:t>
            </w:r>
            <w:r>
              <w:rPr>
                <w:rFonts w:hint="default"/>
                <w:bCs/>
                <w:color w:val="000000"/>
                <w:sz w:val="24"/>
                <w:szCs w:val="22"/>
                <w:lang w:val="en-US" w:eastAsia="zh-CN"/>
              </w:rPr>
              <w:t>法</w:t>
            </w:r>
            <w:r>
              <w:rPr>
                <w:rFonts w:hint="eastAsia"/>
                <w:bCs/>
                <w:color w:val="000000"/>
                <w:sz w:val="24"/>
                <w:szCs w:val="22"/>
                <w:lang w:val="en-US" w:eastAsia="zh-CN"/>
              </w:rPr>
              <w:t>规</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w:t>
            </w:r>
            <w:r>
              <w:rPr>
                <w:rFonts w:hint="default"/>
                <w:bCs/>
                <w:color w:val="000000"/>
                <w:sz w:val="24"/>
                <w:szCs w:val="22"/>
                <w:lang w:val="en-US" w:eastAsia="zh-CN"/>
              </w:rPr>
              <w:t>《建设项目环境保护管理条例》，国务院令第682号，2017年10月1日</w:t>
            </w:r>
            <w:r>
              <w:rPr>
                <w:rFonts w:hint="eastAsia"/>
                <w:bCs/>
                <w:color w:val="000000"/>
                <w:sz w:val="24"/>
                <w:szCs w:val="22"/>
                <w:lang w:val="en-US" w:eastAsia="zh-CN"/>
              </w:rPr>
              <w:t>起施行</w:t>
            </w:r>
            <w:r>
              <w:rPr>
                <w:rFonts w:hint="default"/>
                <w:bCs/>
                <w:color w:val="000000"/>
                <w:sz w:val="24"/>
                <w:szCs w:val="22"/>
                <w:lang w:val="en-US" w:eastAsia="zh-CN"/>
              </w:rPr>
              <w:t>；</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（2）</w:t>
            </w:r>
            <w:r>
              <w:rPr>
                <w:rFonts w:hint="default"/>
                <w:bCs/>
                <w:color w:val="000000"/>
                <w:sz w:val="24"/>
                <w:szCs w:val="22"/>
                <w:lang w:val="en-US" w:eastAsia="zh-CN"/>
              </w:rPr>
              <w:t>《危险化学品安全管理条例》</w:t>
            </w:r>
            <w:r>
              <w:rPr>
                <w:rFonts w:hint="eastAsia"/>
                <w:bCs/>
                <w:color w:val="000000"/>
                <w:sz w:val="24"/>
                <w:szCs w:val="22"/>
                <w:lang w:val="en-US" w:eastAsia="zh-CN"/>
              </w:rPr>
              <w:t>，</w:t>
            </w:r>
            <w:r>
              <w:rPr>
                <w:rFonts w:hint="default"/>
                <w:bCs/>
                <w:color w:val="000000"/>
                <w:sz w:val="24"/>
                <w:szCs w:val="22"/>
                <w:lang w:val="en-US" w:eastAsia="zh-CN"/>
              </w:rPr>
              <w:t>国务院令第</w:t>
            </w:r>
            <w:r>
              <w:rPr>
                <w:rFonts w:hint="eastAsia"/>
                <w:bCs/>
                <w:color w:val="000000"/>
                <w:sz w:val="24"/>
                <w:szCs w:val="22"/>
                <w:lang w:val="en-US" w:eastAsia="zh-CN"/>
              </w:rPr>
              <w:t>645</w:t>
            </w:r>
            <w:r>
              <w:rPr>
                <w:rFonts w:hint="default"/>
                <w:bCs/>
                <w:color w:val="000000"/>
                <w:sz w:val="24"/>
                <w:szCs w:val="22"/>
                <w:lang w:val="en-US" w:eastAsia="zh-CN"/>
              </w:rPr>
              <w:t>号，201</w:t>
            </w:r>
            <w:r>
              <w:rPr>
                <w:rFonts w:hint="eastAsia"/>
                <w:bCs/>
                <w:color w:val="000000"/>
                <w:sz w:val="24"/>
                <w:szCs w:val="22"/>
                <w:lang w:val="en-US" w:eastAsia="zh-CN"/>
              </w:rPr>
              <w:t>3</w:t>
            </w:r>
            <w:r>
              <w:rPr>
                <w:rFonts w:hint="default"/>
                <w:bCs/>
                <w:color w:val="000000"/>
                <w:sz w:val="24"/>
                <w:szCs w:val="22"/>
                <w:lang w:val="en-US" w:eastAsia="zh-CN"/>
              </w:rPr>
              <w:t>年12月</w:t>
            </w:r>
            <w:r>
              <w:rPr>
                <w:rFonts w:hint="eastAsia"/>
                <w:bCs/>
                <w:color w:val="000000"/>
                <w:sz w:val="24"/>
                <w:szCs w:val="22"/>
                <w:lang w:val="en-US" w:eastAsia="zh-CN"/>
              </w:rPr>
              <w:t>7</w:t>
            </w:r>
            <w:r>
              <w:rPr>
                <w:rFonts w:hint="default"/>
                <w:bCs/>
                <w:color w:val="000000"/>
                <w:sz w:val="24"/>
                <w:szCs w:val="22"/>
                <w:lang w:val="en-US" w:eastAsia="zh-CN"/>
              </w:rPr>
              <w:t>日起施行；</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（3）</w:t>
            </w:r>
            <w:r>
              <w:rPr>
                <w:rFonts w:hint="default"/>
                <w:bCs/>
                <w:color w:val="000000"/>
                <w:sz w:val="24"/>
                <w:szCs w:val="22"/>
                <w:lang w:val="en-US" w:eastAsia="zh-CN"/>
              </w:rPr>
              <w:t>《中共中央国务院关于全面加强生态环境保护坚决打好污染防治攻坚战的意见》，2018</w:t>
            </w:r>
            <w:r>
              <w:rPr>
                <w:rFonts w:hint="eastAsia"/>
                <w:bCs/>
                <w:color w:val="000000"/>
                <w:sz w:val="24"/>
                <w:szCs w:val="22"/>
                <w:lang w:val="en-US" w:eastAsia="zh-CN"/>
              </w:rPr>
              <w:t>年6月24日</w:t>
            </w:r>
            <w:r>
              <w:rPr>
                <w:rFonts w:hint="default"/>
                <w:bCs/>
                <w:color w:val="000000"/>
                <w:sz w:val="24"/>
                <w:szCs w:val="22"/>
                <w:lang w:val="en-US" w:eastAsia="zh-CN"/>
              </w:rPr>
              <w:t>；</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（4）《水污染防治行动计划》，国发[2015]17号，2015年4月2日；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（5）《土壤污染防治行动计划》，国发[2016]31号，2016年5月28日；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（6）《国务院关于印发打赢蓝天保卫战三年行动计划的通知》，国发[2018]22号，2018年6月27日；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（7）《国务院关于印发大气污染防治行动计划的通知》，国发[2013]37号；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（8）《关于落实大气污染防治行动计划严格环境影响评价准入的通知》，环办[2014]30号。</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3、国家政府部门规章及规范性文件</w:t>
            </w:r>
          </w:p>
          <w:p>
            <w:pPr>
              <w:spacing w:line="360" w:lineRule="auto"/>
              <w:ind w:firstLine="470" w:firstLineChars="196"/>
              <w:rPr>
                <w:rFonts w:hint="eastAsia"/>
                <w:bCs/>
                <w:color w:val="000000"/>
                <w:sz w:val="24"/>
                <w:szCs w:val="22"/>
                <w:lang w:val="en-US" w:eastAsia="zh-CN"/>
              </w:rPr>
            </w:pPr>
            <w:r>
              <w:rPr>
                <w:rFonts w:hint="default"/>
                <w:bCs/>
                <w:color w:val="000000"/>
                <w:sz w:val="24"/>
                <w:szCs w:val="22"/>
                <w:lang w:val="en-US" w:eastAsia="zh-CN"/>
              </w:rPr>
              <w:t>（</w:t>
            </w:r>
            <w:r>
              <w:rPr>
                <w:rFonts w:hint="eastAsia"/>
                <w:bCs/>
                <w:color w:val="000000"/>
                <w:sz w:val="24"/>
                <w:szCs w:val="22"/>
                <w:lang w:val="en-US" w:eastAsia="zh-CN"/>
              </w:rPr>
              <w:t>1</w:t>
            </w:r>
            <w:r>
              <w:rPr>
                <w:rFonts w:hint="default"/>
                <w:bCs/>
                <w:color w:val="000000"/>
                <w:sz w:val="24"/>
                <w:szCs w:val="22"/>
                <w:lang w:val="en-US" w:eastAsia="zh-CN"/>
              </w:rPr>
              <w:t>）</w:t>
            </w:r>
            <w:r>
              <w:rPr>
                <w:rFonts w:hint="eastAsia"/>
                <w:bCs/>
                <w:color w:val="000000"/>
                <w:sz w:val="24"/>
                <w:szCs w:val="22"/>
                <w:lang w:val="en-US" w:eastAsia="zh-CN"/>
              </w:rPr>
              <w:t>《建设项目环境影响评价分类管理名录》</w:t>
            </w:r>
            <w:r>
              <w:rPr>
                <w:sz w:val="24"/>
              </w:rPr>
              <w:t>（</w:t>
            </w:r>
            <w:r>
              <w:rPr>
                <w:rFonts w:hint="eastAsia"/>
                <w:sz w:val="24"/>
                <w:lang w:eastAsia="zh-CN"/>
              </w:rPr>
              <w:t>生态环境部部令第</w:t>
            </w:r>
            <w:r>
              <w:rPr>
                <w:rFonts w:hint="eastAsia"/>
                <w:sz w:val="24"/>
                <w:lang w:val="en-US" w:eastAsia="zh-CN"/>
              </w:rPr>
              <w:t>16号</w:t>
            </w:r>
            <w:r>
              <w:rPr>
                <w:sz w:val="24"/>
              </w:rPr>
              <w:t>）</w:t>
            </w:r>
            <w:r>
              <w:rPr>
                <w:rFonts w:hint="eastAsia"/>
                <w:bCs/>
                <w:color w:val="000000"/>
                <w:sz w:val="24"/>
                <w:szCs w:val="22"/>
                <w:lang w:val="en-US" w:eastAsia="zh-CN"/>
              </w:rPr>
              <w:t>；</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（2）《产业结构调整指导目录（2019年本）》，中华人民共和国国家发展和改革委员会令第29号，2020年1月1日施行；</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（3）《关于以改善环境质量为核心加强环境影响评价管理的通知》（环环评[2016]150号）；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（4）</w:t>
            </w:r>
            <w:r>
              <w:rPr>
                <w:rFonts w:hint="default"/>
                <w:bCs/>
                <w:color w:val="000000"/>
                <w:sz w:val="24"/>
                <w:szCs w:val="22"/>
                <w:lang w:val="en-US" w:eastAsia="zh-CN"/>
              </w:rPr>
              <w:t>《打好污染防治攻坚战宣传工作方案（2018—2020年）》</w:t>
            </w:r>
            <w:r>
              <w:rPr>
                <w:rFonts w:hint="eastAsia"/>
                <w:bCs/>
                <w:color w:val="000000"/>
                <w:sz w:val="24"/>
                <w:szCs w:val="22"/>
                <w:lang w:val="en-US" w:eastAsia="zh-CN"/>
              </w:rPr>
              <w:t>，</w:t>
            </w:r>
            <w:r>
              <w:rPr>
                <w:rFonts w:hint="default"/>
                <w:bCs/>
                <w:color w:val="000000"/>
                <w:sz w:val="24"/>
                <w:szCs w:val="22"/>
                <w:lang w:val="en-US" w:eastAsia="zh-CN"/>
              </w:rPr>
              <w:t>生态环境部，2018年10月15日；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（5）《关于切实加强环境影响评价监督管理工作的通知》，环办[2013]104号；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（6）</w:t>
            </w:r>
            <w:r>
              <w:rPr>
                <w:rFonts w:hint="default"/>
                <w:bCs/>
                <w:color w:val="000000"/>
                <w:sz w:val="24"/>
                <w:szCs w:val="22"/>
                <w:lang w:val="en-US" w:eastAsia="zh-CN"/>
              </w:rPr>
              <w:t>《关于加强规划环境影响评价与建设项目环境影响评价联动工作的意见》</w:t>
            </w:r>
            <w:r>
              <w:rPr>
                <w:rFonts w:hint="eastAsia"/>
                <w:bCs/>
                <w:color w:val="000000"/>
                <w:sz w:val="24"/>
                <w:szCs w:val="22"/>
                <w:lang w:val="en-US" w:eastAsia="zh-CN"/>
              </w:rPr>
              <w:t>，</w:t>
            </w:r>
            <w:r>
              <w:rPr>
                <w:rFonts w:hint="default"/>
                <w:bCs/>
                <w:color w:val="000000"/>
                <w:sz w:val="24"/>
                <w:szCs w:val="22"/>
                <w:lang w:val="en-US" w:eastAsia="zh-CN"/>
              </w:rPr>
              <w:t>环发（2015）178号</w:t>
            </w:r>
            <w:r>
              <w:rPr>
                <w:rFonts w:hint="eastAsia"/>
                <w:bCs/>
                <w:color w:val="000000"/>
                <w:sz w:val="24"/>
                <w:szCs w:val="22"/>
                <w:lang w:val="en-US" w:eastAsia="zh-CN"/>
              </w:rPr>
              <w:t>；</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（7）《关于切实加强风险防范严格环境影响评价管理的通知》，环发[2012]98号，2012年8月7日；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（8）《关于进一步加强环境影响评价管理防范环境风险的通知》，环发[2012]77号，2012年7月3日；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（9）《国家危险废物名录（2021年版）》，环境保护部令第15号，2021年1月1日起施行；</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（10）《重点环境管理危险化学品名录》，环办[2014]33号；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（11）《危险废物转移联单管理办法》，国家环境保护总局令第5号，1999年10月1日起施行；</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（12）《建设项目危险废物环境影响评价指南》（环境保护部公告[2017]43号）；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（13）《关于执行大气污染物特别排放限值的公告》，环境保护部公告[2013] 14号；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（14）《关于发布&lt;</w:t>
            </w:r>
            <w:r>
              <w:rPr>
                <w:rFonts w:hint="default"/>
                <w:bCs/>
                <w:color w:val="000000"/>
                <w:sz w:val="24"/>
                <w:szCs w:val="22"/>
                <w:lang w:val="en-US" w:eastAsia="zh-CN"/>
              </w:rPr>
              <w:t>建设项目竣工环境保护验收暂行办法</w:t>
            </w:r>
            <w:r>
              <w:rPr>
                <w:rFonts w:hint="eastAsia"/>
                <w:bCs/>
                <w:color w:val="000000"/>
                <w:sz w:val="24"/>
                <w:szCs w:val="22"/>
                <w:lang w:val="en-US" w:eastAsia="zh-CN"/>
              </w:rPr>
              <w:t>&gt;的公告》，国环规环评[2017] 4号。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4、地方法律、法规及规范性文件</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（1）《湖南省环境保护条例》，2019年9月28日湖南省第十三届人民代表大会常务委员会修订；</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（2）《湖南省污染防治攻坚战三年行动计划（2018-2020）》，湘政发[2018]17号；</w:t>
            </w:r>
          </w:p>
          <w:p>
            <w:pPr>
              <w:spacing w:line="360" w:lineRule="auto"/>
              <w:ind w:firstLine="470" w:firstLineChars="196"/>
              <w:rPr>
                <w:rFonts w:hint="eastAsia"/>
                <w:bCs/>
                <w:color w:val="000000"/>
                <w:sz w:val="24"/>
                <w:szCs w:val="22"/>
                <w:lang w:val="en-US" w:eastAsia="zh-CN"/>
              </w:rPr>
            </w:pPr>
            <w:r>
              <w:rPr>
                <w:rFonts w:hint="default"/>
                <w:bCs/>
                <w:color w:val="000000"/>
                <w:sz w:val="24"/>
                <w:szCs w:val="22"/>
                <w:lang w:val="en-US" w:eastAsia="zh-CN"/>
              </w:rPr>
              <w:t>（</w:t>
            </w:r>
            <w:r>
              <w:rPr>
                <w:rFonts w:hint="eastAsia"/>
                <w:bCs/>
                <w:color w:val="000000"/>
                <w:sz w:val="24"/>
                <w:szCs w:val="22"/>
                <w:lang w:val="en-US" w:eastAsia="zh-CN"/>
              </w:rPr>
              <w:t>3</w:t>
            </w:r>
            <w:r>
              <w:rPr>
                <w:rFonts w:hint="default"/>
                <w:bCs/>
                <w:color w:val="000000"/>
                <w:sz w:val="24"/>
                <w:szCs w:val="22"/>
                <w:lang w:val="en-US" w:eastAsia="zh-CN"/>
              </w:rPr>
              <w:t>）《湖南省大气污染防治条例》</w:t>
            </w:r>
            <w:r>
              <w:rPr>
                <w:rFonts w:hint="eastAsia"/>
                <w:bCs/>
                <w:color w:val="000000"/>
                <w:sz w:val="24"/>
                <w:szCs w:val="22"/>
                <w:lang w:val="en-US" w:eastAsia="zh-CN"/>
              </w:rPr>
              <w:t>，湖南省人民政府，2017年6月1日起施行；</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（4）《湖南省人民政府办公厅关于加快推进产业园区改革和创新发展的实施意见》，湘政发[2018]15号；</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（5）《湖南省人民政府关于推进全省产业园区高质量发展的实施意见》，湘政发[2020]13号；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（6）《关于进一步规范和加强产业园区生态环境管理的通知》，湘环发[2020]27号；</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（7）《湖南省生态环境厅关于执行污染物特别排放限值（第一批）的公告》，湖南省生态环境厅，2018年10月29日；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（8）《常德市污染防治攻坚战三年行动计划（2018-2020年）》，常政发[2018]15号，2018年12月29日；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（9）《常德市重污染天气应急预案》，常政办发[2014]84号，2018年11月13日；</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（10）《常德市贯彻落实〈水污染防治行动计划〉实施方案（2016-2020年）》，常政发[2016]11号，常政发[2016]11号；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（11）《</w:t>
            </w:r>
            <w:r>
              <w:rPr>
                <w:rFonts w:hint="default"/>
                <w:bCs/>
                <w:color w:val="000000"/>
                <w:sz w:val="24"/>
                <w:szCs w:val="22"/>
                <w:lang w:val="en-US" w:eastAsia="zh-CN"/>
              </w:rPr>
              <w:t>常德市人民政府办公室关于印发</w:t>
            </w:r>
            <w:r>
              <w:rPr>
                <w:rFonts w:hint="eastAsia"/>
                <w:bCs/>
                <w:color w:val="000000"/>
                <w:sz w:val="24"/>
                <w:szCs w:val="22"/>
                <w:lang w:val="en-US" w:eastAsia="zh-CN"/>
              </w:rPr>
              <w:t>&lt;</w:t>
            </w:r>
            <w:r>
              <w:rPr>
                <w:rFonts w:hint="default"/>
                <w:bCs/>
                <w:color w:val="000000"/>
                <w:sz w:val="24"/>
                <w:szCs w:val="22"/>
                <w:lang w:val="en-US" w:eastAsia="zh-CN"/>
              </w:rPr>
              <w:t>常德市土壤污染防治工作方案</w:t>
            </w:r>
            <w:r>
              <w:rPr>
                <w:rFonts w:hint="eastAsia"/>
                <w:bCs/>
                <w:color w:val="000000"/>
                <w:sz w:val="24"/>
                <w:szCs w:val="22"/>
                <w:lang w:val="en-US" w:eastAsia="zh-CN"/>
              </w:rPr>
              <w:t>&gt;</w:t>
            </w:r>
            <w:r>
              <w:rPr>
                <w:rFonts w:hint="default"/>
                <w:bCs/>
                <w:color w:val="000000"/>
                <w:sz w:val="24"/>
                <w:szCs w:val="22"/>
                <w:lang w:val="en-US" w:eastAsia="zh-CN"/>
              </w:rPr>
              <w:t>的通知》</w:t>
            </w:r>
            <w:r>
              <w:rPr>
                <w:rFonts w:hint="eastAsia"/>
                <w:bCs/>
                <w:color w:val="000000"/>
                <w:sz w:val="24"/>
                <w:szCs w:val="22"/>
                <w:lang w:val="en-US" w:eastAsia="zh-CN"/>
              </w:rPr>
              <w:t>，</w:t>
            </w:r>
            <w:r>
              <w:rPr>
                <w:rFonts w:hint="default"/>
                <w:bCs/>
                <w:color w:val="000000"/>
                <w:sz w:val="24"/>
                <w:szCs w:val="22"/>
                <w:lang w:val="en-US" w:eastAsia="zh-CN"/>
              </w:rPr>
              <w:t>常政发</w:t>
            </w:r>
            <w:r>
              <w:rPr>
                <w:rFonts w:hint="eastAsia"/>
                <w:bCs/>
                <w:color w:val="000000"/>
                <w:sz w:val="24"/>
                <w:szCs w:val="22"/>
                <w:lang w:val="en-US" w:eastAsia="zh-CN"/>
              </w:rPr>
              <w:t>[2017]</w:t>
            </w:r>
            <w:r>
              <w:rPr>
                <w:rFonts w:hint="default"/>
                <w:bCs/>
                <w:color w:val="000000"/>
                <w:sz w:val="24"/>
                <w:szCs w:val="22"/>
                <w:lang w:val="en-US" w:eastAsia="zh-CN"/>
              </w:rPr>
              <w:t>12号，2017</w:t>
            </w:r>
            <w:r>
              <w:rPr>
                <w:rFonts w:hint="eastAsia"/>
                <w:bCs/>
                <w:color w:val="000000"/>
                <w:sz w:val="24"/>
                <w:szCs w:val="22"/>
                <w:lang w:val="en-US" w:eastAsia="zh-CN"/>
              </w:rPr>
              <w:t>年</w:t>
            </w:r>
            <w:r>
              <w:rPr>
                <w:rFonts w:hint="default"/>
                <w:bCs/>
                <w:color w:val="000000"/>
                <w:sz w:val="24"/>
                <w:szCs w:val="22"/>
                <w:lang w:val="en-US" w:eastAsia="zh-CN"/>
              </w:rPr>
              <w:t>7</w:t>
            </w:r>
            <w:r>
              <w:rPr>
                <w:rFonts w:hint="eastAsia"/>
                <w:bCs/>
                <w:color w:val="000000"/>
                <w:sz w:val="24"/>
                <w:szCs w:val="22"/>
                <w:lang w:val="en-US" w:eastAsia="zh-CN"/>
              </w:rPr>
              <w:t>月</w:t>
            </w:r>
            <w:r>
              <w:rPr>
                <w:rFonts w:hint="default"/>
                <w:bCs/>
                <w:color w:val="000000"/>
                <w:sz w:val="24"/>
                <w:szCs w:val="22"/>
                <w:lang w:val="en-US" w:eastAsia="zh-CN"/>
              </w:rPr>
              <w:t>24</w:t>
            </w:r>
            <w:r>
              <w:rPr>
                <w:rFonts w:hint="eastAsia"/>
                <w:bCs/>
                <w:color w:val="000000"/>
                <w:sz w:val="24"/>
                <w:szCs w:val="22"/>
                <w:lang w:val="en-US" w:eastAsia="zh-CN"/>
              </w:rPr>
              <w:t>日；</w:t>
            </w:r>
          </w:p>
          <w:p>
            <w:pPr>
              <w:spacing w:line="360" w:lineRule="auto"/>
              <w:ind w:firstLine="470" w:firstLineChars="196"/>
              <w:rPr>
                <w:rFonts w:hint="default"/>
                <w:lang w:val="en-US" w:eastAsia="zh-CN"/>
              </w:rPr>
            </w:pPr>
            <w:r>
              <w:rPr>
                <w:rFonts w:hint="eastAsia"/>
                <w:bCs/>
                <w:color w:val="000000"/>
                <w:sz w:val="24"/>
                <w:szCs w:val="22"/>
                <w:lang w:val="en-US" w:eastAsia="zh-CN"/>
              </w:rPr>
              <w:t>（12）《常德市生态环境局关于印发〈常德市危险废物专项整治三年行动工作方案〉的通知》（常环发［2020］11号）。</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5、</w:t>
            </w:r>
            <w:r>
              <w:rPr>
                <w:rFonts w:hint="default"/>
                <w:bCs/>
                <w:color w:val="000000"/>
                <w:sz w:val="24"/>
                <w:szCs w:val="22"/>
                <w:lang w:val="en-US" w:eastAsia="zh-CN"/>
              </w:rPr>
              <w:t>导则及</w:t>
            </w:r>
            <w:r>
              <w:rPr>
                <w:rFonts w:hint="eastAsia"/>
                <w:bCs/>
                <w:color w:val="000000"/>
                <w:sz w:val="24"/>
                <w:szCs w:val="22"/>
                <w:lang w:val="en-US" w:eastAsia="zh-CN"/>
              </w:rPr>
              <w:t>标准</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（1）《建设项目环境影响评价技术导则  总纲》（HJ2.1-2016）；</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（2）</w:t>
            </w:r>
            <w:r>
              <w:rPr>
                <w:rFonts w:hint="default"/>
                <w:bCs/>
                <w:color w:val="000000"/>
                <w:sz w:val="24"/>
                <w:szCs w:val="22"/>
                <w:lang w:val="en-US" w:eastAsia="zh-CN"/>
              </w:rPr>
              <w:t>《环境影响评价技术导则  大气环境》（HJ2.2-2018）；</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（3）</w:t>
            </w:r>
            <w:r>
              <w:rPr>
                <w:rFonts w:hint="default"/>
                <w:bCs/>
                <w:color w:val="000000"/>
                <w:sz w:val="24"/>
                <w:szCs w:val="22"/>
                <w:lang w:val="en-US" w:eastAsia="zh-CN"/>
              </w:rPr>
              <w:t>《环境影响评价技术导则  地</w:t>
            </w:r>
            <w:r>
              <w:rPr>
                <w:rFonts w:hint="eastAsia"/>
                <w:bCs/>
                <w:color w:val="000000"/>
                <w:sz w:val="24"/>
                <w:szCs w:val="22"/>
                <w:lang w:val="en-US" w:eastAsia="zh-CN"/>
              </w:rPr>
              <w:t>表</w:t>
            </w:r>
            <w:r>
              <w:rPr>
                <w:rFonts w:hint="default"/>
                <w:bCs/>
                <w:color w:val="000000"/>
                <w:sz w:val="24"/>
                <w:szCs w:val="22"/>
                <w:lang w:val="en-US" w:eastAsia="zh-CN"/>
              </w:rPr>
              <w:t>水环境》（HJ2.3-2018）；</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（4）</w:t>
            </w:r>
            <w:r>
              <w:rPr>
                <w:rFonts w:hint="default"/>
                <w:bCs/>
                <w:color w:val="000000"/>
                <w:sz w:val="24"/>
                <w:szCs w:val="22"/>
                <w:lang w:val="en-US" w:eastAsia="zh-CN"/>
              </w:rPr>
              <w:t>《环境影响评价技术导则  地下水环境》（HJ610-2016）</w:t>
            </w:r>
            <w:r>
              <w:rPr>
                <w:rFonts w:hint="eastAsia"/>
                <w:bCs/>
                <w:color w:val="000000"/>
                <w:sz w:val="24"/>
                <w:szCs w:val="22"/>
                <w:lang w:val="en-US" w:eastAsia="zh-CN"/>
              </w:rPr>
              <w:t>；</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（5）</w:t>
            </w:r>
            <w:r>
              <w:rPr>
                <w:rFonts w:hint="default"/>
                <w:bCs/>
                <w:color w:val="000000"/>
                <w:sz w:val="24"/>
                <w:szCs w:val="22"/>
                <w:lang w:val="en-US" w:eastAsia="zh-CN"/>
              </w:rPr>
              <w:t>《环境影响评价技术导则  声环境》（HJ2.4-2009）；</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（6）《环境影响评价技术导则  生态影响》（HJ19-2011）；</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（7）《环境影响评价技术导则  土壤环境》（HJ964-2018）；</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（8）</w:t>
            </w:r>
            <w:r>
              <w:rPr>
                <w:rFonts w:hint="default"/>
                <w:bCs/>
                <w:color w:val="000000"/>
                <w:sz w:val="24"/>
                <w:szCs w:val="22"/>
                <w:lang w:val="en-US" w:eastAsia="zh-CN"/>
              </w:rPr>
              <w:t>《建设项目环境风险评价技术导则》（</w:t>
            </w:r>
            <w:r>
              <w:rPr>
                <w:rFonts w:hint="eastAsia"/>
                <w:bCs/>
                <w:color w:val="000000"/>
                <w:sz w:val="24"/>
                <w:szCs w:val="22"/>
                <w:lang w:val="en-US" w:eastAsia="zh-CN"/>
              </w:rPr>
              <w:t>HJ169-2018</w:t>
            </w:r>
            <w:r>
              <w:rPr>
                <w:rFonts w:hint="default"/>
                <w:bCs/>
                <w:color w:val="000000"/>
                <w:sz w:val="24"/>
                <w:szCs w:val="22"/>
                <w:lang w:val="en-US" w:eastAsia="zh-CN"/>
              </w:rPr>
              <w:t>）；</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（9）《排污许可证申请与核发技术规范  总则》（HJ942-2018）；</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（10）《企业突发环境事件风险分级方法》（HJ941-2018）；</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（11）</w:t>
            </w:r>
            <w:r>
              <w:rPr>
                <w:rFonts w:hint="default"/>
                <w:bCs/>
                <w:color w:val="000000"/>
                <w:sz w:val="24"/>
                <w:szCs w:val="22"/>
                <w:lang w:val="en-US" w:eastAsia="zh-CN"/>
              </w:rPr>
              <w:t>《声环境功能区划分技术规范》（GB/T15190-2014）；</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（12）《排污单位自行监测技术指南  总则》（HJ819-2017）；</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（13）《固定污染源排污许可分类管理名录（2019年版）》（生态环境部）；</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（14）《排污许可证申请与核发技术规范 农副食品加工工业—饲料加工、植物油加工工业》（HJ1110-2020）；</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（15）《排污单位自行监测技术指南 农副食品加工业》（HJ986-2018）；</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（16）</w:t>
            </w:r>
            <w:r>
              <w:rPr>
                <w:rFonts w:hint="default"/>
                <w:bCs/>
                <w:color w:val="000000"/>
                <w:sz w:val="24"/>
                <w:szCs w:val="22"/>
                <w:lang w:val="en-US" w:eastAsia="zh-CN"/>
              </w:rPr>
              <w:t>《</w:t>
            </w:r>
            <w:r>
              <w:rPr>
                <w:rFonts w:hint="eastAsia"/>
                <w:bCs/>
                <w:color w:val="000000"/>
                <w:sz w:val="24"/>
                <w:szCs w:val="22"/>
                <w:lang w:val="en-US" w:eastAsia="zh-CN"/>
              </w:rPr>
              <w:t>污染源源强核算技术指南  准则</w:t>
            </w:r>
            <w:r>
              <w:rPr>
                <w:rFonts w:hint="default"/>
                <w:bCs/>
                <w:color w:val="000000"/>
                <w:sz w:val="24"/>
                <w:szCs w:val="22"/>
                <w:lang w:val="en-US" w:eastAsia="zh-CN"/>
              </w:rPr>
              <w:t>》（</w:t>
            </w:r>
            <w:r>
              <w:rPr>
                <w:rFonts w:hint="eastAsia"/>
                <w:bCs/>
                <w:color w:val="000000"/>
                <w:sz w:val="24"/>
                <w:szCs w:val="22"/>
                <w:lang w:val="en-US" w:eastAsia="zh-CN"/>
              </w:rPr>
              <w:t>HJ884-2018</w:t>
            </w:r>
            <w:r>
              <w:rPr>
                <w:rFonts w:hint="default"/>
                <w:bCs/>
                <w:color w:val="000000"/>
                <w:sz w:val="24"/>
                <w:szCs w:val="22"/>
                <w:lang w:val="en-US" w:eastAsia="zh-CN"/>
              </w:rPr>
              <w:t>）；</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（17）</w:t>
            </w:r>
            <w:r>
              <w:rPr>
                <w:rFonts w:hint="default"/>
                <w:bCs/>
                <w:color w:val="000000"/>
                <w:sz w:val="24"/>
                <w:szCs w:val="22"/>
                <w:lang w:val="en-US" w:eastAsia="zh-CN"/>
              </w:rPr>
              <w:t>《危险化学品重大危险源辨识》（GB18218-2018）；</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（18）《固体废物鉴别标准  通则》（GB34330-2017）；</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（19）《危险废物收集、贮存、运输技术规范》（HJ2025-2012）。</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6、</w:t>
            </w:r>
            <w:r>
              <w:rPr>
                <w:rFonts w:hint="default"/>
                <w:bCs/>
                <w:color w:val="000000"/>
                <w:sz w:val="24"/>
                <w:szCs w:val="22"/>
                <w:lang w:val="en-US" w:eastAsia="zh-CN"/>
              </w:rPr>
              <w:t>其它</w:t>
            </w:r>
            <w:r>
              <w:rPr>
                <w:rFonts w:hint="eastAsia"/>
                <w:bCs/>
                <w:color w:val="000000"/>
                <w:sz w:val="24"/>
                <w:szCs w:val="22"/>
                <w:lang w:val="en-US" w:eastAsia="zh-CN"/>
              </w:rPr>
              <w:t>技术资料</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（1）《湖南省环境保护局关于湖南省津市经济开发区环境影响报告书的批复》，湘环评[2007]169号；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（2）《津市高新技术产业开发区调扩区规划环境影响报告书》，长沙环境保护职业技术学院，2018年2月；</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（3）《湖南省环境保护厅关于津市高新技术产业开发区调扩区规划环境影响报告书的审查意见》，湘环评函[2018]6号；</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（4）《津市市土地利用总体规划（2006-2020年）》（2016年修订版）；</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（5）《津市经济开发区二期控制性详细规划》；</w:t>
            </w:r>
          </w:p>
          <w:p>
            <w:pPr>
              <w:spacing w:line="360" w:lineRule="auto"/>
              <w:ind w:firstLine="470" w:firstLineChars="196"/>
              <w:rPr>
                <w:rFonts w:hint="eastAsia"/>
                <w:bCs/>
                <w:color w:val="000000"/>
                <w:sz w:val="24"/>
                <w:szCs w:val="22"/>
                <w:lang w:val="en-US" w:eastAsia="zh-CN"/>
              </w:rPr>
            </w:pPr>
            <w:r>
              <w:rPr>
                <w:rFonts w:hint="eastAsia"/>
                <w:bCs/>
                <w:color w:val="000000"/>
                <w:sz w:val="24"/>
                <w:szCs w:val="22"/>
                <w:lang w:val="en-US" w:eastAsia="zh-CN"/>
              </w:rPr>
              <w:t>（6）《湖南嘉山国家级森林公园总体规划（2015-2025）》；</w:t>
            </w:r>
          </w:p>
          <w:p>
            <w:pPr>
              <w:spacing w:line="360" w:lineRule="auto"/>
              <w:ind w:firstLine="470" w:firstLineChars="196"/>
              <w:rPr>
                <w:rFonts w:hint="default"/>
                <w:bCs/>
                <w:color w:val="000000"/>
                <w:sz w:val="24"/>
                <w:szCs w:val="22"/>
                <w:lang w:val="en-US" w:eastAsia="zh-CN"/>
              </w:rPr>
            </w:pPr>
            <w:r>
              <w:rPr>
                <w:rFonts w:hint="eastAsia"/>
                <w:bCs/>
                <w:color w:val="000000"/>
                <w:sz w:val="24"/>
                <w:szCs w:val="22"/>
                <w:lang w:val="en-US" w:eastAsia="zh-CN"/>
              </w:rPr>
              <w:t xml:space="preserve">（7） </w:t>
            </w:r>
            <w:r>
              <w:rPr>
                <w:rFonts w:hint="default"/>
                <w:bCs/>
                <w:color w:val="000000"/>
                <w:sz w:val="24"/>
                <w:szCs w:val="22"/>
                <w:lang w:val="en-US" w:eastAsia="zh-CN"/>
              </w:rPr>
              <w:t>环评工作委托函；</w:t>
            </w:r>
          </w:p>
          <w:p>
            <w:pPr>
              <w:spacing w:line="360" w:lineRule="auto"/>
              <w:ind w:firstLine="470" w:firstLineChars="196"/>
              <w:rPr>
                <w:rFonts w:hint="default"/>
                <w:bCs/>
                <w:color w:val="000000"/>
                <w:sz w:val="24"/>
                <w:szCs w:val="22"/>
                <w:lang w:val="en-US" w:eastAsia="zh-CN"/>
              </w:rPr>
            </w:pPr>
            <w:r>
              <w:rPr>
                <w:rFonts w:hint="default"/>
                <w:bCs/>
                <w:color w:val="000000"/>
                <w:sz w:val="24"/>
                <w:szCs w:val="22"/>
                <w:lang w:val="en-US" w:eastAsia="zh-CN"/>
              </w:rPr>
              <w:t>（</w:t>
            </w:r>
            <w:r>
              <w:rPr>
                <w:rFonts w:hint="eastAsia"/>
                <w:bCs/>
                <w:color w:val="000000"/>
                <w:sz w:val="24"/>
                <w:szCs w:val="22"/>
                <w:lang w:val="en-US" w:eastAsia="zh-CN"/>
              </w:rPr>
              <w:t>8</w:t>
            </w:r>
            <w:r>
              <w:rPr>
                <w:rFonts w:hint="default"/>
                <w:bCs/>
                <w:color w:val="000000"/>
                <w:sz w:val="24"/>
                <w:szCs w:val="22"/>
                <w:lang w:val="en-US" w:eastAsia="zh-CN"/>
              </w:rPr>
              <w:t>）项目有关的环境质量监测报告；</w:t>
            </w:r>
          </w:p>
          <w:p>
            <w:pPr>
              <w:spacing w:line="360" w:lineRule="auto"/>
              <w:ind w:firstLine="470" w:firstLineChars="196"/>
              <w:rPr>
                <w:bCs/>
                <w:color w:val="000000"/>
                <w:sz w:val="24"/>
              </w:rPr>
            </w:pPr>
            <w:r>
              <w:rPr>
                <w:rFonts w:hint="default"/>
                <w:bCs/>
                <w:color w:val="000000"/>
                <w:sz w:val="24"/>
                <w:szCs w:val="22"/>
                <w:lang w:val="en-US" w:eastAsia="zh-CN"/>
              </w:rPr>
              <w:t>（</w:t>
            </w:r>
            <w:r>
              <w:rPr>
                <w:rFonts w:hint="eastAsia"/>
                <w:bCs/>
                <w:color w:val="000000"/>
                <w:sz w:val="24"/>
                <w:szCs w:val="22"/>
                <w:lang w:val="en-US" w:eastAsia="zh-CN"/>
              </w:rPr>
              <w:t>9</w:t>
            </w:r>
            <w:r>
              <w:rPr>
                <w:rFonts w:hint="default"/>
                <w:bCs/>
                <w:color w:val="000000"/>
                <w:sz w:val="24"/>
                <w:szCs w:val="22"/>
                <w:lang w:val="en-US" w:eastAsia="zh-CN"/>
              </w:rPr>
              <w:t>）</w:t>
            </w:r>
            <w:r>
              <w:rPr>
                <w:rFonts w:hint="eastAsia"/>
                <w:bCs/>
                <w:color w:val="000000"/>
                <w:sz w:val="24"/>
                <w:szCs w:val="22"/>
                <w:lang w:val="en-US" w:eastAsia="zh-CN"/>
              </w:rPr>
              <w:t>常德市汇海饲料有限公司</w:t>
            </w:r>
            <w:r>
              <w:rPr>
                <w:rFonts w:hint="default"/>
                <w:bCs/>
                <w:color w:val="000000"/>
                <w:sz w:val="24"/>
                <w:szCs w:val="22"/>
                <w:lang w:val="en-US" w:eastAsia="zh-CN"/>
              </w:rPr>
              <w:t>提供的其它相关资料。</w:t>
            </w:r>
          </w:p>
          <w:p>
            <w:pPr>
              <w:spacing w:line="360" w:lineRule="auto"/>
              <w:ind w:firstLine="482" w:firstLineChars="200"/>
              <w:rPr>
                <w:rFonts w:hint="eastAsia"/>
                <w:b/>
                <w:bCs/>
                <w:sz w:val="24"/>
                <w:u w:val="none"/>
              </w:rPr>
            </w:pPr>
            <w:r>
              <w:rPr>
                <w:rFonts w:hint="eastAsia"/>
                <w:b/>
                <w:bCs/>
                <w:sz w:val="24"/>
                <w:u w:val="none"/>
              </w:rPr>
              <w:t>九</w:t>
            </w:r>
            <w:r>
              <w:rPr>
                <w:b/>
                <w:bCs/>
                <w:sz w:val="24"/>
                <w:u w:val="none"/>
              </w:rPr>
              <w:t>、</w:t>
            </w:r>
            <w:r>
              <w:rPr>
                <w:rFonts w:hint="eastAsia"/>
                <w:b/>
                <w:bCs/>
                <w:sz w:val="24"/>
                <w:u w:val="none"/>
              </w:rPr>
              <w:t>评价等级判定</w:t>
            </w:r>
          </w:p>
          <w:p>
            <w:pPr>
              <w:spacing w:line="360" w:lineRule="auto"/>
              <w:ind w:firstLine="480" w:firstLineChars="200"/>
              <w:rPr>
                <w:rFonts w:hint="default" w:ascii="Times New Roman" w:hAnsi="Times New Roman" w:cs="Times New Roman"/>
                <w:b w:val="0"/>
                <w:bCs w:val="0"/>
                <w:sz w:val="24"/>
                <w:lang w:val="en-US" w:eastAsia="zh-CN"/>
              </w:rPr>
            </w:pPr>
            <w:r>
              <w:rPr>
                <w:rFonts w:hint="eastAsia" w:cs="Times New Roman"/>
                <w:b w:val="0"/>
                <w:bCs w:val="0"/>
                <w:sz w:val="24"/>
                <w:lang w:val="en-US" w:eastAsia="zh-CN"/>
              </w:rPr>
              <w:t>1、</w:t>
            </w:r>
            <w:r>
              <w:rPr>
                <w:rFonts w:hint="default" w:ascii="Times New Roman" w:hAnsi="Times New Roman" w:cs="Times New Roman"/>
                <w:b w:val="0"/>
                <w:bCs w:val="0"/>
                <w:sz w:val="24"/>
                <w:lang w:val="en-US" w:eastAsia="zh-CN"/>
              </w:rPr>
              <w:t>大气</w:t>
            </w:r>
            <w:r>
              <w:rPr>
                <w:rFonts w:hint="eastAsia" w:cs="Times New Roman"/>
                <w:b w:val="0"/>
                <w:bCs w:val="0"/>
                <w:sz w:val="24"/>
                <w:lang w:val="en-US" w:eastAsia="zh-CN"/>
              </w:rPr>
              <w:t>环境</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（1）评价等级判据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根据项目污染物特征分析及项目源强变化情况，本项目运营过程中产生的废气主要为</w:t>
            </w:r>
            <w:r>
              <w:rPr>
                <w:rFonts w:hint="eastAsia" w:cs="Times New Roman"/>
                <w:sz w:val="24"/>
                <w:lang w:eastAsia="zh-CN"/>
              </w:rPr>
              <w:t>发酵车间</w:t>
            </w:r>
            <w:r>
              <w:rPr>
                <w:rFonts w:hint="eastAsia" w:ascii="Times New Roman" w:hAnsi="Times New Roman" w:cs="Times New Roman"/>
                <w:sz w:val="24"/>
                <w:lang w:eastAsia="zh-CN"/>
              </w:rPr>
              <w:t>产生的恶臭、生产车间产生的粉尘</w:t>
            </w:r>
            <w:r>
              <w:rPr>
                <w:rFonts w:hint="eastAsia" w:ascii="Times New Roman" w:hAnsi="Times New Roman" w:cs="Times New Roman"/>
                <w:sz w:val="24"/>
              </w:rPr>
              <w:t>，污染因子为</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w:t>
            </w:r>
            <w:r>
              <w:rPr>
                <w:rFonts w:hint="eastAsia" w:ascii="Times New Roman" w:hAnsi="Times New Roman" w:cs="Times New Roman"/>
                <w:sz w:val="24"/>
                <w:lang w:eastAsia="zh-CN"/>
              </w:rPr>
              <w:t>、</w:t>
            </w:r>
            <w:r>
              <w:rPr>
                <w:rFonts w:hint="default" w:ascii="Times New Roman" w:hAnsi="Times New Roman" w:cs="Times New Roman"/>
                <w:sz w:val="24"/>
              </w:rPr>
              <w:t>NH</w:t>
            </w:r>
            <w:r>
              <w:rPr>
                <w:rFonts w:hint="default" w:ascii="Times New Roman" w:hAnsi="Times New Roman" w:cs="Times New Roman"/>
                <w:sz w:val="24"/>
                <w:vertAlign w:val="subscript"/>
              </w:rPr>
              <w:t>3</w:t>
            </w:r>
            <w:r>
              <w:rPr>
                <w:rFonts w:hint="eastAsia" w:ascii="Times New Roman" w:hAnsi="Times New Roman" w:cs="Times New Roman"/>
                <w:sz w:val="24"/>
                <w:vertAlign w:val="baseline"/>
                <w:lang w:eastAsia="zh-CN"/>
              </w:rPr>
              <w:t>和</w:t>
            </w:r>
            <w:r>
              <w:rPr>
                <w:rFonts w:hint="eastAsia" w:cs="Times New Roman"/>
                <w:sz w:val="24"/>
                <w:vertAlign w:val="baseline"/>
                <w:lang w:val="en-US" w:eastAsia="zh-CN"/>
              </w:rPr>
              <w:t>颗粒物</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按</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"http://www.baidu.com/link?url=A3bpbtSMMrMlZcIOMCu-qVj6wQd1ePynxxsn-A6gzegk4Ba55E1J9vJx3MDZZ9hm" \t "_blank" </w:instrText>
            </w:r>
            <w:r>
              <w:rPr>
                <w:rFonts w:hint="default" w:ascii="Times New Roman" w:hAnsi="Times New Roman" w:cs="Times New Roman"/>
                <w:sz w:val="24"/>
              </w:rPr>
              <w:fldChar w:fldCharType="separate"/>
            </w:r>
            <w:r>
              <w:rPr>
                <w:rFonts w:hint="default" w:ascii="Times New Roman" w:hAnsi="Times New Roman" w:cs="Times New Roman"/>
                <w:sz w:val="24"/>
              </w:rPr>
              <w:t>《环境影响评价技术导则</w:t>
            </w:r>
            <w:r>
              <w:rPr>
                <w:rFonts w:hint="eastAsia" w:ascii="Times New Roman" w:hAnsi="Times New Roman" w:cs="Times New Roman"/>
                <w:sz w:val="24"/>
                <w:lang w:eastAsia="zh-CN"/>
              </w:rPr>
              <w:t>—</w:t>
            </w:r>
            <w:r>
              <w:rPr>
                <w:rFonts w:hint="default" w:ascii="Times New Roman" w:hAnsi="Times New Roman" w:cs="Times New Roman"/>
                <w:sz w:val="24"/>
              </w:rPr>
              <w:t>大气环境》</w:t>
            </w:r>
            <w:r>
              <w:rPr>
                <w:rFonts w:hint="default" w:ascii="Times New Roman" w:hAnsi="Times New Roman" w:cs="Times New Roman"/>
                <w:sz w:val="24"/>
              </w:rPr>
              <w:fldChar w:fldCharType="end"/>
            </w:r>
            <w:r>
              <w:rPr>
                <w:rFonts w:hint="default" w:ascii="Times New Roman" w:hAnsi="Times New Roman" w:cs="Times New Roman"/>
                <w:sz w:val="24"/>
              </w:rPr>
              <w:t>（HJ2.2-2018）规定，采用估算模式计算各污染物的最大影响程度和最远影响范围，然后按评价工作分级判据进行分级。最大地面浓度占标率计算公式为：</w:t>
            </w:r>
          </w:p>
          <w:p>
            <w:pPr>
              <w:adjustRightInd w:val="0"/>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Pi=Ci/Coi×100％</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式中：Pi——第i个污染物的最大地面浓度占标率，％；</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default" w:ascii="Times New Roman" w:hAnsi="Times New Roman" w:cs="Times New Roman"/>
                <w:sz w:val="24"/>
              </w:rPr>
              <w:t>Ci——采用估算模式计算的第i个污染物的最大地面浓度，ug/m</w:t>
            </w:r>
            <w:r>
              <w:rPr>
                <w:rFonts w:hint="default" w:ascii="Times New Roman" w:hAnsi="Times New Roman" w:cs="Times New Roman"/>
                <w:sz w:val="24"/>
                <w:vertAlign w:val="superscript"/>
              </w:rPr>
              <w:t>3</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default" w:ascii="Times New Roman" w:hAnsi="Times New Roman" w:cs="Times New Roman"/>
                <w:sz w:val="24"/>
              </w:rPr>
              <w:t>Coi——第i个污染物的环境空气质量标准，ug/m</w:t>
            </w:r>
            <w:r>
              <w:rPr>
                <w:rFonts w:hint="default" w:ascii="Times New Roman" w:hAnsi="Times New Roman" w:cs="Times New Roman"/>
                <w:sz w:val="24"/>
                <w:vertAlign w:val="superscript"/>
              </w:rPr>
              <w:t>3</w:t>
            </w:r>
            <w:r>
              <w:rPr>
                <w:rFonts w:hint="default" w:ascii="Times New Roman" w:hAnsi="Times New Roman" w:cs="Times New Roman"/>
                <w:sz w:val="24"/>
              </w:rPr>
              <w:t>。</w:t>
            </w:r>
          </w:p>
          <w:p>
            <w:pPr>
              <w:adjustRightInd w:val="0"/>
              <w:snapToGrid w:val="0"/>
              <w:spacing w:line="360" w:lineRule="auto"/>
              <w:ind w:firstLine="480" w:firstLineChars="200"/>
              <w:rPr>
                <w:rFonts w:hint="eastAsia" w:ascii="Times New Roman" w:hAnsi="Times New Roman" w:cs="Times New Roman"/>
                <w:sz w:val="24"/>
              </w:rPr>
            </w:pPr>
            <w:r>
              <w:rPr>
                <w:rFonts w:hint="default" w:ascii="Times New Roman" w:hAnsi="Times New Roman" w:cs="Times New Roman"/>
                <w:sz w:val="24"/>
              </w:rPr>
              <w:t>根据《环境评价技术导则 大气环境》（HJ2.2-2018），利用AERSCREEN估算模型分别计算污染物的下风向轴线浓度及相应的占标率，估算模型参数取值见表</w:t>
            </w:r>
            <w:r>
              <w:rPr>
                <w:rFonts w:hint="eastAsia" w:cs="Times New Roman"/>
                <w:sz w:val="24"/>
                <w:lang w:val="en-US" w:eastAsia="zh-CN"/>
              </w:rPr>
              <w:t>1-5</w:t>
            </w:r>
            <w:r>
              <w:rPr>
                <w:rFonts w:hint="default" w:ascii="Times New Roman" w:hAnsi="Times New Roman" w:cs="Times New Roman"/>
                <w:sz w:val="24"/>
              </w:rPr>
              <w:t>。</w:t>
            </w:r>
          </w:p>
          <w:p>
            <w:pPr>
              <w:adjustRightInd w:val="0"/>
              <w:snapToGrid w:val="0"/>
              <w:spacing w:line="360" w:lineRule="auto"/>
              <w:jc w:val="center"/>
              <w:rPr>
                <w:rFonts w:hint="default" w:ascii="Times New Roman" w:hAnsi="Times New Roman" w:cs="Times New Roman"/>
                <w:b/>
                <w:kern w:val="0"/>
                <w:szCs w:val="21"/>
              </w:rPr>
            </w:pPr>
            <w:r>
              <w:rPr>
                <w:rFonts w:hint="eastAsia" w:ascii="Times New Roman" w:hAnsi="Times New Roman" w:cs="Times New Roman"/>
                <w:b/>
                <w:kern w:val="0"/>
                <w:szCs w:val="21"/>
              </w:rPr>
              <w:t>表</w:t>
            </w:r>
            <w:r>
              <w:rPr>
                <w:rFonts w:hint="eastAsia" w:cs="Times New Roman"/>
                <w:b/>
                <w:kern w:val="0"/>
                <w:szCs w:val="21"/>
                <w:lang w:val="en-US" w:eastAsia="zh-CN"/>
              </w:rPr>
              <w:t>1-5</w:t>
            </w:r>
            <w:r>
              <w:rPr>
                <w:rFonts w:hint="default" w:ascii="Times New Roman" w:hAnsi="Times New Roman" w:cs="Times New Roman"/>
                <w:b/>
                <w:kern w:val="0"/>
                <w:szCs w:val="21"/>
              </w:rPr>
              <w:t xml:space="preserve">  </w:t>
            </w:r>
            <w:r>
              <w:rPr>
                <w:rFonts w:hint="eastAsia" w:ascii="Times New Roman" w:hAnsi="Times New Roman" w:cs="Times New Roman"/>
                <w:b/>
                <w:kern w:val="0"/>
                <w:szCs w:val="21"/>
              </w:rPr>
              <w:t>估算模型参数表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66"/>
              <w:gridCol w:w="2876"/>
              <w:gridCol w:w="28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5819"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参数</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取值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城市/农村选项</w:t>
                  </w: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城市/农村</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城市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continue"/>
                  <w:tcBorders>
                    <w:tl2br w:val="nil"/>
                    <w:tr2bl w:val="nil"/>
                  </w:tcBorders>
                  <w:vAlign w:val="center"/>
                </w:tcPr>
                <w:p>
                  <w:pPr>
                    <w:widowControl/>
                    <w:spacing w:line="240" w:lineRule="auto"/>
                    <w:jc w:val="left"/>
                    <w:rPr>
                      <w:rFonts w:hint="default" w:ascii="Times New Roman" w:hAnsi="Times New Roman" w:cs="Times New Roman"/>
                      <w:sz w:val="21"/>
                      <w:szCs w:val="21"/>
                    </w:rPr>
                  </w:pP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人口数（城市选项时）</w:t>
                  </w:r>
                </w:p>
              </w:tc>
              <w:tc>
                <w:tcPr>
                  <w:tcW w:w="2913" w:type="dxa"/>
                  <w:tcBorders>
                    <w:tl2br w:val="nil"/>
                    <w:tr2bl w:val="nil"/>
                  </w:tcBorders>
                  <w:vAlign w:val="center"/>
                </w:tcPr>
                <w:p>
                  <w:pPr>
                    <w:spacing w:line="240" w:lineRule="auto"/>
                    <w:jc w:val="center"/>
                    <w:rPr>
                      <w:rFonts w:hint="default" w:ascii="Times New Roman" w:hAnsi="Times New Roman" w:cs="Times New Roman"/>
                      <w:szCs w:val="21"/>
                    </w:rPr>
                  </w:pPr>
                  <w:r>
                    <w:rPr>
                      <w:rFonts w:hint="eastAsia" w:ascii="Times New Roman" w:hAnsi="Times New Roman" w:cs="Times New Roman"/>
                      <w:szCs w:val="21"/>
                      <w:lang w:val="en-US" w:eastAsia="zh-CN"/>
                    </w:rPr>
                    <w:t>24</w:t>
                  </w:r>
                  <w:r>
                    <w:rPr>
                      <w:rFonts w:hint="default" w:ascii="Times New Roman" w:hAnsi="Times New Roman" w:cs="Times New Roman"/>
                      <w:szCs w:val="21"/>
                    </w:rPr>
                    <w:t>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5819"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最高环境温度℃</w:t>
                  </w:r>
                </w:p>
                <w:p>
                  <w:pPr>
                    <w:adjustRightInd w:val="0"/>
                    <w:snapToGrid w:val="0"/>
                    <w:spacing w:line="240" w:lineRule="auto"/>
                    <w:jc w:val="center"/>
                    <w:rPr>
                      <w:rFonts w:hint="default" w:ascii="Times New Roman" w:hAnsi="Times New Roman" w:cs="Times New Roman"/>
                      <w:sz w:val="21"/>
                      <w:szCs w:val="21"/>
                    </w:rPr>
                  </w:pPr>
                </w:p>
              </w:tc>
              <w:tc>
                <w:tcPr>
                  <w:tcW w:w="2913" w:type="dxa"/>
                  <w:tcBorders>
                    <w:tl2br w:val="nil"/>
                    <w:tr2bl w:val="nil"/>
                  </w:tcBorders>
                  <w:vAlign w:val="center"/>
                </w:tcPr>
                <w:p>
                  <w:pPr>
                    <w:spacing w:line="240" w:lineRule="auto"/>
                    <w:jc w:val="center"/>
                    <w:rPr>
                      <w:rFonts w:hint="default" w:ascii="Times New Roman" w:hAnsi="Times New Roman" w:cs="Times New Roman"/>
                      <w:szCs w:val="21"/>
                    </w:rPr>
                  </w:pPr>
                  <w:r>
                    <w:rPr>
                      <w:rFonts w:hint="eastAsia" w:ascii="Times New Roman" w:hAnsi="Times New Roman" w:cs="Times New Roman"/>
                      <w:szCs w:val="21"/>
                      <w:lang w:val="en-US" w:eastAsia="zh-CN"/>
                    </w:rPr>
                    <w:t>40.1</w:t>
                  </w:r>
                  <w:r>
                    <w:rPr>
                      <w:rFonts w:hint="default" w:ascii="Times New Roman" w:hAnsi="Times New Roman" w:cs="Times New Roman"/>
                      <w:szCs w:val="21"/>
                    </w:rPr>
                    <w:t>°C</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5819"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最低环境温度℃</w:t>
                  </w:r>
                </w:p>
                <w:p>
                  <w:pPr>
                    <w:adjustRightInd w:val="0"/>
                    <w:snapToGrid w:val="0"/>
                    <w:spacing w:line="240" w:lineRule="auto"/>
                    <w:jc w:val="center"/>
                    <w:rPr>
                      <w:rFonts w:hint="default" w:ascii="Times New Roman" w:hAnsi="Times New Roman" w:cs="Times New Roman"/>
                      <w:sz w:val="21"/>
                      <w:szCs w:val="21"/>
                    </w:rPr>
                  </w:pPr>
                </w:p>
              </w:tc>
              <w:tc>
                <w:tcPr>
                  <w:tcW w:w="2913"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8</w:t>
                  </w:r>
                  <w:r>
                    <w:rPr>
                      <w:rFonts w:hint="default" w:ascii="Times New Roman" w:hAnsi="Times New Roman" w:cs="Times New Roman"/>
                      <w:szCs w:val="21"/>
                      <w:lang w:val="en-US" w:eastAsia="zh-CN"/>
                    </w:rPr>
                    <w:t>°C</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5819"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土地利用类型</w:t>
                  </w:r>
                </w:p>
              </w:tc>
              <w:tc>
                <w:tcPr>
                  <w:tcW w:w="2913"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工业用地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5819"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区域湿度条件</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湿润区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是否考虑地形</w:t>
                  </w: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考虑地形</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不</w:t>
                  </w:r>
                  <w:r>
                    <w:rPr>
                      <w:rFonts w:hint="default" w:ascii="Times New Roman" w:hAnsi="Times New Roman" w:cs="Times New Roman"/>
                      <w:sz w:val="21"/>
                      <w:szCs w:val="21"/>
                    </w:rPr>
                    <w:t>考虑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continue"/>
                  <w:tcBorders>
                    <w:tl2br w:val="nil"/>
                    <w:tr2bl w:val="nil"/>
                  </w:tcBorders>
                  <w:vAlign w:val="center"/>
                </w:tcPr>
                <w:p>
                  <w:pPr>
                    <w:widowControl/>
                    <w:spacing w:line="240" w:lineRule="auto"/>
                    <w:jc w:val="left"/>
                    <w:rPr>
                      <w:rFonts w:hint="default" w:ascii="Times New Roman" w:hAnsi="Times New Roman" w:cs="Times New Roman"/>
                      <w:sz w:val="21"/>
                      <w:szCs w:val="21"/>
                    </w:rPr>
                  </w:pP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地形数据分辨率</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是否考虑岸线熏烟</w:t>
                  </w: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考虑岸线熏烟</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不考虑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continue"/>
                  <w:tcBorders>
                    <w:tl2br w:val="nil"/>
                    <w:tr2bl w:val="nil"/>
                  </w:tcBorders>
                  <w:vAlign w:val="center"/>
                </w:tcPr>
                <w:p>
                  <w:pPr>
                    <w:widowControl/>
                    <w:spacing w:line="240" w:lineRule="auto"/>
                    <w:jc w:val="left"/>
                    <w:rPr>
                      <w:rFonts w:hint="default" w:ascii="Times New Roman" w:hAnsi="Times New Roman" w:cs="Times New Roman"/>
                      <w:sz w:val="21"/>
                      <w:szCs w:val="21"/>
                    </w:rPr>
                  </w:pP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岸线距离</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2905" w:type="dxa"/>
                  <w:vMerge w:val="continue"/>
                  <w:tcBorders>
                    <w:tl2br w:val="nil"/>
                    <w:tr2bl w:val="nil"/>
                  </w:tcBorders>
                  <w:vAlign w:val="center"/>
                </w:tcPr>
                <w:p>
                  <w:pPr>
                    <w:widowControl/>
                    <w:spacing w:line="240" w:lineRule="auto"/>
                    <w:jc w:val="left"/>
                    <w:rPr>
                      <w:rFonts w:hint="default" w:ascii="Times New Roman" w:hAnsi="Times New Roman" w:cs="Times New Roman"/>
                      <w:sz w:val="21"/>
                      <w:szCs w:val="21"/>
                    </w:rPr>
                  </w:pPr>
                </w:p>
              </w:tc>
              <w:tc>
                <w:tcPr>
                  <w:tcW w:w="2914"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岸线方向</w:t>
                  </w:r>
                </w:p>
              </w:tc>
              <w:tc>
                <w:tcPr>
                  <w:tcW w:w="2913"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adjustRightInd w:val="0"/>
              <w:snapToGrid w:val="0"/>
              <w:spacing w:line="360" w:lineRule="auto"/>
              <w:jc w:val="center"/>
              <w:rPr>
                <w:rFonts w:hint="eastAsia" w:ascii="Times New Roman" w:hAnsi="Times New Roman" w:cs="Times New Roman"/>
                <w:b/>
                <w:kern w:val="0"/>
                <w:szCs w:val="21"/>
              </w:rPr>
            </w:pPr>
            <w:r>
              <w:rPr>
                <w:rFonts w:hint="eastAsia" w:ascii="Times New Roman" w:hAnsi="Times New Roman" w:cs="Times New Roman"/>
                <w:b/>
                <w:kern w:val="0"/>
                <w:szCs w:val="21"/>
              </w:rPr>
              <w:t>表</w:t>
            </w:r>
            <w:r>
              <w:rPr>
                <w:rFonts w:hint="eastAsia" w:cs="Times New Roman"/>
                <w:b/>
                <w:kern w:val="0"/>
                <w:szCs w:val="21"/>
                <w:lang w:val="en-US" w:eastAsia="zh-CN"/>
              </w:rPr>
              <w:t>1-6</w:t>
            </w:r>
            <w:r>
              <w:rPr>
                <w:rFonts w:hint="eastAsia" w:ascii="Times New Roman" w:hAnsi="Times New Roman" w:cs="Times New Roman"/>
                <w:b/>
                <w:kern w:val="0"/>
                <w:szCs w:val="21"/>
              </w:rPr>
              <w:t xml:space="preserve">  大气环境影响评价工作级别判据</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81"/>
              <w:gridCol w:w="693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02" w:type="dxa"/>
                  <w:tcBorders>
                    <w:tl2br w:val="nil"/>
                    <w:tr2bl w:val="nil"/>
                  </w:tcBorders>
                  <w:shd w:val="clear" w:color="auto" w:fill="auto"/>
                  <w:vAlign w:val="center"/>
                </w:tcPr>
                <w:p>
                  <w:pPr>
                    <w:jc w:val="center"/>
                    <w:rPr>
                      <w:rFonts w:hint="default" w:ascii="Times New Roman" w:hAnsi="Times New Roman" w:cs="Times New Roman"/>
                      <w:b/>
                    </w:rPr>
                  </w:pPr>
                  <w:r>
                    <w:rPr>
                      <w:rFonts w:hint="default" w:ascii="Times New Roman" w:hAnsi="Times New Roman" w:cs="Times New Roman"/>
                      <w:b/>
                    </w:rPr>
                    <w:t>评价工作等级</w:t>
                  </w:r>
                </w:p>
              </w:tc>
              <w:tc>
                <w:tcPr>
                  <w:tcW w:w="7030" w:type="dxa"/>
                  <w:tcBorders>
                    <w:tl2br w:val="nil"/>
                    <w:tr2bl w:val="nil"/>
                  </w:tcBorders>
                  <w:shd w:val="clear" w:color="auto" w:fill="auto"/>
                  <w:vAlign w:val="center"/>
                </w:tcPr>
                <w:p>
                  <w:pPr>
                    <w:jc w:val="center"/>
                    <w:rPr>
                      <w:rFonts w:hint="default" w:ascii="Times New Roman" w:hAnsi="Times New Roman" w:cs="Times New Roman"/>
                      <w:b/>
                    </w:rPr>
                  </w:pPr>
                  <w:r>
                    <w:rPr>
                      <w:rFonts w:hint="default" w:ascii="Times New Roman" w:hAnsi="Times New Roman" w:cs="Times New Roman"/>
                      <w:b/>
                    </w:rPr>
                    <w:t>评价工作分级判据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02" w:type="dxa"/>
                  <w:tcBorders>
                    <w:tl2br w:val="nil"/>
                    <w:tr2bl w:val="nil"/>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一级</w:t>
                  </w:r>
                </w:p>
              </w:tc>
              <w:tc>
                <w:tcPr>
                  <w:tcW w:w="7030" w:type="dxa"/>
                  <w:tcBorders>
                    <w:tl2br w:val="nil"/>
                    <w:tr2bl w:val="nil"/>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rPr>
                    <w:t>P</w:t>
                  </w:r>
                  <w:r>
                    <w:rPr>
                      <w:rFonts w:hint="default" w:ascii="Times New Roman" w:hAnsi="Times New Roman" w:cs="Times New Roman"/>
                      <w:szCs w:val="21"/>
                      <w:vertAlign w:val="subscript"/>
                    </w:rPr>
                    <w:t>max</w:t>
                  </w:r>
                  <w:r>
                    <w:rPr>
                      <w:rFonts w:hint="default" w:ascii="Times New Roman" w:hAnsi="Times New Roman" w:cs="Times New Roman"/>
                      <w:szCs w:val="21"/>
                    </w:rPr>
                    <w:t>≥10</w:t>
                  </w: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02" w:type="dxa"/>
                  <w:tcBorders>
                    <w:tl2br w:val="nil"/>
                    <w:tr2bl w:val="nil"/>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二级</w:t>
                  </w:r>
                </w:p>
              </w:tc>
              <w:tc>
                <w:tcPr>
                  <w:tcW w:w="7030" w:type="dxa"/>
                  <w:tcBorders>
                    <w:tl2br w:val="nil"/>
                    <w:tr2bl w:val="nil"/>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rPr>
                    <w:t>1%≤P</w:t>
                  </w:r>
                  <w:r>
                    <w:rPr>
                      <w:rFonts w:hint="default" w:ascii="Times New Roman" w:hAnsi="Times New Roman" w:cs="Times New Roman"/>
                      <w:szCs w:val="21"/>
                      <w:vertAlign w:val="subscript"/>
                    </w:rPr>
                    <w:t>max</w:t>
                  </w:r>
                  <w:r>
                    <w:rPr>
                      <w:rFonts w:hint="default" w:ascii="Times New Roman" w:hAnsi="Times New Roman" w:cs="Times New Roman"/>
                      <w:szCs w:val="21"/>
                    </w:rPr>
                    <w:t>&lt;10%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02" w:type="dxa"/>
                  <w:tcBorders>
                    <w:tl2br w:val="nil"/>
                    <w:tr2bl w:val="nil"/>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三级</w:t>
                  </w:r>
                </w:p>
              </w:tc>
              <w:tc>
                <w:tcPr>
                  <w:tcW w:w="7030" w:type="dxa"/>
                  <w:tcBorders>
                    <w:tl2br w:val="nil"/>
                    <w:tr2bl w:val="nil"/>
                  </w:tcBorders>
                  <w:shd w:val="clear" w:color="auto" w:fill="auto"/>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rPr>
                    <w:t>P</w:t>
                  </w:r>
                  <w:r>
                    <w:rPr>
                      <w:rFonts w:hint="default" w:ascii="Times New Roman" w:hAnsi="Times New Roman" w:cs="Times New Roman"/>
                      <w:szCs w:val="21"/>
                      <w:vertAlign w:val="subscript"/>
                    </w:rPr>
                    <w:t>max</w:t>
                  </w:r>
                  <w:r>
                    <w:rPr>
                      <w:rFonts w:hint="default" w:ascii="Times New Roman" w:hAnsi="Times New Roman" w:cs="Times New Roman"/>
                      <w:szCs w:val="21"/>
                    </w:rPr>
                    <w:t>&lt;1%</w:t>
                  </w:r>
                </w:p>
              </w:tc>
            </w:tr>
          </w:tbl>
          <w:p>
            <w:pPr>
              <w:adjustRightInd w:val="0"/>
              <w:snapToGrid w:val="0"/>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1-7</w:t>
            </w:r>
            <w:r>
              <w:rPr>
                <w:rFonts w:hint="eastAsia" w:ascii="Times New Roman" w:hAnsi="Times New Roman" w:cs="Times New Roman"/>
                <w:b/>
                <w:kern w:val="0"/>
                <w:szCs w:val="21"/>
                <w:lang w:val="en-US" w:eastAsia="zh-CN"/>
              </w:rPr>
              <w:t xml:space="preserve">  评价因子和评价标准表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00"/>
              <w:gridCol w:w="2498"/>
              <w:gridCol w:w="38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300"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评价因子</w:t>
                  </w:r>
                </w:p>
              </w:tc>
              <w:tc>
                <w:tcPr>
                  <w:tcW w:w="2498"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标准值（μg/m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w:t>
                  </w:r>
                </w:p>
              </w:tc>
              <w:tc>
                <w:tcPr>
                  <w:tcW w:w="3819" w:type="dxa"/>
                  <w:tcBorders>
                    <w:tl2br w:val="nil"/>
                    <w:tr2bl w:val="nil"/>
                  </w:tcBorders>
                  <w:vAlign w:val="center"/>
                </w:tcPr>
                <w:p>
                  <w:pPr>
                    <w:jc w:val="center"/>
                    <w:rPr>
                      <w:rFonts w:ascii="Times New Roman" w:hAnsi="Times New Roman"/>
                      <w:b/>
                      <w:bCs/>
                      <w:sz w:val="21"/>
                      <w:szCs w:val="21"/>
                      <w:u w:val="single"/>
                    </w:rPr>
                  </w:pPr>
                  <w:r>
                    <w:rPr>
                      <w:rFonts w:hint="eastAsia" w:ascii="Times New Roman" w:hAnsi="Times New Roman" w:cs="Times New Roman"/>
                      <w:b/>
                      <w:bCs/>
                      <w:szCs w:val="21"/>
                    </w:rPr>
                    <w:t>标准来源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300" w:type="dxa"/>
                  <w:tcBorders>
                    <w:tl2br w:val="nil"/>
                    <w:tr2bl w:val="nil"/>
                  </w:tcBorders>
                  <w:vAlign w:val="center"/>
                </w:tcPr>
                <w:p>
                  <w:pPr>
                    <w:jc w:val="center"/>
                    <w:rPr>
                      <w:rFonts w:hint="eastAsia"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2498" w:type="dxa"/>
                  <w:tcBorders>
                    <w:tl2br w:val="nil"/>
                    <w:tr2bl w:val="nil"/>
                  </w:tcBorders>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10</w:t>
                  </w:r>
                  <w:r>
                    <w:rPr>
                      <w:rFonts w:hint="eastAsia" w:ascii="Times New Roman" w:hAnsi="Times New Roman" w:cs="Times New Roman"/>
                      <w:szCs w:val="21"/>
                    </w:rPr>
                    <w:t>（1h平均值）</w:t>
                  </w:r>
                </w:p>
              </w:tc>
              <w:tc>
                <w:tcPr>
                  <w:tcW w:w="3819" w:type="dxa"/>
                  <w:vMerge w:val="restart"/>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rPr>
                    <w:t>《环境影响评价技术导则 大气环境》（HJ2.2-2018）附录D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300" w:type="dxa"/>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rPr>
                    <w:t>NH</w:t>
                  </w:r>
                  <w:r>
                    <w:rPr>
                      <w:rFonts w:hint="eastAsia" w:ascii="Times New Roman" w:hAnsi="Times New Roman" w:cs="Times New Roman"/>
                      <w:szCs w:val="21"/>
                      <w:vertAlign w:val="subscript"/>
                    </w:rPr>
                    <w:t>3</w:t>
                  </w:r>
                </w:p>
              </w:tc>
              <w:tc>
                <w:tcPr>
                  <w:tcW w:w="2498" w:type="dxa"/>
                  <w:tcBorders>
                    <w:tl2br w:val="nil"/>
                    <w:tr2bl w:val="nil"/>
                  </w:tcBorders>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200</w:t>
                  </w:r>
                  <w:r>
                    <w:rPr>
                      <w:rFonts w:hint="eastAsia" w:ascii="Times New Roman" w:hAnsi="Times New Roman" w:cs="Times New Roman"/>
                      <w:szCs w:val="21"/>
                    </w:rPr>
                    <w:t>（1h平均值）</w:t>
                  </w:r>
                </w:p>
              </w:tc>
              <w:tc>
                <w:tcPr>
                  <w:tcW w:w="3819" w:type="dxa"/>
                  <w:vMerge w:val="continue"/>
                  <w:tcBorders>
                    <w:tl2br w:val="nil"/>
                    <w:tr2bl w:val="nil"/>
                  </w:tcBorders>
                  <w:vAlign w:val="center"/>
                </w:tcPr>
                <w:p>
                  <w:pPr>
                    <w:jc w:val="center"/>
                    <w:rPr>
                      <w:rFonts w:hint="eastAsia" w:ascii="Times New Roman" w:hAnsi="Times New Roman" w:cs="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300" w:type="dxa"/>
                  <w:vMerge w:val="restart"/>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TSP</w:t>
                  </w:r>
                </w:p>
              </w:tc>
              <w:tc>
                <w:tcPr>
                  <w:tcW w:w="2498" w:type="dxa"/>
                  <w:tcBorders>
                    <w:tl2br w:val="nil"/>
                    <w:tr2bl w:val="nil"/>
                  </w:tcBorders>
                  <w:vAlign w:val="center"/>
                </w:tcPr>
                <w:p>
                  <w:pPr>
                    <w:pStyle w:val="70"/>
                    <w:spacing w:beforeLines="0" w:afterLines="0"/>
                    <w:rPr>
                      <w:rFonts w:hint="eastAsia" w:ascii="Times New Roman" w:hAnsi="Times New Roman" w:cs="Times New Roman"/>
                      <w:szCs w:val="21"/>
                    </w:rPr>
                  </w:pPr>
                  <w:r>
                    <w:rPr>
                      <w:rFonts w:hint="eastAsia" w:ascii="Times New Roman" w:hAnsi="Times New Roman" w:cs="Times New Roman"/>
                      <w:lang w:val="en-US" w:eastAsia="zh-CN"/>
                    </w:rPr>
                    <w:t>200</w:t>
                  </w:r>
                  <w:r>
                    <w:rPr>
                      <w:rFonts w:hint="eastAsia" w:ascii="Times New Roman" w:hAnsi="Times New Roman" w:cs="Times New Roman"/>
                      <w:lang w:eastAsia="zh-CN"/>
                    </w:rPr>
                    <w:t>（</w:t>
                  </w:r>
                  <w:r>
                    <w:rPr>
                      <w:rFonts w:hint="default" w:ascii="Times New Roman" w:hAnsi="Times New Roman" w:cs="Times New Roman"/>
                    </w:rPr>
                    <w:t>年平均</w:t>
                  </w:r>
                  <w:r>
                    <w:rPr>
                      <w:rFonts w:hint="eastAsia" w:ascii="Times New Roman" w:hAnsi="Times New Roman" w:cs="Times New Roman"/>
                      <w:lang w:eastAsia="zh-CN"/>
                    </w:rPr>
                    <w:t>）</w:t>
                  </w:r>
                </w:p>
              </w:tc>
              <w:tc>
                <w:tcPr>
                  <w:tcW w:w="3819" w:type="dxa"/>
                  <w:vMerge w:val="restart"/>
                  <w:tcBorders>
                    <w:tl2br w:val="nil"/>
                    <w:tr2bl w:val="nil"/>
                  </w:tcBorders>
                  <w:vAlign w:val="center"/>
                </w:tcPr>
                <w:p>
                  <w:pPr>
                    <w:pStyle w:val="70"/>
                    <w:spacing w:beforeLines="0" w:afterLines="0"/>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《环境空气质量标准》（</w:t>
                  </w:r>
                  <w:r>
                    <w:rPr>
                      <w:rFonts w:hint="eastAsia" w:ascii="Times New Roman" w:hAnsi="Times New Roman" w:cs="Times New Roman"/>
                      <w:szCs w:val="21"/>
                      <w:lang w:val="en-US" w:eastAsia="zh-CN"/>
                    </w:rPr>
                    <w:t>GB3095-2012</w:t>
                  </w:r>
                  <w:r>
                    <w:rPr>
                      <w:rFonts w:hint="eastAsia" w:ascii="Times New Roman" w:hAnsi="Times New Roman" w:cs="Times New Roman"/>
                      <w:szCs w:val="21"/>
                      <w:lang w:eastAsia="zh-CN"/>
                    </w:rPr>
                    <w:t>）二级标准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5" w:hRule="atLeast"/>
                <w:jc w:val="center"/>
              </w:trPr>
              <w:tc>
                <w:tcPr>
                  <w:tcW w:w="2300" w:type="dxa"/>
                  <w:vMerge w:val="continue"/>
                  <w:tcBorders>
                    <w:tl2br w:val="nil"/>
                    <w:tr2bl w:val="nil"/>
                  </w:tcBorders>
                  <w:vAlign w:val="center"/>
                </w:tcPr>
                <w:p>
                  <w:pPr>
                    <w:jc w:val="center"/>
                    <w:rPr>
                      <w:rFonts w:hint="eastAsia" w:ascii="Times New Roman" w:hAnsi="Times New Roman" w:cs="Times New Roman"/>
                      <w:szCs w:val="21"/>
                      <w:lang w:eastAsia="zh-CN"/>
                    </w:rPr>
                  </w:pPr>
                </w:p>
              </w:tc>
              <w:tc>
                <w:tcPr>
                  <w:tcW w:w="2498" w:type="dxa"/>
                  <w:tcBorders>
                    <w:tl2br w:val="nil"/>
                    <w:tr2bl w:val="nil"/>
                  </w:tcBorders>
                  <w:vAlign w:val="center"/>
                </w:tcPr>
                <w:p>
                  <w:pPr>
                    <w:pStyle w:val="70"/>
                    <w:spacing w:beforeLines="0" w:afterLines="0"/>
                    <w:rPr>
                      <w:rFonts w:hint="eastAsia" w:ascii="Times New Roman" w:hAnsi="Times New Roman" w:cs="Times New Roman"/>
                      <w:szCs w:val="21"/>
                    </w:rPr>
                  </w:pPr>
                  <w:r>
                    <w:rPr>
                      <w:rFonts w:hint="eastAsia" w:ascii="Times New Roman" w:hAnsi="Times New Roman" w:cs="Times New Roman"/>
                      <w:lang w:val="en-US" w:eastAsia="zh-CN"/>
                    </w:rPr>
                    <w:t>300</w:t>
                  </w:r>
                  <w:r>
                    <w:rPr>
                      <w:rFonts w:hint="eastAsia" w:ascii="Times New Roman" w:hAnsi="Times New Roman" w:cs="Times New Roman"/>
                      <w:lang w:eastAsia="zh-CN"/>
                    </w:rPr>
                    <w:t>（</w:t>
                  </w:r>
                  <w:r>
                    <w:rPr>
                      <w:rFonts w:hint="default" w:ascii="Times New Roman" w:hAnsi="Times New Roman" w:cs="Times New Roman"/>
                    </w:rPr>
                    <w:t>24小时平均</w:t>
                  </w:r>
                  <w:r>
                    <w:rPr>
                      <w:rFonts w:hint="eastAsia" w:ascii="Times New Roman" w:hAnsi="Times New Roman" w:cs="Times New Roman"/>
                      <w:lang w:eastAsia="zh-CN"/>
                    </w:rPr>
                    <w:t>）</w:t>
                  </w:r>
                </w:p>
              </w:tc>
              <w:tc>
                <w:tcPr>
                  <w:tcW w:w="3819" w:type="dxa"/>
                  <w:vMerge w:val="continue"/>
                  <w:tcBorders>
                    <w:tl2br w:val="nil"/>
                    <w:tr2bl w:val="nil"/>
                  </w:tcBorders>
                  <w:vAlign w:val="center"/>
                </w:tcPr>
                <w:p>
                  <w:pPr>
                    <w:pStyle w:val="70"/>
                    <w:spacing w:beforeLines="0" w:afterLines="0"/>
                    <w:rPr>
                      <w:rFonts w:hint="eastAsia" w:ascii="Times New Roman" w:hAnsi="Times New Roman" w:cs="Times New Roman"/>
                      <w:szCs w:val="21"/>
                    </w:rPr>
                  </w:pPr>
                </w:p>
              </w:tc>
            </w:tr>
          </w:tbl>
          <w:p>
            <w:pPr>
              <w:adjustRightInd w:val="0"/>
              <w:snapToGrid w:val="0"/>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项目</w:t>
            </w:r>
            <w:r>
              <w:rPr>
                <w:rFonts w:hint="eastAsia" w:ascii="Times New Roman" w:hAnsi="Times New Roman" w:cs="Times New Roman"/>
                <w:sz w:val="24"/>
                <w:lang w:val="en-US" w:eastAsia="zh-CN"/>
              </w:rPr>
              <w:t>点</w:t>
            </w:r>
            <w:r>
              <w:rPr>
                <w:rFonts w:hint="default" w:ascii="Times New Roman" w:hAnsi="Times New Roman" w:cs="Times New Roman"/>
                <w:sz w:val="24"/>
                <w:lang w:val="en-US" w:eastAsia="zh-CN"/>
              </w:rPr>
              <w:t>源参数详见表</w:t>
            </w:r>
            <w:r>
              <w:rPr>
                <w:rFonts w:hint="eastAsia" w:cs="Times New Roman"/>
                <w:sz w:val="24"/>
                <w:lang w:val="en-US" w:eastAsia="zh-CN"/>
              </w:rPr>
              <w:t>1-8</w:t>
            </w:r>
            <w:r>
              <w:rPr>
                <w:rFonts w:hint="default" w:ascii="Times New Roman" w:hAnsi="Times New Roman" w:cs="Times New Roman"/>
                <w:sz w:val="24"/>
                <w:lang w:val="en-US" w:eastAsia="zh-CN"/>
              </w:rPr>
              <w:t>。</w:t>
            </w:r>
          </w:p>
          <w:p>
            <w:pPr>
              <w:adjustRightInd w:val="0"/>
              <w:snapToGrid w:val="0"/>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1-8</w:t>
            </w:r>
            <w:r>
              <w:rPr>
                <w:rFonts w:hint="eastAsia" w:ascii="Times New Roman" w:hAnsi="Times New Roman" w:cs="Times New Roman"/>
                <w:b/>
                <w:kern w:val="0"/>
                <w:szCs w:val="21"/>
                <w:lang w:val="en-US" w:eastAsia="zh-CN"/>
              </w:rPr>
              <w:t xml:space="preserve">  项目</w:t>
            </w:r>
            <w:r>
              <w:rPr>
                <w:rFonts w:hint="default" w:ascii="Times New Roman" w:hAnsi="Times New Roman" w:cs="Times New Roman"/>
                <w:b/>
                <w:kern w:val="0"/>
                <w:szCs w:val="21"/>
                <w:lang w:val="en-US" w:eastAsia="zh-CN"/>
              </w:rPr>
              <w:t>点</w:t>
            </w:r>
            <w:r>
              <w:rPr>
                <w:rFonts w:hint="eastAsia" w:ascii="Times New Roman" w:hAnsi="Times New Roman" w:cs="Times New Roman"/>
                <w:b/>
                <w:kern w:val="0"/>
                <w:szCs w:val="21"/>
                <w:lang w:val="en-US" w:eastAsia="zh-CN"/>
              </w:rPr>
              <w:t>源参数表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72"/>
              <w:gridCol w:w="636"/>
              <w:gridCol w:w="740"/>
              <w:gridCol w:w="685"/>
              <w:gridCol w:w="666"/>
              <w:gridCol w:w="851"/>
              <w:gridCol w:w="860"/>
              <w:gridCol w:w="638"/>
              <w:gridCol w:w="805"/>
              <w:gridCol w:w="639"/>
              <w:gridCol w:w="648"/>
              <w:gridCol w:w="9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72"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lang w:val="en-US" w:eastAsia="zh-CN"/>
                    </w:rPr>
                    <w:t>编号</w:t>
                  </w:r>
                </w:p>
              </w:tc>
              <w:tc>
                <w:tcPr>
                  <w:tcW w:w="636"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名称</w:t>
                  </w:r>
                </w:p>
              </w:tc>
              <w:tc>
                <w:tcPr>
                  <w:tcW w:w="1425" w:type="dxa"/>
                  <w:gridSpan w:val="2"/>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排气筒底部中心坐标/m</w:t>
                  </w:r>
                </w:p>
              </w:tc>
              <w:tc>
                <w:tcPr>
                  <w:tcW w:w="666"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排气筒高度/m</w:t>
                  </w:r>
                </w:p>
              </w:tc>
              <w:tc>
                <w:tcPr>
                  <w:tcW w:w="851"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排气筒出口内径/m</w:t>
                  </w:r>
                </w:p>
              </w:tc>
              <w:tc>
                <w:tcPr>
                  <w:tcW w:w="860"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烟气流速/（m/s）</w:t>
                  </w:r>
                </w:p>
              </w:tc>
              <w:tc>
                <w:tcPr>
                  <w:tcW w:w="638"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烟气温度/</w:t>
                  </w:r>
                  <w:r>
                    <w:rPr>
                      <w:rFonts w:hint="eastAsia" w:ascii="宋体" w:hAnsi="宋体" w:eastAsia="宋体" w:cs="宋体"/>
                      <w:b/>
                      <w:bCs/>
                      <w:sz w:val="21"/>
                      <w:szCs w:val="21"/>
                      <w:vertAlign w:val="baseline"/>
                      <w:lang w:val="en-US" w:eastAsia="zh-CN"/>
                    </w:rPr>
                    <w:t>℃</w:t>
                  </w:r>
                </w:p>
              </w:tc>
              <w:tc>
                <w:tcPr>
                  <w:tcW w:w="805"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年排放小时数/h</w:t>
                  </w:r>
                </w:p>
              </w:tc>
              <w:tc>
                <w:tcPr>
                  <w:tcW w:w="639"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排放工况</w:t>
                  </w:r>
                </w:p>
              </w:tc>
              <w:tc>
                <w:tcPr>
                  <w:tcW w:w="648"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污染物名称</w:t>
                  </w:r>
                </w:p>
              </w:tc>
              <w:tc>
                <w:tcPr>
                  <w:tcW w:w="977"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jc w:val="center"/>
              </w:trPr>
              <w:tc>
                <w:tcPr>
                  <w:tcW w:w="472"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36"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740" w:type="dxa"/>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X</w:t>
                  </w:r>
                </w:p>
              </w:tc>
              <w:tc>
                <w:tcPr>
                  <w:tcW w:w="685" w:type="dxa"/>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r>
                    <w:rPr>
                      <w:rFonts w:hint="eastAsia" w:ascii="TT5Co00" w:hAnsi="TT5Co00"/>
                      <w:b/>
                      <w:bCs/>
                      <w:sz w:val="21"/>
                      <w:szCs w:val="21"/>
                      <w:vertAlign w:val="baseline"/>
                      <w:lang w:val="en-US" w:eastAsia="zh-CN"/>
                    </w:rPr>
                    <w:t>Y</w:t>
                  </w:r>
                </w:p>
              </w:tc>
              <w:tc>
                <w:tcPr>
                  <w:tcW w:w="666"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851"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860"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38"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805"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39"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48"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977"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72" w:type="dxa"/>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w:t>
                  </w:r>
                </w:p>
              </w:tc>
              <w:tc>
                <w:tcPr>
                  <w:tcW w:w="636" w:type="dxa"/>
                  <w:tcBorders>
                    <w:tl2br w:val="nil"/>
                    <w:tr2bl w:val="nil"/>
                  </w:tcBorders>
                  <w:vAlign w:val="center"/>
                </w:tcPr>
                <w:p>
                  <w:pPr>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P2</w:t>
                  </w:r>
                </w:p>
              </w:tc>
              <w:tc>
                <w:tcPr>
                  <w:tcW w:w="740" w:type="dxa"/>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111.857158</w:t>
                  </w:r>
                </w:p>
              </w:tc>
              <w:tc>
                <w:tcPr>
                  <w:tcW w:w="685" w:type="dxa"/>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29.568924</w:t>
                  </w:r>
                </w:p>
              </w:tc>
              <w:tc>
                <w:tcPr>
                  <w:tcW w:w="666" w:type="dxa"/>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15</w:t>
                  </w:r>
                </w:p>
              </w:tc>
              <w:tc>
                <w:tcPr>
                  <w:tcW w:w="851" w:type="dxa"/>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0.5</w:t>
                  </w:r>
                </w:p>
              </w:tc>
              <w:tc>
                <w:tcPr>
                  <w:tcW w:w="860" w:type="dxa"/>
                  <w:tcBorders>
                    <w:tl2br w:val="nil"/>
                    <w:tr2bl w:val="nil"/>
                  </w:tcBorders>
                  <w:vAlign w:val="center"/>
                </w:tcPr>
                <w:p>
                  <w:pPr>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22.2</w:t>
                  </w:r>
                </w:p>
              </w:tc>
              <w:tc>
                <w:tcPr>
                  <w:tcW w:w="638" w:type="dxa"/>
                  <w:tcBorders>
                    <w:tl2br w:val="nil"/>
                    <w:tr2bl w:val="nil"/>
                  </w:tcBorders>
                  <w:vAlign w:val="center"/>
                </w:tcPr>
                <w:p>
                  <w:pPr>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25</w:t>
                  </w:r>
                </w:p>
              </w:tc>
              <w:tc>
                <w:tcPr>
                  <w:tcW w:w="805" w:type="dxa"/>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2400</w:t>
                  </w:r>
                </w:p>
              </w:tc>
              <w:tc>
                <w:tcPr>
                  <w:tcW w:w="639" w:type="dxa"/>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正常排放</w:t>
                  </w:r>
                </w:p>
              </w:tc>
              <w:tc>
                <w:tcPr>
                  <w:tcW w:w="648" w:type="dxa"/>
                  <w:tcBorders>
                    <w:tl2br w:val="nil"/>
                    <w:tr2bl w:val="nil"/>
                  </w:tcBorders>
                  <w:vAlign w:val="center"/>
                </w:tcPr>
                <w:p>
                  <w:pPr>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颗粒物</w:t>
                  </w:r>
                </w:p>
              </w:tc>
              <w:tc>
                <w:tcPr>
                  <w:tcW w:w="977" w:type="dxa"/>
                  <w:tcBorders>
                    <w:tl2br w:val="nil"/>
                    <w:tr2bl w:val="nil"/>
                  </w:tcBorders>
                  <w:vAlign w:val="center"/>
                </w:tcPr>
                <w:p>
                  <w:pPr>
                    <w:adjustRightInd w:val="0"/>
                    <w:snapToGrid w:val="0"/>
                    <w:spacing w:line="240" w:lineRule="auto"/>
                    <w:ind w:firstLine="0" w:firstLineChars="0"/>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2" w:hRule="atLeast"/>
                <w:jc w:val="center"/>
              </w:trPr>
              <w:tc>
                <w:tcPr>
                  <w:tcW w:w="472"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w:t>
                  </w:r>
                </w:p>
              </w:tc>
              <w:tc>
                <w:tcPr>
                  <w:tcW w:w="636" w:type="dxa"/>
                  <w:vMerge w:val="restart"/>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T5Co00" w:hAnsi="TT5Co00"/>
                      <w:b w:val="0"/>
                      <w:bCs w:val="0"/>
                      <w:sz w:val="21"/>
                      <w:szCs w:val="21"/>
                      <w:vertAlign w:val="baseline"/>
                      <w:lang w:val="en-US" w:eastAsia="zh-CN"/>
                    </w:rPr>
                    <w:t>P3</w:t>
                  </w:r>
                </w:p>
              </w:tc>
              <w:tc>
                <w:tcPr>
                  <w:tcW w:w="740"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111.856085</w:t>
                  </w:r>
                </w:p>
              </w:tc>
              <w:tc>
                <w:tcPr>
                  <w:tcW w:w="685"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29.569460</w:t>
                  </w:r>
                </w:p>
              </w:tc>
              <w:tc>
                <w:tcPr>
                  <w:tcW w:w="666"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15</w:t>
                  </w:r>
                </w:p>
              </w:tc>
              <w:tc>
                <w:tcPr>
                  <w:tcW w:w="851"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0.2</w:t>
                  </w:r>
                </w:p>
              </w:tc>
              <w:tc>
                <w:tcPr>
                  <w:tcW w:w="860" w:type="dxa"/>
                  <w:vMerge w:val="restart"/>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6.94</w:t>
                  </w:r>
                </w:p>
              </w:tc>
              <w:tc>
                <w:tcPr>
                  <w:tcW w:w="638" w:type="dxa"/>
                  <w:vMerge w:val="restart"/>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c>
                <w:tcPr>
                  <w:tcW w:w="805"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2400</w:t>
                  </w:r>
                </w:p>
              </w:tc>
              <w:tc>
                <w:tcPr>
                  <w:tcW w:w="639" w:type="dxa"/>
                  <w:vMerge w:val="restart"/>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正常排放</w:t>
                  </w:r>
                </w:p>
              </w:tc>
              <w:tc>
                <w:tcPr>
                  <w:tcW w:w="648" w:type="dxa"/>
                  <w:tcBorders>
                    <w:tl2br w:val="nil"/>
                    <w:tr2bl w:val="nil"/>
                  </w:tcBorders>
                  <w:vAlign w:val="center"/>
                </w:tcPr>
                <w:p>
                  <w:pPr>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c>
                <w:tcPr>
                  <w:tcW w:w="977" w:type="dxa"/>
                  <w:tcBorders>
                    <w:tl2br w:val="nil"/>
                    <w:tr2bl w:val="nil"/>
                  </w:tcBorders>
                  <w:vAlign w:val="center"/>
                </w:tcPr>
                <w:p>
                  <w:pPr>
                    <w:adjustRightInd w:val="0"/>
                    <w:snapToGrid w:val="0"/>
                    <w:spacing w:line="240" w:lineRule="auto"/>
                    <w:ind w:firstLine="0" w:firstLineChars="0"/>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0.0072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2"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36" w:type="dxa"/>
                  <w:vMerge w:val="continue"/>
                  <w:tcBorders>
                    <w:tl2br w:val="nil"/>
                    <w:tr2bl w:val="nil"/>
                  </w:tcBorders>
                  <w:vAlign w:val="center"/>
                </w:tcPr>
                <w:p>
                  <w:pPr>
                    <w:jc w:val="center"/>
                    <w:rPr>
                      <w:rFonts w:hint="default" w:ascii="Times New Roman" w:hAnsi="Times New Roman" w:cs="Times New Roman"/>
                      <w:color w:val="auto"/>
                      <w:szCs w:val="21"/>
                      <w:lang w:val="en-US" w:eastAsia="zh-CN"/>
                    </w:rPr>
                  </w:pPr>
                </w:p>
              </w:tc>
              <w:tc>
                <w:tcPr>
                  <w:tcW w:w="740"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85"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66"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851"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860" w:type="dxa"/>
                  <w:vMerge w:val="continue"/>
                  <w:tcBorders>
                    <w:tl2br w:val="nil"/>
                    <w:tr2bl w:val="nil"/>
                  </w:tcBorders>
                  <w:vAlign w:val="center"/>
                </w:tcPr>
                <w:p>
                  <w:pPr>
                    <w:jc w:val="center"/>
                    <w:rPr>
                      <w:rFonts w:hint="default" w:ascii="Times New Roman" w:hAnsi="Times New Roman" w:cs="Times New Roman"/>
                      <w:color w:val="auto"/>
                      <w:szCs w:val="21"/>
                      <w:lang w:val="en-US" w:eastAsia="zh-CN"/>
                    </w:rPr>
                  </w:pPr>
                </w:p>
              </w:tc>
              <w:tc>
                <w:tcPr>
                  <w:tcW w:w="638" w:type="dxa"/>
                  <w:vMerge w:val="continue"/>
                  <w:tcBorders>
                    <w:tl2br w:val="nil"/>
                    <w:tr2bl w:val="nil"/>
                  </w:tcBorders>
                  <w:vAlign w:val="center"/>
                </w:tcPr>
                <w:p>
                  <w:pPr>
                    <w:jc w:val="center"/>
                    <w:rPr>
                      <w:rFonts w:hint="eastAsia" w:ascii="Times New Roman" w:hAnsi="Times New Roman" w:cs="Times New Roman"/>
                      <w:color w:val="auto"/>
                      <w:szCs w:val="21"/>
                      <w:lang w:val="en-US" w:eastAsia="zh-CN"/>
                    </w:rPr>
                  </w:pPr>
                </w:p>
              </w:tc>
              <w:tc>
                <w:tcPr>
                  <w:tcW w:w="805"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39"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648" w:type="dxa"/>
                  <w:tcBorders>
                    <w:tl2br w:val="nil"/>
                    <w:tr2bl w:val="nil"/>
                  </w:tcBorders>
                  <w:vAlign w:val="center"/>
                </w:tcPr>
                <w:p>
                  <w:pPr>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977" w:type="dxa"/>
                  <w:tcBorders>
                    <w:tl2br w:val="nil"/>
                    <w:tr2bl w:val="nil"/>
                  </w:tcBorders>
                  <w:vAlign w:val="center"/>
                </w:tcPr>
                <w:p>
                  <w:pPr>
                    <w:adjustRightInd w:val="0"/>
                    <w:snapToGrid w:val="0"/>
                    <w:spacing w:line="240" w:lineRule="auto"/>
                    <w:ind w:firstLine="0" w:firstLineChars="0"/>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0.231</w:t>
                  </w:r>
                </w:p>
              </w:tc>
            </w:tr>
          </w:tbl>
          <w:p>
            <w:pPr>
              <w:adjustRightInd w:val="0"/>
              <w:snapToGrid w:val="0"/>
              <w:spacing w:line="360" w:lineRule="auto"/>
              <w:jc w:val="center"/>
              <w:rPr>
                <w:rFonts w:hint="default" w:ascii="Times New Roman" w:hAnsi="Times New Roman" w:cs="Times New Roman"/>
                <w:b/>
                <w:kern w:val="0"/>
                <w:szCs w:val="21"/>
                <w:lang w:val="en-US" w:eastAsia="zh-CN"/>
              </w:rPr>
            </w:pPr>
            <w:r>
              <w:rPr>
                <w:rFonts w:hint="default" w:ascii="Times New Roman" w:hAnsi="Times New Roman" w:cs="Times New Roman"/>
                <w:b/>
                <w:kern w:val="0"/>
                <w:szCs w:val="21"/>
                <w:lang w:val="en-US" w:eastAsia="zh-CN"/>
              </w:rPr>
              <w:t>表</w:t>
            </w:r>
            <w:r>
              <w:rPr>
                <w:rFonts w:hint="eastAsia" w:cs="Times New Roman"/>
                <w:b/>
                <w:kern w:val="0"/>
                <w:szCs w:val="21"/>
                <w:lang w:val="en-US" w:eastAsia="zh-CN"/>
              </w:rPr>
              <w:t>1-9</w:t>
            </w:r>
            <w:r>
              <w:rPr>
                <w:rFonts w:hint="eastAsia" w:ascii="Times New Roman" w:hAnsi="Times New Roman" w:cs="Times New Roman"/>
                <w:b/>
                <w:kern w:val="0"/>
                <w:szCs w:val="21"/>
                <w:lang w:val="en-US" w:eastAsia="zh-CN"/>
              </w:rPr>
              <w:t xml:space="preserve">  项目</w:t>
            </w:r>
            <w:r>
              <w:rPr>
                <w:rFonts w:hint="default" w:ascii="Times New Roman" w:hAnsi="Times New Roman" w:cs="Times New Roman"/>
                <w:b/>
                <w:kern w:val="0"/>
                <w:szCs w:val="21"/>
                <w:lang w:val="en-US" w:eastAsia="zh-CN"/>
              </w:rPr>
              <w:t>面源参数表</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5"/>
              <w:gridCol w:w="974"/>
              <w:gridCol w:w="1055"/>
              <w:gridCol w:w="918"/>
              <w:gridCol w:w="711"/>
              <w:gridCol w:w="750"/>
              <w:gridCol w:w="947"/>
              <w:gridCol w:w="859"/>
              <w:gridCol w:w="582"/>
              <w:gridCol w:w="661"/>
              <w:gridCol w:w="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exact"/>
                <w:jc w:val="center"/>
              </w:trPr>
              <w:tc>
                <w:tcPr>
                  <w:tcW w:w="415"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编 号</w:t>
                  </w:r>
                </w:p>
              </w:tc>
              <w:tc>
                <w:tcPr>
                  <w:tcW w:w="974"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名称</w:t>
                  </w:r>
                </w:p>
              </w:tc>
              <w:tc>
                <w:tcPr>
                  <w:tcW w:w="1973" w:type="dxa"/>
                  <w:gridSpan w:val="2"/>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面源中心坐标</w:t>
                  </w:r>
                  <w:r>
                    <w:rPr>
                      <w:rFonts w:hint="eastAsia" w:ascii="TT5Co00" w:hAnsi="TT5Co00"/>
                      <w:b/>
                      <w:bCs/>
                      <w:sz w:val="21"/>
                      <w:szCs w:val="21"/>
                      <w:vertAlign w:val="baseline"/>
                      <w:lang w:val="en-US" w:eastAsia="zh-CN"/>
                    </w:rPr>
                    <w:t>/m</w:t>
                  </w:r>
                </w:p>
              </w:tc>
              <w:tc>
                <w:tcPr>
                  <w:tcW w:w="711"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面源长度/m</w:t>
                  </w:r>
                </w:p>
              </w:tc>
              <w:tc>
                <w:tcPr>
                  <w:tcW w:w="750"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面源宽度/m</w:t>
                  </w:r>
                </w:p>
              </w:tc>
              <w:tc>
                <w:tcPr>
                  <w:tcW w:w="947"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与正北方向夹角/°</w:t>
                  </w:r>
                </w:p>
              </w:tc>
              <w:tc>
                <w:tcPr>
                  <w:tcW w:w="859"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面源有</w:t>
                  </w:r>
                </w:p>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效排放高度/m</w:t>
                  </w:r>
                </w:p>
              </w:tc>
              <w:tc>
                <w:tcPr>
                  <w:tcW w:w="582"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排放工况</w:t>
                  </w:r>
                </w:p>
              </w:tc>
              <w:tc>
                <w:tcPr>
                  <w:tcW w:w="1406" w:type="dxa"/>
                  <w:gridSpan w:val="2"/>
                  <w:vMerge w:val="restart"/>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default" w:ascii="TT5Co00" w:hAnsi="TT5Co00"/>
                      <w:b/>
                      <w:bCs/>
                      <w:sz w:val="21"/>
                      <w:szCs w:val="21"/>
                      <w:vertAlign w:val="baseline"/>
                      <w:lang w:val="en-US" w:eastAsia="zh-CN"/>
                    </w:rPr>
                    <w:t>污染物排放速率</w:t>
                  </w:r>
                  <w:r>
                    <w:rPr>
                      <w:rFonts w:hint="eastAsia" w:ascii="TT5Co00" w:hAnsi="TT5Co00"/>
                      <w:b/>
                      <w:bCs/>
                      <w:sz w:val="21"/>
                      <w:szCs w:val="21"/>
                      <w:vertAlign w:val="baseline"/>
                      <w:lang w:val="en-US" w:eastAsia="zh-CN"/>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exact"/>
                <w:jc w:val="center"/>
              </w:trPr>
              <w:tc>
                <w:tcPr>
                  <w:tcW w:w="415"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974"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1055" w:type="dxa"/>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eastAsia" w:ascii="TT5Co00" w:hAnsi="TT5Co00"/>
                      <w:b/>
                      <w:bCs/>
                      <w:sz w:val="21"/>
                      <w:szCs w:val="21"/>
                      <w:vertAlign w:val="baseline"/>
                      <w:lang w:val="en-US" w:eastAsia="zh-CN"/>
                    </w:rPr>
                    <w:t>X</w:t>
                  </w:r>
                </w:p>
              </w:tc>
              <w:tc>
                <w:tcPr>
                  <w:tcW w:w="918" w:type="dxa"/>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r>
                    <w:rPr>
                      <w:rFonts w:hint="eastAsia" w:ascii="TT5Co00" w:hAnsi="TT5Co00"/>
                      <w:b/>
                      <w:bCs/>
                      <w:sz w:val="21"/>
                      <w:szCs w:val="21"/>
                      <w:vertAlign w:val="baseline"/>
                      <w:lang w:val="en-US" w:eastAsia="zh-CN"/>
                    </w:rPr>
                    <w:t>Y</w:t>
                  </w:r>
                </w:p>
              </w:tc>
              <w:tc>
                <w:tcPr>
                  <w:tcW w:w="711"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p>
              </w:tc>
              <w:tc>
                <w:tcPr>
                  <w:tcW w:w="750"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947"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859"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p>
              </w:tc>
              <w:tc>
                <w:tcPr>
                  <w:tcW w:w="582" w:type="dxa"/>
                  <w:vMerge w:val="continue"/>
                  <w:tcBorders>
                    <w:tl2br w:val="nil"/>
                    <w:tr2bl w:val="nil"/>
                  </w:tcBorders>
                  <w:vAlign w:val="center"/>
                </w:tcPr>
                <w:p>
                  <w:pPr>
                    <w:autoSpaceDE w:val="0"/>
                    <w:autoSpaceDN w:val="0"/>
                    <w:adjustRightInd w:val="0"/>
                    <w:spacing w:line="240" w:lineRule="auto"/>
                    <w:jc w:val="center"/>
                    <w:rPr>
                      <w:rFonts w:hint="eastAsia" w:ascii="TT5Co00" w:hAnsi="TT5Co00"/>
                      <w:b/>
                      <w:bCs/>
                      <w:sz w:val="21"/>
                      <w:szCs w:val="21"/>
                      <w:vertAlign w:val="baseline"/>
                      <w:lang w:val="en-US" w:eastAsia="zh-CN"/>
                    </w:rPr>
                  </w:pPr>
                </w:p>
              </w:tc>
              <w:tc>
                <w:tcPr>
                  <w:tcW w:w="1406" w:type="dxa"/>
                  <w:gridSpan w:val="2"/>
                  <w:vMerge w:val="continue"/>
                  <w:tcBorders>
                    <w:tl2br w:val="nil"/>
                    <w:tr2bl w:val="nil"/>
                  </w:tcBorders>
                  <w:vAlign w:val="center"/>
                </w:tcPr>
                <w:p>
                  <w:pPr>
                    <w:autoSpaceDE w:val="0"/>
                    <w:autoSpaceDN w:val="0"/>
                    <w:adjustRightInd w:val="0"/>
                    <w:spacing w:line="240" w:lineRule="auto"/>
                    <w:jc w:val="center"/>
                    <w:rPr>
                      <w:rFonts w:hint="default" w:ascii="TT5Co00" w:hAnsi="TT5Co00"/>
                      <w:b/>
                      <w:bCs/>
                      <w:sz w:val="21"/>
                      <w:szCs w:val="21"/>
                      <w:vertAlign w:val="baseli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415"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w:t>
                  </w:r>
                </w:p>
              </w:tc>
              <w:tc>
                <w:tcPr>
                  <w:tcW w:w="974"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主车间</w:t>
                  </w:r>
                </w:p>
              </w:tc>
              <w:tc>
                <w:tcPr>
                  <w:tcW w:w="1055"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default" w:ascii="TT5Co00" w:hAnsi="TT5Co00"/>
                      <w:b w:val="0"/>
                      <w:bCs w:val="0"/>
                      <w:sz w:val="21"/>
                      <w:szCs w:val="21"/>
                      <w:vertAlign w:val="baseline"/>
                      <w:lang w:val="en-US" w:eastAsia="zh-CN"/>
                    </w:rPr>
                    <w:t>111.857174</w:t>
                  </w:r>
                </w:p>
              </w:tc>
              <w:tc>
                <w:tcPr>
                  <w:tcW w:w="918"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default" w:ascii="TT5Co00" w:hAnsi="TT5Co00"/>
                      <w:b w:val="0"/>
                      <w:bCs w:val="0"/>
                      <w:sz w:val="21"/>
                      <w:szCs w:val="21"/>
                      <w:vertAlign w:val="baseline"/>
                      <w:lang w:val="en-US" w:eastAsia="zh-CN"/>
                    </w:rPr>
                    <w:t>29.568838</w:t>
                  </w:r>
                </w:p>
              </w:tc>
              <w:tc>
                <w:tcPr>
                  <w:tcW w:w="711"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38.1</w:t>
                  </w:r>
                </w:p>
              </w:tc>
              <w:tc>
                <w:tcPr>
                  <w:tcW w:w="750"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29.3</w:t>
                  </w:r>
                </w:p>
              </w:tc>
              <w:tc>
                <w:tcPr>
                  <w:tcW w:w="947"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w:t>
                  </w:r>
                </w:p>
              </w:tc>
              <w:tc>
                <w:tcPr>
                  <w:tcW w:w="859"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43.5</w:t>
                  </w:r>
                </w:p>
              </w:tc>
              <w:tc>
                <w:tcPr>
                  <w:tcW w:w="582"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default" w:ascii="TT5Co00" w:hAnsi="TT5Co00"/>
                      <w:b w:val="0"/>
                      <w:bCs w:val="0"/>
                      <w:sz w:val="21"/>
                      <w:szCs w:val="21"/>
                      <w:vertAlign w:val="baseline"/>
                      <w:lang w:val="en-US" w:eastAsia="zh-CN"/>
                    </w:rPr>
                    <w:t>正常</w:t>
                  </w:r>
                </w:p>
              </w:tc>
              <w:tc>
                <w:tcPr>
                  <w:tcW w:w="1406" w:type="dxa"/>
                  <w:gridSpan w:val="2"/>
                  <w:tcBorders>
                    <w:tl2br w:val="nil"/>
                    <w:tr2bl w:val="nil"/>
                  </w:tcBorders>
                  <w:vAlign w:val="center"/>
                </w:tcPr>
                <w:p>
                  <w:pPr>
                    <w:autoSpaceDE w:val="0"/>
                    <w:autoSpaceDN w:val="0"/>
                    <w:adjustRightInd w:val="0"/>
                    <w:spacing w:line="240" w:lineRule="auto"/>
                    <w:jc w:val="center"/>
                    <w:rPr>
                      <w:rFonts w:hint="default" w:ascii="TT5Co00" w:hAnsi="TT5Co00" w:eastAsiaTheme="minorEastAsia" w:cstheme="minorBidi"/>
                      <w:b w:val="0"/>
                      <w:bCs w:val="0"/>
                      <w:kern w:val="2"/>
                      <w:sz w:val="21"/>
                      <w:szCs w:val="21"/>
                      <w:vertAlign w:val="baseline"/>
                      <w:lang w:val="en-US" w:eastAsia="zh-CN" w:bidi="ar-SA"/>
                    </w:rPr>
                  </w:pPr>
                  <w:r>
                    <w:rPr>
                      <w:rFonts w:hint="eastAsia" w:ascii="TT5Co00" w:hAnsi="TT5Co00"/>
                      <w:b w:val="0"/>
                      <w:bCs w:val="0"/>
                      <w:sz w:val="21"/>
                      <w:szCs w:val="21"/>
                      <w:vertAlign w:val="baseline"/>
                      <w:lang w:val="en-US" w:eastAsia="zh-CN"/>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415" w:type="dxa"/>
                  <w:vMerge w:val="continue"/>
                  <w:tcBorders>
                    <w:tl2br w:val="nil"/>
                    <w:tr2bl w:val="nil"/>
                  </w:tcBorders>
                  <w:vAlign w:val="center"/>
                </w:tcPr>
                <w:p>
                  <w:pPr>
                    <w:autoSpaceDE w:val="0"/>
                    <w:autoSpaceDN w:val="0"/>
                    <w:adjustRightInd w:val="0"/>
                    <w:spacing w:line="240" w:lineRule="auto"/>
                    <w:jc w:val="center"/>
                  </w:pPr>
                </w:p>
              </w:tc>
              <w:tc>
                <w:tcPr>
                  <w:tcW w:w="974" w:type="dxa"/>
                  <w:vMerge w:val="continue"/>
                  <w:tcBorders>
                    <w:tl2br w:val="nil"/>
                    <w:tr2bl w:val="nil"/>
                  </w:tcBorders>
                  <w:vAlign w:val="center"/>
                </w:tcPr>
                <w:p>
                  <w:pPr>
                    <w:autoSpaceDE w:val="0"/>
                    <w:autoSpaceDN w:val="0"/>
                    <w:adjustRightInd w:val="0"/>
                    <w:spacing w:line="240" w:lineRule="auto"/>
                    <w:jc w:val="center"/>
                  </w:pPr>
                </w:p>
              </w:tc>
              <w:tc>
                <w:tcPr>
                  <w:tcW w:w="1055" w:type="dxa"/>
                  <w:vMerge w:val="continue"/>
                  <w:tcBorders>
                    <w:tl2br w:val="nil"/>
                    <w:tr2bl w:val="nil"/>
                  </w:tcBorders>
                  <w:vAlign w:val="center"/>
                </w:tcPr>
                <w:p>
                  <w:pPr>
                    <w:autoSpaceDE w:val="0"/>
                    <w:autoSpaceDN w:val="0"/>
                    <w:adjustRightInd w:val="0"/>
                    <w:spacing w:line="240" w:lineRule="auto"/>
                    <w:jc w:val="center"/>
                  </w:pPr>
                </w:p>
              </w:tc>
              <w:tc>
                <w:tcPr>
                  <w:tcW w:w="918" w:type="dxa"/>
                  <w:vMerge w:val="continue"/>
                  <w:tcBorders>
                    <w:tl2br w:val="nil"/>
                    <w:tr2bl w:val="nil"/>
                  </w:tcBorders>
                  <w:vAlign w:val="center"/>
                </w:tcPr>
                <w:p>
                  <w:pPr>
                    <w:autoSpaceDE w:val="0"/>
                    <w:autoSpaceDN w:val="0"/>
                    <w:adjustRightInd w:val="0"/>
                    <w:spacing w:line="240" w:lineRule="auto"/>
                    <w:jc w:val="center"/>
                  </w:pPr>
                </w:p>
              </w:tc>
              <w:tc>
                <w:tcPr>
                  <w:tcW w:w="711" w:type="dxa"/>
                  <w:vMerge w:val="continue"/>
                  <w:tcBorders>
                    <w:tl2br w:val="nil"/>
                    <w:tr2bl w:val="nil"/>
                  </w:tcBorders>
                  <w:vAlign w:val="center"/>
                </w:tcPr>
                <w:p>
                  <w:pPr>
                    <w:autoSpaceDE w:val="0"/>
                    <w:autoSpaceDN w:val="0"/>
                    <w:adjustRightInd w:val="0"/>
                    <w:spacing w:line="240" w:lineRule="auto"/>
                    <w:jc w:val="center"/>
                  </w:pPr>
                </w:p>
              </w:tc>
              <w:tc>
                <w:tcPr>
                  <w:tcW w:w="750" w:type="dxa"/>
                  <w:vMerge w:val="continue"/>
                  <w:tcBorders>
                    <w:tl2br w:val="nil"/>
                    <w:tr2bl w:val="nil"/>
                  </w:tcBorders>
                  <w:vAlign w:val="center"/>
                </w:tcPr>
                <w:p>
                  <w:pPr>
                    <w:autoSpaceDE w:val="0"/>
                    <w:autoSpaceDN w:val="0"/>
                    <w:adjustRightInd w:val="0"/>
                    <w:spacing w:line="240" w:lineRule="auto"/>
                    <w:jc w:val="center"/>
                  </w:pPr>
                </w:p>
              </w:tc>
              <w:tc>
                <w:tcPr>
                  <w:tcW w:w="947" w:type="dxa"/>
                  <w:vMerge w:val="continue"/>
                  <w:tcBorders>
                    <w:tl2br w:val="nil"/>
                    <w:tr2bl w:val="nil"/>
                  </w:tcBorders>
                  <w:vAlign w:val="center"/>
                </w:tcPr>
                <w:p>
                  <w:pPr>
                    <w:autoSpaceDE w:val="0"/>
                    <w:autoSpaceDN w:val="0"/>
                    <w:adjustRightInd w:val="0"/>
                    <w:spacing w:line="240" w:lineRule="auto"/>
                    <w:jc w:val="center"/>
                  </w:pPr>
                </w:p>
              </w:tc>
              <w:tc>
                <w:tcPr>
                  <w:tcW w:w="859" w:type="dxa"/>
                  <w:vMerge w:val="continue"/>
                  <w:tcBorders>
                    <w:tl2br w:val="nil"/>
                    <w:tr2bl w:val="nil"/>
                  </w:tcBorders>
                  <w:vAlign w:val="center"/>
                </w:tcPr>
                <w:p>
                  <w:pPr>
                    <w:autoSpaceDE w:val="0"/>
                    <w:autoSpaceDN w:val="0"/>
                    <w:adjustRightInd w:val="0"/>
                    <w:spacing w:line="240" w:lineRule="auto"/>
                    <w:jc w:val="center"/>
                  </w:pPr>
                </w:p>
              </w:tc>
              <w:tc>
                <w:tcPr>
                  <w:tcW w:w="582" w:type="dxa"/>
                  <w:vMerge w:val="continue"/>
                  <w:tcBorders>
                    <w:tl2br w:val="nil"/>
                    <w:tr2bl w:val="nil"/>
                  </w:tcBorders>
                  <w:vAlign w:val="center"/>
                </w:tcPr>
                <w:p>
                  <w:pPr>
                    <w:autoSpaceDE w:val="0"/>
                    <w:autoSpaceDN w:val="0"/>
                    <w:adjustRightInd w:val="0"/>
                    <w:spacing w:line="240" w:lineRule="auto"/>
                    <w:jc w:val="center"/>
                  </w:pPr>
                </w:p>
              </w:tc>
              <w:tc>
                <w:tcPr>
                  <w:tcW w:w="1406" w:type="dxa"/>
                  <w:gridSpan w:val="2"/>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415" w:type="dxa"/>
                  <w:vMerge w:val="restart"/>
                  <w:tcBorders>
                    <w:tl2br w:val="nil"/>
                    <w:tr2bl w:val="nil"/>
                  </w:tcBorders>
                  <w:vAlign w:val="center"/>
                </w:tcPr>
                <w:p>
                  <w:pPr>
                    <w:autoSpaceDE w:val="0"/>
                    <w:autoSpaceDN w:val="0"/>
                    <w:adjustRightInd w:val="0"/>
                    <w:spacing w:line="240" w:lineRule="auto"/>
                    <w:jc w:val="center"/>
                    <w:rPr>
                      <w:rFonts w:hint="eastAsia" w:eastAsia="宋体"/>
                      <w:lang w:val="en-US" w:eastAsia="zh-CN"/>
                    </w:rPr>
                  </w:pPr>
                  <w:r>
                    <w:rPr>
                      <w:rFonts w:hint="eastAsia"/>
                      <w:lang w:val="en-US" w:eastAsia="zh-CN"/>
                    </w:rPr>
                    <w:t>2</w:t>
                  </w:r>
                </w:p>
              </w:tc>
              <w:tc>
                <w:tcPr>
                  <w:tcW w:w="974" w:type="dxa"/>
                  <w:vMerge w:val="restart"/>
                  <w:tcBorders>
                    <w:tl2br w:val="nil"/>
                    <w:tr2bl w:val="nil"/>
                  </w:tcBorders>
                  <w:vAlign w:val="center"/>
                </w:tcPr>
                <w:p>
                  <w:pPr>
                    <w:autoSpaceDE w:val="0"/>
                    <w:autoSpaceDN w:val="0"/>
                    <w:adjustRightInd w:val="0"/>
                    <w:spacing w:line="240" w:lineRule="auto"/>
                    <w:jc w:val="center"/>
                    <w:rPr>
                      <w:rFonts w:hint="default" w:eastAsia="宋体"/>
                      <w:lang w:val="en-US" w:eastAsia="zh-CN"/>
                    </w:rPr>
                  </w:pPr>
                  <w:r>
                    <w:rPr>
                      <w:rFonts w:hint="eastAsia"/>
                      <w:lang w:val="en-US" w:eastAsia="zh-CN"/>
                    </w:rPr>
                    <w:t>1#车间</w:t>
                  </w:r>
                </w:p>
              </w:tc>
              <w:tc>
                <w:tcPr>
                  <w:tcW w:w="1055" w:type="dxa"/>
                  <w:vMerge w:val="restart"/>
                  <w:tcBorders>
                    <w:tl2br w:val="nil"/>
                    <w:tr2bl w:val="nil"/>
                  </w:tcBorders>
                  <w:vAlign w:val="center"/>
                </w:tcPr>
                <w:p>
                  <w:pPr>
                    <w:autoSpaceDE w:val="0"/>
                    <w:autoSpaceDN w:val="0"/>
                    <w:adjustRightInd w:val="0"/>
                    <w:spacing w:line="240" w:lineRule="auto"/>
                    <w:jc w:val="center"/>
                  </w:pPr>
                  <w:r>
                    <w:rPr>
                      <w:rFonts w:hint="eastAsia"/>
                    </w:rPr>
                    <w:t>111.856533</w:t>
                  </w:r>
                </w:p>
              </w:tc>
              <w:tc>
                <w:tcPr>
                  <w:tcW w:w="918" w:type="dxa"/>
                  <w:vMerge w:val="restart"/>
                  <w:tcBorders>
                    <w:tl2br w:val="nil"/>
                    <w:tr2bl w:val="nil"/>
                  </w:tcBorders>
                  <w:vAlign w:val="center"/>
                </w:tcPr>
                <w:p>
                  <w:pPr>
                    <w:autoSpaceDE w:val="0"/>
                    <w:autoSpaceDN w:val="0"/>
                    <w:adjustRightInd w:val="0"/>
                    <w:spacing w:line="240" w:lineRule="auto"/>
                    <w:jc w:val="center"/>
                  </w:pPr>
                  <w:r>
                    <w:rPr>
                      <w:rFonts w:hint="eastAsia"/>
                    </w:rPr>
                    <w:t>29.569314</w:t>
                  </w:r>
                </w:p>
              </w:tc>
              <w:tc>
                <w:tcPr>
                  <w:tcW w:w="711" w:type="dxa"/>
                  <w:vMerge w:val="restart"/>
                  <w:tcBorders>
                    <w:tl2br w:val="nil"/>
                    <w:tr2bl w:val="nil"/>
                  </w:tcBorders>
                  <w:vAlign w:val="center"/>
                </w:tcPr>
                <w:p>
                  <w:pPr>
                    <w:autoSpaceDE w:val="0"/>
                    <w:autoSpaceDN w:val="0"/>
                    <w:adjustRightInd w:val="0"/>
                    <w:spacing w:line="240" w:lineRule="auto"/>
                    <w:jc w:val="center"/>
                  </w:pPr>
                  <w:r>
                    <w:rPr>
                      <w:rFonts w:hint="eastAsia" w:ascii="TT5Co00" w:hAnsi="TT5Co00"/>
                      <w:b w:val="0"/>
                      <w:bCs w:val="0"/>
                      <w:sz w:val="21"/>
                      <w:szCs w:val="21"/>
                      <w:vertAlign w:val="baseline"/>
                      <w:lang w:val="en-US" w:eastAsia="zh-CN"/>
                    </w:rPr>
                    <w:t>100.48</w:t>
                  </w:r>
                </w:p>
              </w:tc>
              <w:tc>
                <w:tcPr>
                  <w:tcW w:w="750" w:type="dxa"/>
                  <w:vMerge w:val="restart"/>
                  <w:tcBorders>
                    <w:tl2br w:val="nil"/>
                    <w:tr2bl w:val="nil"/>
                  </w:tcBorders>
                  <w:vAlign w:val="center"/>
                </w:tcPr>
                <w:p>
                  <w:pPr>
                    <w:autoSpaceDE w:val="0"/>
                    <w:autoSpaceDN w:val="0"/>
                    <w:adjustRightInd w:val="0"/>
                    <w:spacing w:line="240" w:lineRule="auto"/>
                    <w:jc w:val="center"/>
                  </w:pPr>
                  <w:r>
                    <w:rPr>
                      <w:rFonts w:hint="eastAsia" w:ascii="TT5Co00" w:hAnsi="TT5Co00"/>
                      <w:b w:val="0"/>
                      <w:bCs w:val="0"/>
                      <w:sz w:val="21"/>
                      <w:szCs w:val="21"/>
                      <w:vertAlign w:val="baseline"/>
                      <w:lang w:val="en-US" w:eastAsia="zh-CN"/>
                    </w:rPr>
                    <w:t>56.48</w:t>
                  </w:r>
                </w:p>
              </w:tc>
              <w:tc>
                <w:tcPr>
                  <w:tcW w:w="947" w:type="dxa"/>
                  <w:vMerge w:val="restart"/>
                  <w:tcBorders>
                    <w:tl2br w:val="nil"/>
                    <w:tr2bl w:val="nil"/>
                  </w:tcBorders>
                  <w:vAlign w:val="center"/>
                </w:tcPr>
                <w:p>
                  <w:pPr>
                    <w:autoSpaceDE w:val="0"/>
                    <w:autoSpaceDN w:val="0"/>
                    <w:adjustRightInd w:val="0"/>
                    <w:spacing w:line="240" w:lineRule="auto"/>
                    <w:jc w:val="center"/>
                    <w:rPr>
                      <w:rFonts w:hint="eastAsia" w:eastAsia="宋体"/>
                      <w:lang w:val="en-US" w:eastAsia="zh-CN"/>
                    </w:rPr>
                  </w:pPr>
                  <w:r>
                    <w:rPr>
                      <w:rFonts w:hint="eastAsia"/>
                      <w:lang w:val="en-US" w:eastAsia="zh-CN"/>
                    </w:rPr>
                    <w:t>0</w:t>
                  </w:r>
                </w:p>
              </w:tc>
              <w:tc>
                <w:tcPr>
                  <w:tcW w:w="859" w:type="dxa"/>
                  <w:vMerge w:val="restart"/>
                  <w:tcBorders>
                    <w:tl2br w:val="nil"/>
                    <w:tr2bl w:val="nil"/>
                  </w:tcBorders>
                  <w:vAlign w:val="center"/>
                </w:tcPr>
                <w:p>
                  <w:pPr>
                    <w:autoSpaceDE w:val="0"/>
                    <w:autoSpaceDN w:val="0"/>
                    <w:adjustRightInd w:val="0"/>
                    <w:spacing w:line="240" w:lineRule="auto"/>
                    <w:jc w:val="center"/>
                    <w:rPr>
                      <w:rFonts w:hint="eastAsia" w:eastAsia="宋体"/>
                      <w:lang w:val="en-US" w:eastAsia="zh-CN"/>
                    </w:rPr>
                  </w:pPr>
                  <w:r>
                    <w:rPr>
                      <w:rFonts w:hint="eastAsia"/>
                      <w:lang w:val="en-US" w:eastAsia="zh-CN"/>
                    </w:rPr>
                    <w:t>8</w:t>
                  </w:r>
                </w:p>
              </w:tc>
              <w:tc>
                <w:tcPr>
                  <w:tcW w:w="582" w:type="dxa"/>
                  <w:vMerge w:val="restart"/>
                  <w:tcBorders>
                    <w:tl2br w:val="nil"/>
                    <w:tr2bl w:val="nil"/>
                  </w:tcBorders>
                  <w:vAlign w:val="center"/>
                </w:tcPr>
                <w:p>
                  <w:pPr>
                    <w:autoSpaceDE w:val="0"/>
                    <w:autoSpaceDN w:val="0"/>
                    <w:adjustRightInd w:val="0"/>
                    <w:spacing w:line="240" w:lineRule="auto"/>
                    <w:jc w:val="center"/>
                  </w:pPr>
                  <w:r>
                    <w:rPr>
                      <w:rFonts w:hint="default" w:ascii="TT5Co00" w:hAnsi="TT5Co00"/>
                      <w:b w:val="0"/>
                      <w:bCs w:val="0"/>
                      <w:sz w:val="21"/>
                      <w:szCs w:val="21"/>
                      <w:vertAlign w:val="baseline"/>
                      <w:lang w:val="en-US" w:eastAsia="zh-CN"/>
                    </w:rPr>
                    <w:t>正常</w:t>
                  </w:r>
                </w:p>
              </w:tc>
              <w:tc>
                <w:tcPr>
                  <w:tcW w:w="1406" w:type="dxa"/>
                  <w:gridSpan w:val="2"/>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415" w:type="dxa"/>
                  <w:vMerge w:val="continue"/>
                  <w:tcBorders>
                    <w:tl2br w:val="nil"/>
                    <w:tr2bl w:val="nil"/>
                  </w:tcBorders>
                  <w:vAlign w:val="center"/>
                </w:tcPr>
                <w:p>
                  <w:pPr>
                    <w:autoSpaceDE w:val="0"/>
                    <w:autoSpaceDN w:val="0"/>
                    <w:adjustRightInd w:val="0"/>
                    <w:spacing w:line="240" w:lineRule="auto"/>
                    <w:jc w:val="center"/>
                  </w:pPr>
                </w:p>
              </w:tc>
              <w:tc>
                <w:tcPr>
                  <w:tcW w:w="974" w:type="dxa"/>
                  <w:vMerge w:val="continue"/>
                  <w:tcBorders>
                    <w:tl2br w:val="nil"/>
                    <w:tr2bl w:val="nil"/>
                  </w:tcBorders>
                  <w:vAlign w:val="center"/>
                </w:tcPr>
                <w:p>
                  <w:pPr>
                    <w:autoSpaceDE w:val="0"/>
                    <w:autoSpaceDN w:val="0"/>
                    <w:adjustRightInd w:val="0"/>
                    <w:spacing w:line="240" w:lineRule="auto"/>
                    <w:jc w:val="center"/>
                  </w:pPr>
                </w:p>
              </w:tc>
              <w:tc>
                <w:tcPr>
                  <w:tcW w:w="1055" w:type="dxa"/>
                  <w:vMerge w:val="continue"/>
                  <w:tcBorders>
                    <w:tl2br w:val="nil"/>
                    <w:tr2bl w:val="nil"/>
                  </w:tcBorders>
                  <w:vAlign w:val="center"/>
                </w:tcPr>
                <w:p>
                  <w:pPr>
                    <w:autoSpaceDE w:val="0"/>
                    <w:autoSpaceDN w:val="0"/>
                    <w:adjustRightInd w:val="0"/>
                    <w:spacing w:line="240" w:lineRule="auto"/>
                    <w:jc w:val="center"/>
                  </w:pPr>
                </w:p>
              </w:tc>
              <w:tc>
                <w:tcPr>
                  <w:tcW w:w="918" w:type="dxa"/>
                  <w:vMerge w:val="continue"/>
                  <w:tcBorders>
                    <w:tl2br w:val="nil"/>
                    <w:tr2bl w:val="nil"/>
                  </w:tcBorders>
                  <w:vAlign w:val="center"/>
                </w:tcPr>
                <w:p>
                  <w:pPr>
                    <w:autoSpaceDE w:val="0"/>
                    <w:autoSpaceDN w:val="0"/>
                    <w:adjustRightInd w:val="0"/>
                    <w:spacing w:line="240" w:lineRule="auto"/>
                    <w:jc w:val="center"/>
                  </w:pPr>
                </w:p>
              </w:tc>
              <w:tc>
                <w:tcPr>
                  <w:tcW w:w="711" w:type="dxa"/>
                  <w:vMerge w:val="continue"/>
                  <w:tcBorders>
                    <w:tl2br w:val="nil"/>
                    <w:tr2bl w:val="nil"/>
                  </w:tcBorders>
                  <w:vAlign w:val="center"/>
                </w:tcPr>
                <w:p>
                  <w:pPr>
                    <w:autoSpaceDE w:val="0"/>
                    <w:autoSpaceDN w:val="0"/>
                    <w:adjustRightInd w:val="0"/>
                    <w:spacing w:line="240" w:lineRule="auto"/>
                    <w:jc w:val="center"/>
                  </w:pPr>
                </w:p>
              </w:tc>
              <w:tc>
                <w:tcPr>
                  <w:tcW w:w="750" w:type="dxa"/>
                  <w:vMerge w:val="continue"/>
                  <w:tcBorders>
                    <w:tl2br w:val="nil"/>
                    <w:tr2bl w:val="nil"/>
                  </w:tcBorders>
                  <w:vAlign w:val="center"/>
                </w:tcPr>
                <w:p>
                  <w:pPr>
                    <w:autoSpaceDE w:val="0"/>
                    <w:autoSpaceDN w:val="0"/>
                    <w:adjustRightInd w:val="0"/>
                    <w:spacing w:line="240" w:lineRule="auto"/>
                    <w:jc w:val="center"/>
                  </w:pPr>
                </w:p>
              </w:tc>
              <w:tc>
                <w:tcPr>
                  <w:tcW w:w="947" w:type="dxa"/>
                  <w:vMerge w:val="continue"/>
                  <w:tcBorders>
                    <w:tl2br w:val="nil"/>
                    <w:tr2bl w:val="nil"/>
                  </w:tcBorders>
                  <w:vAlign w:val="center"/>
                </w:tcPr>
                <w:p>
                  <w:pPr>
                    <w:autoSpaceDE w:val="0"/>
                    <w:autoSpaceDN w:val="0"/>
                    <w:adjustRightInd w:val="0"/>
                    <w:spacing w:line="240" w:lineRule="auto"/>
                    <w:jc w:val="center"/>
                  </w:pPr>
                </w:p>
              </w:tc>
              <w:tc>
                <w:tcPr>
                  <w:tcW w:w="859" w:type="dxa"/>
                  <w:vMerge w:val="continue"/>
                  <w:tcBorders>
                    <w:tl2br w:val="nil"/>
                    <w:tr2bl w:val="nil"/>
                  </w:tcBorders>
                  <w:vAlign w:val="center"/>
                </w:tcPr>
                <w:p>
                  <w:pPr>
                    <w:autoSpaceDE w:val="0"/>
                    <w:autoSpaceDN w:val="0"/>
                    <w:adjustRightInd w:val="0"/>
                    <w:spacing w:line="240" w:lineRule="auto"/>
                    <w:jc w:val="center"/>
                  </w:pPr>
                </w:p>
              </w:tc>
              <w:tc>
                <w:tcPr>
                  <w:tcW w:w="582" w:type="dxa"/>
                  <w:vMerge w:val="continue"/>
                  <w:tcBorders>
                    <w:tl2br w:val="nil"/>
                    <w:tr2bl w:val="nil"/>
                  </w:tcBorders>
                  <w:vAlign w:val="center"/>
                </w:tcPr>
                <w:p>
                  <w:pPr>
                    <w:autoSpaceDE w:val="0"/>
                    <w:autoSpaceDN w:val="0"/>
                    <w:adjustRightInd w:val="0"/>
                    <w:spacing w:line="240" w:lineRule="auto"/>
                    <w:jc w:val="center"/>
                  </w:pPr>
                </w:p>
              </w:tc>
              <w:tc>
                <w:tcPr>
                  <w:tcW w:w="1406" w:type="dxa"/>
                  <w:gridSpan w:val="2"/>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415" w:type="dxa"/>
                  <w:vMerge w:val="restart"/>
                  <w:tcBorders>
                    <w:tl2br w:val="nil"/>
                    <w:tr2bl w:val="nil"/>
                  </w:tcBorders>
                  <w:vAlign w:val="center"/>
                </w:tcPr>
                <w:p>
                  <w:pPr>
                    <w:autoSpaceDE w:val="0"/>
                    <w:autoSpaceDN w:val="0"/>
                    <w:adjustRightInd w:val="0"/>
                    <w:spacing w:line="240" w:lineRule="auto"/>
                    <w:jc w:val="center"/>
                    <w:rPr>
                      <w:rFonts w:hint="eastAsia" w:eastAsia="宋体"/>
                      <w:lang w:val="en-US" w:eastAsia="zh-CN"/>
                    </w:rPr>
                  </w:pPr>
                  <w:r>
                    <w:rPr>
                      <w:rFonts w:hint="eastAsia"/>
                      <w:lang w:val="en-US" w:eastAsia="zh-CN"/>
                    </w:rPr>
                    <w:t>3</w:t>
                  </w:r>
                </w:p>
              </w:tc>
              <w:tc>
                <w:tcPr>
                  <w:tcW w:w="974" w:type="dxa"/>
                  <w:vMerge w:val="restart"/>
                  <w:tcBorders>
                    <w:tl2br w:val="nil"/>
                    <w:tr2bl w:val="nil"/>
                  </w:tcBorders>
                  <w:vAlign w:val="center"/>
                </w:tcPr>
                <w:p>
                  <w:pPr>
                    <w:autoSpaceDE w:val="0"/>
                    <w:autoSpaceDN w:val="0"/>
                    <w:adjustRightInd w:val="0"/>
                    <w:spacing w:line="240" w:lineRule="auto"/>
                    <w:jc w:val="center"/>
                    <w:rPr>
                      <w:rFonts w:hint="eastAsia" w:eastAsia="宋体"/>
                      <w:lang w:eastAsia="zh-CN"/>
                    </w:rPr>
                  </w:pPr>
                  <w:r>
                    <w:rPr>
                      <w:rFonts w:hint="eastAsia"/>
                      <w:lang w:eastAsia="zh-CN"/>
                    </w:rPr>
                    <w:t>筒仓区域</w:t>
                  </w:r>
                </w:p>
              </w:tc>
              <w:tc>
                <w:tcPr>
                  <w:tcW w:w="1055" w:type="dxa"/>
                  <w:vMerge w:val="restart"/>
                  <w:tcBorders>
                    <w:tl2br w:val="nil"/>
                    <w:tr2bl w:val="nil"/>
                  </w:tcBorders>
                  <w:vAlign w:val="center"/>
                </w:tcPr>
                <w:p>
                  <w:pPr>
                    <w:autoSpaceDE w:val="0"/>
                    <w:autoSpaceDN w:val="0"/>
                    <w:adjustRightInd w:val="0"/>
                    <w:spacing w:line="240" w:lineRule="auto"/>
                    <w:jc w:val="center"/>
                  </w:pPr>
                  <w:r>
                    <w:rPr>
                      <w:rFonts w:hint="eastAsia"/>
                    </w:rPr>
                    <w:t>111.857166</w:t>
                  </w:r>
                </w:p>
              </w:tc>
              <w:tc>
                <w:tcPr>
                  <w:tcW w:w="918" w:type="dxa"/>
                  <w:vMerge w:val="restart"/>
                  <w:tcBorders>
                    <w:tl2br w:val="nil"/>
                    <w:tr2bl w:val="nil"/>
                  </w:tcBorders>
                  <w:vAlign w:val="center"/>
                </w:tcPr>
                <w:p>
                  <w:pPr>
                    <w:autoSpaceDE w:val="0"/>
                    <w:autoSpaceDN w:val="0"/>
                    <w:adjustRightInd w:val="0"/>
                    <w:spacing w:line="240" w:lineRule="auto"/>
                    <w:jc w:val="center"/>
                  </w:pPr>
                  <w:r>
                    <w:rPr>
                      <w:rFonts w:hint="eastAsia"/>
                    </w:rPr>
                    <w:t>29.569668</w:t>
                  </w:r>
                </w:p>
              </w:tc>
              <w:tc>
                <w:tcPr>
                  <w:tcW w:w="711" w:type="dxa"/>
                  <w:vMerge w:val="restart"/>
                  <w:tcBorders>
                    <w:tl2br w:val="nil"/>
                    <w:tr2bl w:val="nil"/>
                  </w:tcBorders>
                  <w:vAlign w:val="center"/>
                </w:tcPr>
                <w:p>
                  <w:pPr>
                    <w:autoSpaceDE w:val="0"/>
                    <w:autoSpaceDN w:val="0"/>
                    <w:adjustRightInd w:val="0"/>
                    <w:spacing w:line="240" w:lineRule="auto"/>
                    <w:jc w:val="center"/>
                    <w:rPr>
                      <w:rFonts w:hint="default" w:eastAsia="宋体"/>
                      <w:lang w:val="en-US" w:eastAsia="zh-CN"/>
                    </w:rPr>
                  </w:pPr>
                  <w:r>
                    <w:rPr>
                      <w:rFonts w:hint="eastAsia"/>
                      <w:lang w:val="en-US" w:eastAsia="zh-CN"/>
                    </w:rPr>
                    <w:t>55.3</w:t>
                  </w:r>
                </w:p>
              </w:tc>
              <w:tc>
                <w:tcPr>
                  <w:tcW w:w="750" w:type="dxa"/>
                  <w:vMerge w:val="restart"/>
                  <w:tcBorders>
                    <w:tl2br w:val="nil"/>
                    <w:tr2bl w:val="nil"/>
                  </w:tcBorders>
                  <w:vAlign w:val="center"/>
                </w:tcPr>
                <w:p>
                  <w:pPr>
                    <w:autoSpaceDE w:val="0"/>
                    <w:autoSpaceDN w:val="0"/>
                    <w:adjustRightInd w:val="0"/>
                    <w:spacing w:line="240" w:lineRule="auto"/>
                    <w:jc w:val="center"/>
                    <w:rPr>
                      <w:rFonts w:hint="default" w:eastAsia="宋体"/>
                      <w:lang w:val="en-US" w:eastAsia="zh-CN"/>
                    </w:rPr>
                  </w:pPr>
                  <w:r>
                    <w:rPr>
                      <w:rFonts w:hint="eastAsia"/>
                      <w:lang w:val="en-US" w:eastAsia="zh-CN"/>
                    </w:rPr>
                    <w:t>22.3</w:t>
                  </w:r>
                </w:p>
              </w:tc>
              <w:tc>
                <w:tcPr>
                  <w:tcW w:w="947" w:type="dxa"/>
                  <w:vMerge w:val="restart"/>
                  <w:tcBorders>
                    <w:tl2br w:val="nil"/>
                    <w:tr2bl w:val="nil"/>
                  </w:tcBorders>
                  <w:vAlign w:val="center"/>
                </w:tcPr>
                <w:p>
                  <w:pPr>
                    <w:autoSpaceDE w:val="0"/>
                    <w:autoSpaceDN w:val="0"/>
                    <w:adjustRightInd w:val="0"/>
                    <w:spacing w:line="240" w:lineRule="auto"/>
                    <w:jc w:val="center"/>
                    <w:rPr>
                      <w:rFonts w:hint="eastAsia" w:eastAsia="宋体"/>
                      <w:lang w:val="en-US" w:eastAsia="zh-CN"/>
                    </w:rPr>
                  </w:pPr>
                  <w:r>
                    <w:rPr>
                      <w:rFonts w:hint="eastAsia"/>
                      <w:lang w:val="en-US" w:eastAsia="zh-CN"/>
                    </w:rPr>
                    <w:t>0</w:t>
                  </w:r>
                </w:p>
              </w:tc>
              <w:tc>
                <w:tcPr>
                  <w:tcW w:w="859" w:type="dxa"/>
                  <w:vMerge w:val="restart"/>
                  <w:tcBorders>
                    <w:tl2br w:val="nil"/>
                    <w:tr2bl w:val="nil"/>
                  </w:tcBorders>
                  <w:vAlign w:val="center"/>
                </w:tcPr>
                <w:p>
                  <w:pPr>
                    <w:autoSpaceDE w:val="0"/>
                    <w:autoSpaceDN w:val="0"/>
                    <w:adjustRightInd w:val="0"/>
                    <w:spacing w:line="240" w:lineRule="auto"/>
                    <w:jc w:val="center"/>
                    <w:rPr>
                      <w:rFonts w:hint="eastAsia" w:eastAsia="宋体"/>
                      <w:lang w:val="en-US" w:eastAsia="zh-CN"/>
                    </w:rPr>
                  </w:pPr>
                  <w:r>
                    <w:rPr>
                      <w:rFonts w:hint="eastAsia"/>
                      <w:lang w:val="en-US" w:eastAsia="zh-CN"/>
                    </w:rPr>
                    <w:t>5</w:t>
                  </w:r>
                </w:p>
              </w:tc>
              <w:tc>
                <w:tcPr>
                  <w:tcW w:w="582" w:type="dxa"/>
                  <w:vMerge w:val="restart"/>
                  <w:tcBorders>
                    <w:tl2br w:val="nil"/>
                    <w:tr2bl w:val="nil"/>
                  </w:tcBorders>
                  <w:vAlign w:val="center"/>
                </w:tcPr>
                <w:p>
                  <w:pPr>
                    <w:autoSpaceDE w:val="0"/>
                    <w:autoSpaceDN w:val="0"/>
                    <w:adjustRightInd w:val="0"/>
                    <w:spacing w:line="240" w:lineRule="auto"/>
                    <w:jc w:val="center"/>
                  </w:pPr>
                  <w:r>
                    <w:rPr>
                      <w:rFonts w:hint="default" w:ascii="TT5Co00" w:hAnsi="TT5Co00"/>
                      <w:b w:val="0"/>
                      <w:bCs w:val="0"/>
                      <w:sz w:val="21"/>
                      <w:szCs w:val="21"/>
                      <w:vertAlign w:val="baseline"/>
                      <w:lang w:val="en-US" w:eastAsia="zh-CN"/>
                    </w:rPr>
                    <w:t>正常</w:t>
                  </w:r>
                </w:p>
              </w:tc>
              <w:tc>
                <w:tcPr>
                  <w:tcW w:w="1406" w:type="dxa"/>
                  <w:gridSpan w:val="2"/>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415" w:type="dxa"/>
                  <w:vMerge w:val="continue"/>
                  <w:tcBorders>
                    <w:tl2br w:val="nil"/>
                    <w:tr2bl w:val="nil"/>
                  </w:tcBorders>
                  <w:vAlign w:val="center"/>
                </w:tcPr>
                <w:p>
                  <w:pPr>
                    <w:autoSpaceDE w:val="0"/>
                    <w:autoSpaceDN w:val="0"/>
                    <w:adjustRightInd w:val="0"/>
                    <w:spacing w:line="240" w:lineRule="auto"/>
                    <w:jc w:val="center"/>
                  </w:pPr>
                </w:p>
              </w:tc>
              <w:tc>
                <w:tcPr>
                  <w:tcW w:w="974" w:type="dxa"/>
                  <w:vMerge w:val="continue"/>
                  <w:tcBorders>
                    <w:tl2br w:val="nil"/>
                    <w:tr2bl w:val="nil"/>
                  </w:tcBorders>
                  <w:vAlign w:val="center"/>
                </w:tcPr>
                <w:p>
                  <w:pPr>
                    <w:autoSpaceDE w:val="0"/>
                    <w:autoSpaceDN w:val="0"/>
                    <w:adjustRightInd w:val="0"/>
                    <w:spacing w:line="240" w:lineRule="auto"/>
                    <w:jc w:val="center"/>
                  </w:pPr>
                </w:p>
              </w:tc>
              <w:tc>
                <w:tcPr>
                  <w:tcW w:w="1055" w:type="dxa"/>
                  <w:vMerge w:val="continue"/>
                  <w:tcBorders>
                    <w:tl2br w:val="nil"/>
                    <w:tr2bl w:val="nil"/>
                  </w:tcBorders>
                  <w:vAlign w:val="center"/>
                </w:tcPr>
                <w:p>
                  <w:pPr>
                    <w:autoSpaceDE w:val="0"/>
                    <w:autoSpaceDN w:val="0"/>
                    <w:adjustRightInd w:val="0"/>
                    <w:spacing w:line="240" w:lineRule="auto"/>
                    <w:jc w:val="center"/>
                  </w:pPr>
                </w:p>
              </w:tc>
              <w:tc>
                <w:tcPr>
                  <w:tcW w:w="918" w:type="dxa"/>
                  <w:vMerge w:val="continue"/>
                  <w:tcBorders>
                    <w:tl2br w:val="nil"/>
                    <w:tr2bl w:val="nil"/>
                  </w:tcBorders>
                  <w:vAlign w:val="center"/>
                </w:tcPr>
                <w:p>
                  <w:pPr>
                    <w:autoSpaceDE w:val="0"/>
                    <w:autoSpaceDN w:val="0"/>
                    <w:adjustRightInd w:val="0"/>
                    <w:spacing w:line="240" w:lineRule="auto"/>
                    <w:jc w:val="center"/>
                  </w:pPr>
                </w:p>
              </w:tc>
              <w:tc>
                <w:tcPr>
                  <w:tcW w:w="711" w:type="dxa"/>
                  <w:vMerge w:val="continue"/>
                  <w:tcBorders>
                    <w:tl2br w:val="nil"/>
                    <w:tr2bl w:val="nil"/>
                  </w:tcBorders>
                  <w:vAlign w:val="center"/>
                </w:tcPr>
                <w:p>
                  <w:pPr>
                    <w:autoSpaceDE w:val="0"/>
                    <w:autoSpaceDN w:val="0"/>
                    <w:adjustRightInd w:val="0"/>
                    <w:spacing w:line="240" w:lineRule="auto"/>
                    <w:jc w:val="center"/>
                  </w:pPr>
                </w:p>
              </w:tc>
              <w:tc>
                <w:tcPr>
                  <w:tcW w:w="750" w:type="dxa"/>
                  <w:vMerge w:val="continue"/>
                  <w:tcBorders>
                    <w:tl2br w:val="nil"/>
                    <w:tr2bl w:val="nil"/>
                  </w:tcBorders>
                  <w:vAlign w:val="center"/>
                </w:tcPr>
                <w:p>
                  <w:pPr>
                    <w:autoSpaceDE w:val="0"/>
                    <w:autoSpaceDN w:val="0"/>
                    <w:adjustRightInd w:val="0"/>
                    <w:spacing w:line="240" w:lineRule="auto"/>
                    <w:jc w:val="center"/>
                  </w:pPr>
                </w:p>
              </w:tc>
              <w:tc>
                <w:tcPr>
                  <w:tcW w:w="947" w:type="dxa"/>
                  <w:vMerge w:val="continue"/>
                  <w:tcBorders>
                    <w:tl2br w:val="nil"/>
                    <w:tr2bl w:val="nil"/>
                  </w:tcBorders>
                  <w:vAlign w:val="center"/>
                </w:tcPr>
                <w:p>
                  <w:pPr>
                    <w:autoSpaceDE w:val="0"/>
                    <w:autoSpaceDN w:val="0"/>
                    <w:adjustRightInd w:val="0"/>
                    <w:spacing w:line="240" w:lineRule="auto"/>
                    <w:jc w:val="center"/>
                  </w:pPr>
                </w:p>
              </w:tc>
              <w:tc>
                <w:tcPr>
                  <w:tcW w:w="859" w:type="dxa"/>
                  <w:vMerge w:val="continue"/>
                  <w:tcBorders>
                    <w:tl2br w:val="nil"/>
                    <w:tr2bl w:val="nil"/>
                  </w:tcBorders>
                  <w:vAlign w:val="center"/>
                </w:tcPr>
                <w:p>
                  <w:pPr>
                    <w:autoSpaceDE w:val="0"/>
                    <w:autoSpaceDN w:val="0"/>
                    <w:adjustRightInd w:val="0"/>
                    <w:spacing w:line="240" w:lineRule="auto"/>
                    <w:jc w:val="center"/>
                  </w:pPr>
                </w:p>
              </w:tc>
              <w:tc>
                <w:tcPr>
                  <w:tcW w:w="582" w:type="dxa"/>
                  <w:vMerge w:val="continue"/>
                  <w:tcBorders>
                    <w:tl2br w:val="nil"/>
                    <w:tr2bl w:val="nil"/>
                  </w:tcBorders>
                  <w:vAlign w:val="center"/>
                </w:tcPr>
                <w:p>
                  <w:pPr>
                    <w:autoSpaceDE w:val="0"/>
                    <w:autoSpaceDN w:val="0"/>
                    <w:adjustRightInd w:val="0"/>
                    <w:spacing w:line="240" w:lineRule="auto"/>
                    <w:jc w:val="center"/>
                  </w:pPr>
                </w:p>
              </w:tc>
              <w:tc>
                <w:tcPr>
                  <w:tcW w:w="1406" w:type="dxa"/>
                  <w:gridSpan w:val="2"/>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415"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4</w:t>
                  </w:r>
                </w:p>
              </w:tc>
              <w:tc>
                <w:tcPr>
                  <w:tcW w:w="974"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2#车间</w:t>
                  </w:r>
                </w:p>
              </w:tc>
              <w:tc>
                <w:tcPr>
                  <w:tcW w:w="1055"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default" w:ascii="TT5Co00" w:hAnsi="TT5Co00"/>
                      <w:b w:val="0"/>
                      <w:bCs w:val="0"/>
                      <w:sz w:val="21"/>
                      <w:szCs w:val="21"/>
                      <w:vertAlign w:val="baseline"/>
                      <w:lang w:val="en-US" w:eastAsia="zh-CN"/>
                    </w:rPr>
                    <w:t>111.856358</w:t>
                  </w:r>
                </w:p>
              </w:tc>
              <w:tc>
                <w:tcPr>
                  <w:tcW w:w="918"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default" w:ascii="TT5Co00" w:hAnsi="TT5Co00"/>
                      <w:b w:val="0"/>
                      <w:bCs w:val="0"/>
                      <w:sz w:val="21"/>
                      <w:szCs w:val="21"/>
                      <w:vertAlign w:val="baseline"/>
                      <w:lang w:val="en-US" w:eastAsia="zh-CN"/>
                    </w:rPr>
                    <w:t>29.569198</w:t>
                  </w:r>
                </w:p>
              </w:tc>
              <w:tc>
                <w:tcPr>
                  <w:tcW w:w="711"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100.48</w:t>
                  </w:r>
                </w:p>
              </w:tc>
              <w:tc>
                <w:tcPr>
                  <w:tcW w:w="750"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56.48</w:t>
                  </w:r>
                </w:p>
              </w:tc>
              <w:tc>
                <w:tcPr>
                  <w:tcW w:w="947"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w:t>
                  </w:r>
                </w:p>
              </w:tc>
              <w:tc>
                <w:tcPr>
                  <w:tcW w:w="859"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8</w:t>
                  </w:r>
                </w:p>
              </w:tc>
              <w:tc>
                <w:tcPr>
                  <w:tcW w:w="582" w:type="dxa"/>
                  <w:vMerge w:val="restart"/>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default" w:ascii="TT5Co00" w:hAnsi="TT5Co00"/>
                      <w:b w:val="0"/>
                      <w:bCs w:val="0"/>
                      <w:sz w:val="21"/>
                      <w:szCs w:val="21"/>
                      <w:vertAlign w:val="baseline"/>
                      <w:lang w:val="en-US" w:eastAsia="zh-CN"/>
                    </w:rPr>
                    <w:t>正常</w:t>
                  </w:r>
                </w:p>
              </w:tc>
              <w:tc>
                <w:tcPr>
                  <w:tcW w:w="661" w:type="dxa"/>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745" w:type="dxa"/>
                  <w:tcBorders>
                    <w:tl2br w:val="nil"/>
                    <w:tr2bl w:val="nil"/>
                  </w:tcBorders>
                  <w:vAlign w:val="center"/>
                </w:tcPr>
                <w:p>
                  <w:pPr>
                    <w:autoSpaceDE w:val="0"/>
                    <w:autoSpaceDN w:val="0"/>
                    <w:adjustRightInd w:val="0"/>
                    <w:spacing w:line="240" w:lineRule="auto"/>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415" w:type="dxa"/>
                  <w:vMerge w:val="continue"/>
                  <w:tcBorders>
                    <w:tl2br w:val="nil"/>
                    <w:tr2bl w:val="nil"/>
                  </w:tcBorders>
                  <w:vAlign w:val="center"/>
                </w:tcPr>
                <w:p>
                  <w:pPr>
                    <w:autoSpaceDE w:val="0"/>
                    <w:autoSpaceDN w:val="0"/>
                    <w:adjustRightInd w:val="0"/>
                    <w:spacing w:line="240" w:lineRule="auto"/>
                    <w:jc w:val="center"/>
                  </w:pPr>
                </w:p>
              </w:tc>
              <w:tc>
                <w:tcPr>
                  <w:tcW w:w="974" w:type="dxa"/>
                  <w:vMerge w:val="continue"/>
                  <w:tcBorders>
                    <w:tl2br w:val="nil"/>
                    <w:tr2bl w:val="nil"/>
                  </w:tcBorders>
                  <w:vAlign w:val="center"/>
                </w:tcPr>
                <w:p>
                  <w:pPr>
                    <w:autoSpaceDE w:val="0"/>
                    <w:autoSpaceDN w:val="0"/>
                    <w:adjustRightInd w:val="0"/>
                    <w:spacing w:line="240" w:lineRule="auto"/>
                    <w:jc w:val="center"/>
                  </w:pPr>
                </w:p>
              </w:tc>
              <w:tc>
                <w:tcPr>
                  <w:tcW w:w="1055" w:type="dxa"/>
                  <w:vMerge w:val="continue"/>
                  <w:tcBorders>
                    <w:tl2br w:val="nil"/>
                    <w:tr2bl w:val="nil"/>
                  </w:tcBorders>
                  <w:vAlign w:val="center"/>
                </w:tcPr>
                <w:p>
                  <w:pPr>
                    <w:autoSpaceDE w:val="0"/>
                    <w:autoSpaceDN w:val="0"/>
                    <w:adjustRightInd w:val="0"/>
                    <w:spacing w:line="240" w:lineRule="auto"/>
                    <w:jc w:val="center"/>
                  </w:pPr>
                </w:p>
              </w:tc>
              <w:tc>
                <w:tcPr>
                  <w:tcW w:w="918" w:type="dxa"/>
                  <w:vMerge w:val="continue"/>
                  <w:tcBorders>
                    <w:tl2br w:val="nil"/>
                    <w:tr2bl w:val="nil"/>
                  </w:tcBorders>
                  <w:vAlign w:val="center"/>
                </w:tcPr>
                <w:p>
                  <w:pPr>
                    <w:autoSpaceDE w:val="0"/>
                    <w:autoSpaceDN w:val="0"/>
                    <w:adjustRightInd w:val="0"/>
                    <w:spacing w:line="240" w:lineRule="auto"/>
                    <w:jc w:val="center"/>
                  </w:pPr>
                </w:p>
              </w:tc>
              <w:tc>
                <w:tcPr>
                  <w:tcW w:w="711" w:type="dxa"/>
                  <w:vMerge w:val="continue"/>
                  <w:tcBorders>
                    <w:tl2br w:val="nil"/>
                    <w:tr2bl w:val="nil"/>
                  </w:tcBorders>
                  <w:vAlign w:val="center"/>
                </w:tcPr>
                <w:p>
                  <w:pPr>
                    <w:autoSpaceDE w:val="0"/>
                    <w:autoSpaceDN w:val="0"/>
                    <w:adjustRightInd w:val="0"/>
                    <w:spacing w:line="240" w:lineRule="auto"/>
                    <w:jc w:val="center"/>
                  </w:pPr>
                </w:p>
              </w:tc>
              <w:tc>
                <w:tcPr>
                  <w:tcW w:w="750" w:type="dxa"/>
                  <w:vMerge w:val="continue"/>
                  <w:tcBorders>
                    <w:tl2br w:val="nil"/>
                    <w:tr2bl w:val="nil"/>
                  </w:tcBorders>
                  <w:vAlign w:val="center"/>
                </w:tcPr>
                <w:p>
                  <w:pPr>
                    <w:autoSpaceDE w:val="0"/>
                    <w:autoSpaceDN w:val="0"/>
                    <w:adjustRightInd w:val="0"/>
                    <w:spacing w:line="240" w:lineRule="auto"/>
                    <w:jc w:val="center"/>
                  </w:pPr>
                </w:p>
              </w:tc>
              <w:tc>
                <w:tcPr>
                  <w:tcW w:w="947" w:type="dxa"/>
                  <w:vMerge w:val="continue"/>
                  <w:tcBorders>
                    <w:tl2br w:val="nil"/>
                    <w:tr2bl w:val="nil"/>
                  </w:tcBorders>
                  <w:vAlign w:val="center"/>
                </w:tcPr>
                <w:p>
                  <w:pPr>
                    <w:autoSpaceDE w:val="0"/>
                    <w:autoSpaceDN w:val="0"/>
                    <w:adjustRightInd w:val="0"/>
                    <w:spacing w:line="240" w:lineRule="auto"/>
                    <w:jc w:val="center"/>
                  </w:pPr>
                </w:p>
              </w:tc>
              <w:tc>
                <w:tcPr>
                  <w:tcW w:w="859" w:type="dxa"/>
                  <w:vMerge w:val="continue"/>
                  <w:tcBorders>
                    <w:tl2br w:val="nil"/>
                    <w:tr2bl w:val="nil"/>
                  </w:tcBorders>
                  <w:vAlign w:val="center"/>
                </w:tcPr>
                <w:p>
                  <w:pPr>
                    <w:autoSpaceDE w:val="0"/>
                    <w:autoSpaceDN w:val="0"/>
                    <w:adjustRightInd w:val="0"/>
                    <w:spacing w:line="240" w:lineRule="auto"/>
                    <w:jc w:val="center"/>
                  </w:pPr>
                </w:p>
              </w:tc>
              <w:tc>
                <w:tcPr>
                  <w:tcW w:w="582" w:type="dxa"/>
                  <w:vMerge w:val="continue"/>
                  <w:tcBorders>
                    <w:tl2br w:val="nil"/>
                    <w:tr2bl w:val="nil"/>
                  </w:tcBorders>
                  <w:vAlign w:val="center"/>
                </w:tcPr>
                <w:p>
                  <w:pPr>
                    <w:autoSpaceDE w:val="0"/>
                    <w:autoSpaceDN w:val="0"/>
                    <w:adjustRightInd w:val="0"/>
                    <w:spacing w:line="240" w:lineRule="auto"/>
                    <w:jc w:val="center"/>
                  </w:pPr>
                </w:p>
              </w:tc>
              <w:tc>
                <w:tcPr>
                  <w:tcW w:w="661" w:type="dxa"/>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0.026</w:t>
                  </w:r>
                </w:p>
              </w:tc>
              <w:tc>
                <w:tcPr>
                  <w:tcW w:w="745" w:type="dxa"/>
                  <w:tcBorders>
                    <w:tl2br w:val="nil"/>
                    <w:tr2bl w:val="nil"/>
                  </w:tcBorders>
                  <w:vAlign w:val="center"/>
                </w:tcPr>
                <w:p>
                  <w:pPr>
                    <w:autoSpaceDE w:val="0"/>
                    <w:autoSpaceDN w:val="0"/>
                    <w:adjustRightInd w:val="0"/>
                    <w:spacing w:line="240" w:lineRule="auto"/>
                    <w:jc w:val="center"/>
                    <w:rPr>
                      <w:rFonts w:hint="default"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0.0008</w:t>
                  </w:r>
                </w:p>
              </w:tc>
            </w:tr>
          </w:tbl>
          <w:p>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根据《环境影响评价技术导则 大气环境》（HJ2.2-2018）附录A推荐模型中的AERSCREEN计算结果详见下表</w:t>
            </w:r>
            <w:r>
              <w:rPr>
                <w:rFonts w:hint="eastAsia" w:cs="Times New Roman"/>
                <w:sz w:val="24"/>
                <w:lang w:val="en-US" w:eastAsia="zh-CN"/>
              </w:rPr>
              <w:t>1-10</w:t>
            </w:r>
            <w:r>
              <w:rPr>
                <w:rFonts w:hint="eastAsia" w:ascii="Times New Roman" w:hAnsi="Times New Roman" w:cs="Times New Roman"/>
                <w:sz w:val="24"/>
                <w:lang w:val="en-US" w:eastAsia="zh-CN"/>
              </w:rPr>
              <w:t>。</w:t>
            </w:r>
          </w:p>
          <w:p>
            <w:pPr>
              <w:adjustRightInd w:val="0"/>
              <w:snapToGrid w:val="0"/>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1-10</w:t>
            </w:r>
            <w:r>
              <w:rPr>
                <w:rFonts w:hint="eastAsia" w:ascii="Times New Roman" w:hAnsi="Times New Roman" w:cs="Times New Roman"/>
                <w:b/>
                <w:kern w:val="0"/>
                <w:szCs w:val="21"/>
                <w:lang w:val="en-US" w:eastAsia="zh-CN"/>
              </w:rPr>
              <w:t xml:space="preserve">  正常工况估算模式预测结果表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63"/>
              <w:gridCol w:w="1615"/>
              <w:gridCol w:w="1162"/>
              <w:gridCol w:w="1561"/>
              <w:gridCol w:w="1306"/>
              <w:gridCol w:w="1442"/>
              <w:gridCol w:w="11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3140" w:type="dxa"/>
                  <w:gridSpan w:val="3"/>
                  <w:tcBorders>
                    <w:tl2br w:val="nil"/>
                    <w:tr2bl w:val="nil"/>
                  </w:tcBorders>
                  <w:vAlign w:val="center"/>
                </w:tcPr>
                <w:p>
                  <w:pPr>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污染源</w:t>
                  </w:r>
                </w:p>
              </w:tc>
              <w:tc>
                <w:tcPr>
                  <w:tcW w:w="1561" w:type="dxa"/>
                  <w:tcBorders>
                    <w:tl2br w:val="nil"/>
                    <w:tr2bl w:val="nil"/>
                  </w:tcBorders>
                  <w:vAlign w:val="center"/>
                </w:tcPr>
                <w:p>
                  <w:pPr>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C</w:t>
                  </w:r>
                  <w:r>
                    <w:rPr>
                      <w:rFonts w:hint="eastAsia" w:ascii="Times New Roman" w:hAnsi="Times New Roman" w:cs="Times New Roman"/>
                      <w:b/>
                      <w:bCs/>
                      <w:szCs w:val="21"/>
                      <w:vertAlign w:val="subscript"/>
                      <w:lang w:val="en-US" w:eastAsia="zh-CN"/>
                    </w:rPr>
                    <w:t>max</w:t>
                  </w:r>
                  <w:r>
                    <w:rPr>
                      <w:rFonts w:hint="eastAsia" w:ascii="Times New Roman" w:hAnsi="Times New Roman" w:cs="Times New Roman"/>
                      <w:b/>
                      <w:bCs/>
                      <w:szCs w:val="21"/>
                      <w:lang w:val="en-US" w:eastAsia="zh-CN"/>
                    </w:rPr>
                    <w:t>（mg/m</w:t>
                  </w:r>
                  <w:r>
                    <w:rPr>
                      <w:rFonts w:hint="eastAsia" w:ascii="Times New Roman" w:hAnsi="Times New Roman" w:cs="Times New Roman"/>
                      <w:b/>
                      <w:bCs/>
                      <w:szCs w:val="21"/>
                      <w:vertAlign w:val="superscript"/>
                      <w:lang w:val="en-US" w:eastAsia="zh-CN"/>
                    </w:rPr>
                    <w:t>3</w:t>
                  </w:r>
                  <w:r>
                    <w:rPr>
                      <w:rFonts w:hint="eastAsia" w:ascii="Times New Roman" w:hAnsi="Times New Roman" w:cs="Times New Roman"/>
                      <w:b/>
                      <w:bCs/>
                      <w:szCs w:val="21"/>
                      <w:lang w:val="en-US" w:eastAsia="zh-CN"/>
                    </w:rPr>
                    <w:t>）</w:t>
                  </w:r>
                </w:p>
              </w:tc>
              <w:tc>
                <w:tcPr>
                  <w:tcW w:w="1306" w:type="dxa"/>
                  <w:tcBorders>
                    <w:tl2br w:val="nil"/>
                    <w:tr2bl w:val="nil"/>
                  </w:tcBorders>
                  <w:vAlign w:val="center"/>
                </w:tcPr>
                <w:p>
                  <w:pPr>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P</w:t>
                  </w:r>
                  <w:r>
                    <w:rPr>
                      <w:rFonts w:hint="eastAsia" w:ascii="Times New Roman" w:hAnsi="Times New Roman" w:cs="Times New Roman"/>
                      <w:b/>
                      <w:bCs/>
                      <w:szCs w:val="21"/>
                      <w:vertAlign w:val="subscript"/>
                      <w:lang w:val="en-US" w:eastAsia="zh-CN"/>
                    </w:rPr>
                    <w:t>max</w:t>
                  </w:r>
                  <w:r>
                    <w:rPr>
                      <w:rFonts w:hint="eastAsia" w:ascii="Times New Roman" w:hAnsi="Times New Roman" w:cs="Times New Roman"/>
                      <w:b/>
                      <w:bCs/>
                      <w:szCs w:val="21"/>
                      <w:lang w:val="en-US" w:eastAsia="zh-CN"/>
                    </w:rPr>
                    <w:t>（%）</w:t>
                  </w:r>
                </w:p>
              </w:tc>
              <w:tc>
                <w:tcPr>
                  <w:tcW w:w="1442" w:type="dxa"/>
                  <w:tcBorders>
                    <w:tl2br w:val="nil"/>
                    <w:tr2bl w:val="nil"/>
                  </w:tcBorders>
                  <w:vAlign w:val="center"/>
                </w:tcPr>
                <w:p>
                  <w:pPr>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最大落地浓度距离（m）</w:t>
                  </w:r>
                </w:p>
              </w:tc>
              <w:tc>
                <w:tcPr>
                  <w:tcW w:w="1168" w:type="dxa"/>
                  <w:tcBorders>
                    <w:tl2br w:val="nil"/>
                    <w:tr2bl w:val="nil"/>
                  </w:tcBorders>
                  <w:vAlign w:val="center"/>
                </w:tcPr>
                <w:p>
                  <w:pPr>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评价等级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4" w:hRule="atLeast"/>
                <w:jc w:val="center"/>
              </w:trPr>
              <w:tc>
                <w:tcPr>
                  <w:tcW w:w="363" w:type="dxa"/>
                  <w:vMerge w:val="restart"/>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点源</w:t>
                  </w:r>
                </w:p>
              </w:tc>
              <w:tc>
                <w:tcPr>
                  <w:tcW w:w="161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P1</w:t>
                  </w:r>
                </w:p>
              </w:tc>
              <w:tc>
                <w:tcPr>
                  <w:tcW w:w="1162"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颗粒物</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0.0406</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4.51</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104</w:t>
                  </w:r>
                </w:p>
              </w:tc>
              <w:tc>
                <w:tcPr>
                  <w:tcW w:w="1168"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363"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615" w:type="dxa"/>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P2</w:t>
                  </w:r>
                </w:p>
              </w:tc>
              <w:tc>
                <w:tcPr>
                  <w:tcW w:w="1162"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0.0016</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7.81</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104</w:t>
                  </w:r>
                </w:p>
              </w:tc>
              <w:tc>
                <w:tcPr>
                  <w:tcW w:w="1168" w:type="dxa"/>
                  <w:tcBorders>
                    <w:tl2br w:val="nil"/>
                    <w:tr2bl w:val="nil"/>
                  </w:tcBorders>
                  <w:vAlign w:val="center"/>
                </w:tcPr>
                <w:p>
                  <w:pPr>
                    <w:jc w:val="center"/>
                    <w:rPr>
                      <w:rFonts w:hint="eastAsia"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363"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615"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162"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0.0521</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8.96</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104</w:t>
                  </w:r>
                </w:p>
              </w:tc>
              <w:tc>
                <w:tcPr>
                  <w:tcW w:w="1168" w:type="dxa"/>
                  <w:tcBorders>
                    <w:tl2br w:val="nil"/>
                    <w:tr2bl w:val="nil"/>
                  </w:tcBorders>
                  <w:vAlign w:val="center"/>
                </w:tcPr>
                <w:p>
                  <w:pPr>
                    <w:jc w:val="center"/>
                    <w:rPr>
                      <w:rFonts w:hint="eastAsia"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363" w:type="dxa"/>
                  <w:vMerge w:val="restart"/>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面源</w:t>
                  </w:r>
                </w:p>
              </w:tc>
              <w:tc>
                <w:tcPr>
                  <w:tcW w:w="1615" w:type="dxa"/>
                  <w:tcBorders>
                    <w:tl2br w:val="nil"/>
                    <w:tr2bl w:val="nil"/>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主车间</w:t>
                  </w:r>
                </w:p>
              </w:tc>
              <w:tc>
                <w:tcPr>
                  <w:tcW w:w="1162"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T5Co00" w:hAnsi="TT5Co00"/>
                      <w:b w:val="0"/>
                      <w:bCs w:val="0"/>
                      <w:sz w:val="21"/>
                      <w:szCs w:val="21"/>
                      <w:vertAlign w:val="baseline"/>
                      <w:lang w:val="en-US" w:eastAsia="zh-CN"/>
                    </w:rPr>
                    <w:t>颗粒物</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0.0364</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4.05</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24</w:t>
                  </w:r>
                </w:p>
              </w:tc>
              <w:tc>
                <w:tcPr>
                  <w:tcW w:w="1168"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363"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615" w:type="dxa"/>
                  <w:tcBorders>
                    <w:tl2br w:val="nil"/>
                    <w:tr2bl w:val="nil"/>
                  </w:tcBorders>
                  <w:vAlign w:val="center"/>
                </w:tcPr>
                <w:p>
                  <w:pPr>
                    <w:autoSpaceDE w:val="0"/>
                    <w:autoSpaceDN w:val="0"/>
                    <w:adjustRightInd w:val="0"/>
                    <w:spacing w:line="240" w:lineRule="auto"/>
                    <w:jc w:val="center"/>
                    <w:rPr>
                      <w:rFonts w:hint="eastAsia" w:ascii="Times New Roman" w:hAnsi="Times New Roman" w:cs="Times New Roman"/>
                      <w:szCs w:val="21"/>
                      <w:lang w:val="en-US" w:eastAsia="zh-CN"/>
                    </w:rPr>
                  </w:pPr>
                  <w:r>
                    <w:rPr>
                      <w:rFonts w:hint="eastAsia"/>
                      <w:lang w:val="en-US" w:eastAsia="zh-CN"/>
                    </w:rPr>
                    <w:t>1#车间</w:t>
                  </w:r>
                </w:p>
              </w:tc>
              <w:tc>
                <w:tcPr>
                  <w:tcW w:w="1162" w:type="dxa"/>
                  <w:tcBorders>
                    <w:tl2br w:val="nil"/>
                    <w:tr2bl w:val="nil"/>
                  </w:tcBorders>
                  <w:vAlign w:val="center"/>
                </w:tcPr>
                <w:p>
                  <w:pPr>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颗粒物</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0.0135</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1.5</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60</w:t>
                  </w:r>
                </w:p>
              </w:tc>
              <w:tc>
                <w:tcPr>
                  <w:tcW w:w="1168" w:type="dxa"/>
                  <w:tcBorders>
                    <w:tl2br w:val="nil"/>
                    <w:tr2bl w:val="nil"/>
                  </w:tcBorders>
                  <w:vAlign w:val="center"/>
                </w:tcPr>
                <w:p>
                  <w:pPr>
                    <w:jc w:val="center"/>
                    <w:rPr>
                      <w:rFonts w:hint="eastAsia" w:ascii="Times New Roman" w:hAnsi="Times New Roman" w:cs="Times New Roman"/>
                      <w:color w:val="auto"/>
                      <w:szCs w:val="21"/>
                      <w:u w:val="none"/>
                      <w:lang w:val="en-US" w:eastAsia="zh-CN"/>
                    </w:rPr>
                  </w:pPr>
                  <w:r>
                    <w:rPr>
                      <w:rFonts w:hint="eastAsia"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363"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615" w:type="dxa"/>
                  <w:tcBorders>
                    <w:tl2br w:val="nil"/>
                    <w:tr2bl w:val="nil"/>
                  </w:tcBorders>
                  <w:vAlign w:val="center"/>
                </w:tcPr>
                <w:p>
                  <w:pPr>
                    <w:autoSpaceDE w:val="0"/>
                    <w:autoSpaceDN w:val="0"/>
                    <w:adjustRightInd w:val="0"/>
                    <w:spacing w:line="240" w:lineRule="auto"/>
                    <w:jc w:val="center"/>
                    <w:rPr>
                      <w:rFonts w:hint="eastAsia" w:ascii="Times New Roman" w:hAnsi="Times New Roman" w:cs="Times New Roman"/>
                      <w:szCs w:val="21"/>
                      <w:lang w:val="en-US" w:eastAsia="zh-CN"/>
                    </w:rPr>
                  </w:pPr>
                  <w:r>
                    <w:rPr>
                      <w:rFonts w:hint="eastAsia"/>
                      <w:lang w:eastAsia="zh-CN"/>
                    </w:rPr>
                    <w:t>筒仓区域</w:t>
                  </w:r>
                </w:p>
              </w:tc>
              <w:tc>
                <w:tcPr>
                  <w:tcW w:w="1162" w:type="dxa"/>
                  <w:tcBorders>
                    <w:tl2br w:val="nil"/>
                    <w:tr2bl w:val="nil"/>
                  </w:tcBorders>
                  <w:vAlign w:val="center"/>
                </w:tcPr>
                <w:p>
                  <w:pPr>
                    <w:jc w:val="center"/>
                    <w:rPr>
                      <w:rFonts w:hint="eastAsia" w:ascii="TT5Co00" w:hAnsi="TT5Co00"/>
                      <w:b w:val="0"/>
                      <w:bCs w:val="0"/>
                      <w:sz w:val="21"/>
                      <w:szCs w:val="21"/>
                      <w:vertAlign w:val="baseline"/>
                      <w:lang w:val="en-US" w:eastAsia="zh-CN"/>
                    </w:rPr>
                  </w:pPr>
                  <w:r>
                    <w:rPr>
                      <w:rFonts w:hint="eastAsia" w:ascii="TT5Co00" w:hAnsi="TT5Co00"/>
                      <w:b w:val="0"/>
                      <w:bCs w:val="0"/>
                      <w:sz w:val="21"/>
                      <w:szCs w:val="21"/>
                      <w:vertAlign w:val="baseline"/>
                      <w:lang w:val="en-US" w:eastAsia="zh-CN"/>
                    </w:rPr>
                    <w:t>颗粒物</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0.1271</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7.33</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30</w:t>
                  </w:r>
                </w:p>
              </w:tc>
              <w:tc>
                <w:tcPr>
                  <w:tcW w:w="1168" w:type="dxa"/>
                  <w:tcBorders>
                    <w:tl2br w:val="nil"/>
                    <w:tr2bl w:val="nil"/>
                  </w:tcBorders>
                  <w:vAlign w:val="center"/>
                </w:tcPr>
                <w:p>
                  <w:pPr>
                    <w:jc w:val="center"/>
                    <w:rPr>
                      <w:rFonts w:hint="eastAsia" w:ascii="Times New Roman" w:hAnsi="Times New Roman" w:cs="Times New Roman"/>
                      <w:color w:val="auto"/>
                      <w:szCs w:val="21"/>
                      <w:u w:val="none"/>
                      <w:lang w:val="en-US" w:eastAsia="zh-CN"/>
                    </w:rPr>
                  </w:pPr>
                  <w:r>
                    <w:rPr>
                      <w:rFonts w:hint="eastAsia"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363"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615" w:type="dxa"/>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eastAsia" w:cs="Times New Roman"/>
                      <w:szCs w:val="21"/>
                      <w:lang w:val="en-US" w:eastAsia="zh-CN"/>
                    </w:rPr>
                    <w:t>2</w:t>
                  </w:r>
                  <w:r>
                    <w:rPr>
                      <w:rFonts w:hint="eastAsia" w:ascii="Times New Roman" w:hAnsi="Times New Roman" w:cs="Times New Roman"/>
                      <w:szCs w:val="21"/>
                      <w:lang w:val="en-US" w:eastAsia="zh-CN"/>
                    </w:rPr>
                    <w:t>#车间</w:t>
                  </w:r>
                </w:p>
              </w:tc>
              <w:tc>
                <w:tcPr>
                  <w:tcW w:w="1162"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0.0005</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5.4</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60</w:t>
                  </w:r>
                </w:p>
              </w:tc>
              <w:tc>
                <w:tcPr>
                  <w:tcW w:w="1168" w:type="dxa"/>
                  <w:tcBorders>
                    <w:tl2br w:val="nil"/>
                    <w:tr2bl w:val="nil"/>
                  </w:tcBorders>
                  <w:vAlign w:val="center"/>
                </w:tcPr>
                <w:p>
                  <w:pPr>
                    <w:jc w:val="center"/>
                    <w:rPr>
                      <w:rFonts w:hint="eastAsia"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363"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615"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162" w:type="dxa"/>
                  <w:tcBorders>
                    <w:tl2br w:val="nil"/>
                    <w:tr2bl w:val="nil"/>
                  </w:tcBorders>
                  <w:vAlign w:val="center"/>
                </w:tcPr>
                <w:p>
                  <w:pPr>
                    <w:jc w:val="center"/>
                    <w:rPr>
                      <w:rFonts w:hint="default" w:ascii="Times New Roman" w:hAnsi="Times New Roman" w:cs="Times New Roman"/>
                      <w:color w:val="auto"/>
                      <w:szCs w:val="21"/>
                      <w:u w:val="none"/>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15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0.0176</w:t>
                  </w:r>
                </w:p>
              </w:tc>
              <w:tc>
                <w:tcPr>
                  <w:tcW w:w="13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8.78</w:t>
                  </w:r>
                </w:p>
              </w:tc>
              <w:tc>
                <w:tcPr>
                  <w:tcW w:w="1442"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60</w:t>
                  </w:r>
                </w:p>
              </w:tc>
              <w:tc>
                <w:tcPr>
                  <w:tcW w:w="1168" w:type="dxa"/>
                  <w:tcBorders>
                    <w:tl2br w:val="nil"/>
                    <w:tr2bl w:val="nil"/>
                  </w:tcBorders>
                  <w:vAlign w:val="center"/>
                </w:tcPr>
                <w:p>
                  <w:pPr>
                    <w:jc w:val="center"/>
                    <w:rPr>
                      <w:rFonts w:hint="eastAsia"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r>
          </w:tbl>
          <w:p>
            <w:pPr>
              <w:adjustRightInd w:val="0"/>
              <w:snapToGrid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由上述预测结果可知，本项目正常工况下</w:t>
            </w:r>
            <w:r>
              <w:rPr>
                <w:rFonts w:hint="eastAsia" w:ascii="Times New Roman" w:hAnsi="Times New Roman" w:cs="Times New Roman"/>
                <w:color w:val="auto"/>
                <w:sz w:val="24"/>
                <w:u w:val="none"/>
                <w:lang w:val="en-US" w:eastAsia="zh-CN"/>
              </w:rPr>
              <w:t>颗粒物</w:t>
            </w:r>
            <w:r>
              <w:rPr>
                <w:rFonts w:hint="default" w:ascii="Times New Roman" w:hAnsi="Times New Roman" w:cs="Times New Roman"/>
                <w:color w:val="auto"/>
                <w:sz w:val="24"/>
                <w:u w:val="none"/>
              </w:rPr>
              <w:t>最大落地浓度占标率（P</w:t>
            </w:r>
            <w:r>
              <w:rPr>
                <w:rFonts w:hint="default" w:ascii="Times New Roman" w:hAnsi="Times New Roman" w:cs="Times New Roman"/>
                <w:color w:val="auto"/>
                <w:sz w:val="24"/>
                <w:u w:val="none"/>
                <w:vertAlign w:val="subscript"/>
              </w:rPr>
              <w:t>max</w:t>
            </w:r>
            <w:r>
              <w:rPr>
                <w:rFonts w:hint="default" w:ascii="Times New Roman" w:hAnsi="Times New Roman" w:cs="Times New Roman"/>
                <w:color w:val="auto"/>
                <w:sz w:val="24"/>
                <w:u w:val="none"/>
              </w:rPr>
              <w:t>）为</w:t>
            </w:r>
            <w:r>
              <w:rPr>
                <w:rFonts w:hint="eastAsia" w:cs="Times New Roman"/>
                <w:color w:val="auto"/>
                <w:sz w:val="24"/>
                <w:u w:val="none"/>
                <w:lang w:val="en-US" w:eastAsia="zh-CN"/>
              </w:rPr>
              <w:t>7.33</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rPr>
              <w:t>H</w:t>
            </w:r>
            <w:r>
              <w:rPr>
                <w:rFonts w:hint="eastAsia" w:ascii="Times New Roman" w:hAnsi="Times New Roman" w:cs="Times New Roman"/>
                <w:color w:val="auto"/>
                <w:sz w:val="24"/>
                <w:u w:val="none"/>
                <w:vertAlign w:val="subscript"/>
              </w:rPr>
              <w:t>2</w:t>
            </w:r>
            <w:r>
              <w:rPr>
                <w:rFonts w:hint="eastAsia" w:ascii="Times New Roman" w:hAnsi="Times New Roman" w:cs="Times New Roman"/>
                <w:color w:val="auto"/>
                <w:sz w:val="24"/>
                <w:u w:val="none"/>
              </w:rPr>
              <w:t>S</w:t>
            </w:r>
            <w:r>
              <w:rPr>
                <w:rFonts w:hint="default" w:ascii="Times New Roman" w:hAnsi="Times New Roman" w:cs="Times New Roman"/>
                <w:color w:val="auto"/>
                <w:sz w:val="24"/>
                <w:u w:val="none"/>
              </w:rPr>
              <w:t>最大落地浓度占标率（P</w:t>
            </w:r>
            <w:r>
              <w:rPr>
                <w:rFonts w:hint="default" w:ascii="Times New Roman" w:hAnsi="Times New Roman" w:cs="Times New Roman"/>
                <w:color w:val="auto"/>
                <w:sz w:val="24"/>
                <w:u w:val="none"/>
                <w:vertAlign w:val="subscript"/>
              </w:rPr>
              <w:t>max</w:t>
            </w:r>
            <w:r>
              <w:rPr>
                <w:rFonts w:hint="default" w:ascii="Times New Roman" w:hAnsi="Times New Roman" w:cs="Times New Roman"/>
                <w:color w:val="auto"/>
                <w:sz w:val="24"/>
                <w:u w:val="none"/>
              </w:rPr>
              <w:t>）为</w:t>
            </w:r>
            <w:r>
              <w:rPr>
                <w:rFonts w:hint="eastAsia" w:ascii="Times New Roman" w:hAnsi="Times New Roman" w:cs="Times New Roman"/>
                <w:color w:val="auto"/>
                <w:sz w:val="24"/>
                <w:u w:val="none"/>
                <w:lang w:val="en-US" w:eastAsia="zh-CN"/>
              </w:rPr>
              <w:t>7.81</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rPr>
              <w:t>NH</w:t>
            </w:r>
            <w:r>
              <w:rPr>
                <w:rFonts w:hint="eastAsia" w:ascii="Times New Roman" w:hAnsi="Times New Roman" w:cs="Times New Roman"/>
                <w:color w:val="auto"/>
                <w:sz w:val="24"/>
                <w:u w:val="none"/>
                <w:vertAlign w:val="subscript"/>
              </w:rPr>
              <w:t>3</w:t>
            </w:r>
            <w:r>
              <w:rPr>
                <w:rFonts w:hint="default" w:ascii="Times New Roman" w:hAnsi="Times New Roman" w:cs="Times New Roman"/>
                <w:color w:val="auto"/>
                <w:sz w:val="24"/>
                <w:u w:val="none"/>
              </w:rPr>
              <w:t>最大落地浓度占标率（P</w:t>
            </w:r>
            <w:r>
              <w:rPr>
                <w:rFonts w:hint="default" w:ascii="Times New Roman" w:hAnsi="Times New Roman" w:cs="Times New Roman"/>
                <w:color w:val="auto"/>
                <w:sz w:val="24"/>
                <w:u w:val="none"/>
                <w:vertAlign w:val="subscript"/>
              </w:rPr>
              <w:t>max</w:t>
            </w:r>
            <w:r>
              <w:rPr>
                <w:rFonts w:hint="default" w:ascii="Times New Roman" w:hAnsi="Times New Roman" w:cs="Times New Roman"/>
                <w:color w:val="auto"/>
                <w:sz w:val="24"/>
                <w:u w:val="none"/>
              </w:rPr>
              <w:t>）为</w:t>
            </w:r>
            <w:r>
              <w:rPr>
                <w:rFonts w:hint="eastAsia" w:ascii="Times New Roman" w:hAnsi="Times New Roman" w:cs="Times New Roman"/>
                <w:color w:val="auto"/>
                <w:sz w:val="24"/>
                <w:u w:val="none"/>
                <w:lang w:val="en-US" w:eastAsia="zh-CN"/>
              </w:rPr>
              <w:t>8.96</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u w:val="none"/>
              </w:rPr>
              <w:t>因此</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u w:val="none"/>
              </w:rPr>
              <w:t>确定本项目大气环境影响评价等级为</w:t>
            </w:r>
            <w:r>
              <w:rPr>
                <w:rFonts w:hint="eastAsia" w:ascii="Times New Roman" w:hAnsi="Times New Roman" w:cs="Times New Roman"/>
                <w:color w:val="auto"/>
                <w:sz w:val="24"/>
                <w:u w:val="none"/>
                <w:lang w:eastAsia="zh-CN"/>
              </w:rPr>
              <w:t>二</w:t>
            </w:r>
            <w:r>
              <w:rPr>
                <w:rFonts w:hint="default" w:ascii="Times New Roman" w:hAnsi="Times New Roman" w:cs="Times New Roman"/>
                <w:color w:val="auto"/>
                <w:sz w:val="24"/>
                <w:u w:val="none"/>
              </w:rPr>
              <w:t>级。</w:t>
            </w:r>
          </w:p>
          <w:p>
            <w:pPr>
              <w:adjustRightInd w:val="0"/>
              <w:snapToGrid w:val="0"/>
              <w:spacing w:line="360" w:lineRule="auto"/>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（2）评价范围</w:t>
            </w:r>
          </w:p>
          <w:p>
            <w:pPr>
              <w:adjustRightInd w:val="0"/>
              <w:snapToGrid w:val="0"/>
              <w:spacing w:line="360" w:lineRule="auto"/>
              <w:ind w:firstLine="480" w:firstLineChars="200"/>
              <w:rPr>
                <w:rFonts w:hint="eastAsia" w:ascii="Times New Roman" w:hAnsi="Times New Roman" w:cs="Times New Roman"/>
                <w:sz w:val="24"/>
                <w:u w:val="none"/>
              </w:rPr>
            </w:pPr>
            <w:r>
              <w:rPr>
                <w:rFonts w:hint="default" w:ascii="Times New Roman" w:hAnsi="Times New Roman" w:cs="Times New Roman"/>
                <w:sz w:val="24"/>
                <w:u w:val="none"/>
              </w:rPr>
              <w:t>根据《环境影响评价技术导则 大气环境》（HJ2.2-2018）</w:t>
            </w:r>
            <w:r>
              <w:rPr>
                <w:rFonts w:hint="eastAsia" w:ascii="Times New Roman" w:hAnsi="Times New Roman" w:cs="Times New Roman"/>
                <w:sz w:val="24"/>
                <w:u w:val="none"/>
                <w:lang w:eastAsia="zh-CN"/>
              </w:rPr>
              <w:t>，二</w:t>
            </w:r>
            <w:r>
              <w:rPr>
                <w:rFonts w:hint="eastAsia" w:ascii="Times New Roman" w:hAnsi="Times New Roman" w:cs="Times New Roman"/>
                <w:sz w:val="24"/>
                <w:u w:val="none"/>
              </w:rPr>
              <w:t>级评价项目大气环境影响评价范围边长取5km。</w:t>
            </w:r>
          </w:p>
          <w:p>
            <w:pPr>
              <w:adjustRightInd w:val="0"/>
              <w:snapToGrid w:val="0"/>
              <w:spacing w:line="360" w:lineRule="auto"/>
              <w:ind w:firstLine="480" w:firstLineChars="200"/>
              <w:rPr>
                <w:rFonts w:hint="default" w:ascii="Times New Roman" w:hAnsi="Times New Roman" w:cs="Times New Roman"/>
                <w:b/>
                <w:bCs/>
                <w:sz w:val="24"/>
                <w:lang w:val="en-US" w:eastAsia="zh-CN"/>
              </w:rPr>
            </w:pPr>
            <w:r>
              <w:rPr>
                <w:rFonts w:hint="eastAsia" w:cs="Times New Roman"/>
                <w:b w:val="0"/>
                <w:bCs w:val="0"/>
                <w:sz w:val="24"/>
                <w:lang w:val="en-US" w:eastAsia="zh-CN"/>
              </w:rPr>
              <w:t>2、</w:t>
            </w:r>
            <w:r>
              <w:rPr>
                <w:rFonts w:hint="default" w:cs="Times New Roman"/>
                <w:b w:val="0"/>
                <w:bCs w:val="0"/>
                <w:sz w:val="24"/>
                <w:lang w:val="en-US" w:eastAsia="zh-CN"/>
              </w:rPr>
              <w:t>地表水环境</w:t>
            </w:r>
          </w:p>
          <w:p>
            <w:pPr>
              <w:pStyle w:val="74"/>
              <w:ind w:firstLine="480"/>
              <w:rPr>
                <w:rFonts w:hint="default" w:ascii="Times New Roman" w:hAnsi="Times New Roman" w:cs="Times New Roman"/>
              </w:rPr>
            </w:pPr>
            <w:r>
              <w:rPr>
                <w:rFonts w:hint="default" w:ascii="Times New Roman" w:hAnsi="Times New Roman" w:eastAsia="宋体" w:cs="Times New Roman"/>
                <w:kern w:val="2"/>
                <w:sz w:val="24"/>
                <w:szCs w:val="24"/>
                <w:u w:val="none"/>
                <w:lang w:val="en-US" w:eastAsia="zh-CN" w:bidi="ar-SA"/>
              </w:rPr>
              <w:t>（1）评价工作等级</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根据《环境影响评价技术导则 地面水环境》（HJ2.3-2018）评价等级划分原则， 本项目外排废水经厂区</w:t>
            </w:r>
            <w:r>
              <w:rPr>
                <w:rFonts w:hint="eastAsia" w:ascii="Times New Roman" w:hAnsi="Times New Roman" w:cs="Times New Roman"/>
                <w:sz w:val="24"/>
                <w:lang w:eastAsia="zh-CN"/>
              </w:rPr>
              <w:t>化粪池</w:t>
            </w:r>
            <w:r>
              <w:rPr>
                <w:rFonts w:hint="default" w:ascii="Times New Roman" w:hAnsi="Times New Roman" w:cs="Times New Roman"/>
                <w:sz w:val="24"/>
              </w:rPr>
              <w:t>处理后经</w:t>
            </w:r>
            <w:r>
              <w:rPr>
                <w:rFonts w:hint="eastAsia" w:ascii="Times New Roman" w:hAnsi="Times New Roman" w:cs="Times New Roman"/>
                <w:sz w:val="24"/>
                <w:lang w:eastAsia="zh-CN"/>
              </w:rPr>
              <w:t>市政污水管网排入津市高新区工业污水处理厂</w:t>
            </w:r>
            <w:r>
              <w:rPr>
                <w:rFonts w:hint="default" w:ascii="Times New Roman" w:hAnsi="Times New Roman" w:cs="Times New Roman"/>
                <w:sz w:val="24"/>
              </w:rPr>
              <w:t>，属于间接排放，因此确定本</w:t>
            </w:r>
            <w:r>
              <w:rPr>
                <w:rFonts w:hint="eastAsia" w:ascii="Times New Roman" w:hAnsi="Times New Roman" w:cs="Times New Roman"/>
                <w:sz w:val="24"/>
                <w:lang w:eastAsia="zh-CN"/>
              </w:rPr>
              <w:t>项目</w:t>
            </w:r>
            <w:r>
              <w:rPr>
                <w:rFonts w:hint="default" w:ascii="Times New Roman" w:hAnsi="Times New Roman" w:cs="Times New Roman"/>
                <w:sz w:val="24"/>
              </w:rPr>
              <w:t>地表水评价工作等级为三级B</w:t>
            </w:r>
            <w:r>
              <w:rPr>
                <w:rFonts w:hint="eastAsia" w:ascii="Times New Roman" w:hAnsi="Times New Roman" w:cs="Times New Roman"/>
                <w:sz w:val="24"/>
                <w:lang w:val="en-US" w:eastAsia="zh-CN"/>
              </w:rPr>
              <w:t>，</w:t>
            </w:r>
            <w:r>
              <w:rPr>
                <w:rFonts w:hint="default" w:ascii="Times New Roman" w:hAnsi="Times New Roman" w:cs="Times New Roman"/>
                <w:sz w:val="24"/>
              </w:rPr>
              <w:t>本项目地表水环境影响评价等级确定的依据见表</w:t>
            </w:r>
            <w:r>
              <w:rPr>
                <w:rFonts w:hint="eastAsia" w:cs="Times New Roman"/>
                <w:sz w:val="24"/>
                <w:lang w:val="en-US" w:eastAsia="zh-CN"/>
              </w:rPr>
              <w:t>1-11</w:t>
            </w:r>
            <w:r>
              <w:rPr>
                <w:rFonts w:hint="default" w:ascii="Times New Roman" w:hAnsi="Times New Roman" w:cs="Times New Roman"/>
                <w:sz w:val="24"/>
              </w:rPr>
              <w:t>。</w:t>
            </w:r>
          </w:p>
          <w:p>
            <w:pPr>
              <w:adjustRightInd w:val="0"/>
              <w:snapToGrid w:val="0"/>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cs="Times New Roman"/>
                <w:b/>
                <w:bCs/>
                <w:sz w:val="21"/>
                <w:szCs w:val="21"/>
                <w:lang w:val="en-US" w:eastAsia="zh-CN"/>
              </w:rPr>
              <w:t>1-11</w:t>
            </w:r>
            <w:r>
              <w:rPr>
                <w:rFonts w:hint="default" w:ascii="Times New Roman" w:hAnsi="Times New Roman" w:cs="Times New Roman"/>
                <w:b/>
                <w:bCs/>
                <w:sz w:val="21"/>
                <w:szCs w:val="21"/>
              </w:rPr>
              <w:t xml:space="preserve">  地表水环境影响评价等级确定标准</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7"/>
              <w:gridCol w:w="1699"/>
              <w:gridCol w:w="54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default" w:ascii="Times New Roman" w:hAnsi="Times New Roman" w:cs="Times New Roman"/>
                      <w:b/>
                      <w:bCs/>
                      <w:color w:val="auto"/>
                      <w:szCs w:val="21"/>
                      <w:u w:val="none"/>
                      <w:lang w:val="en-US" w:eastAsia="zh-CN"/>
                    </w:rPr>
                    <w:t>评价等级</w:t>
                  </w:r>
                </w:p>
              </w:tc>
              <w:tc>
                <w:tcPr>
                  <w:tcW w:w="716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default" w:ascii="Times New Roman" w:hAnsi="Times New Roman" w:cs="Times New Roman"/>
                      <w:b/>
                      <w:bCs/>
                      <w:color w:val="auto"/>
                      <w:szCs w:val="21"/>
                      <w:u w:val="none"/>
                      <w:lang w:val="en-US" w:eastAsia="zh-CN"/>
                    </w:rPr>
                    <w:t>判定依据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p>
              </w:tc>
              <w:tc>
                <w:tcPr>
                  <w:tcW w:w="169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Cs w:val="21"/>
                      <w:u w:val="none"/>
                      <w:lang w:val="en-US" w:eastAsia="zh-CN"/>
                    </w:rPr>
                  </w:pPr>
                  <w:r>
                    <w:rPr>
                      <w:rFonts w:hint="eastAsia" w:ascii="Times New Roman" w:hAnsi="Times New Roman" w:cs="Times New Roman"/>
                      <w:b/>
                      <w:bCs/>
                      <w:color w:val="auto"/>
                      <w:szCs w:val="21"/>
                      <w:u w:val="none"/>
                      <w:lang w:val="en-US" w:eastAsia="zh-CN"/>
                    </w:rPr>
                    <w:t>排放方式</w:t>
                  </w:r>
                </w:p>
              </w:tc>
              <w:tc>
                <w:tcPr>
                  <w:tcW w:w="546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Cs w:val="21"/>
                      <w:u w:val="none"/>
                      <w:lang w:val="en-US" w:eastAsia="zh-CN"/>
                    </w:rPr>
                  </w:pPr>
                  <w:r>
                    <w:rPr>
                      <w:rFonts w:hint="default" w:ascii="Times New Roman" w:hAnsi="Times New Roman" w:cs="Times New Roman"/>
                      <w:b/>
                      <w:bCs/>
                      <w:color w:val="auto"/>
                      <w:szCs w:val="21"/>
                      <w:u w:val="none"/>
                      <w:lang w:val="en-US" w:eastAsia="zh-CN"/>
                    </w:rPr>
                    <w:t>废水排放量 Q/（m</w:t>
                  </w:r>
                  <w:r>
                    <w:rPr>
                      <w:rFonts w:hint="default" w:ascii="Times New Roman" w:hAnsi="Times New Roman" w:cs="Times New Roman"/>
                      <w:b/>
                      <w:bCs/>
                      <w:color w:val="auto"/>
                      <w:szCs w:val="21"/>
                      <w:u w:val="none"/>
                      <w:vertAlign w:val="superscript"/>
                      <w:lang w:val="en-US" w:eastAsia="zh-CN"/>
                    </w:rPr>
                    <w:t>3</w:t>
                  </w:r>
                  <w:r>
                    <w:rPr>
                      <w:rFonts w:hint="default" w:ascii="Times New Roman" w:hAnsi="Times New Roman" w:cs="Times New Roman"/>
                      <w:b/>
                      <w:bCs/>
                      <w:color w:val="auto"/>
                      <w:szCs w:val="21"/>
                      <w:u w:val="none"/>
                      <w:lang w:val="en-US" w:eastAsia="zh-CN"/>
                    </w:rPr>
                    <w:t>/d）；水污染物当量数 W/（无量纲）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一级</w:t>
                  </w:r>
                </w:p>
              </w:tc>
              <w:tc>
                <w:tcPr>
                  <w:tcW w:w="16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直接排放</w:t>
                  </w:r>
                </w:p>
              </w:tc>
              <w:tc>
                <w:tcPr>
                  <w:tcW w:w="54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default" w:ascii="Times New Roman" w:hAnsi="Times New Roman" w:cs="Times New Roman"/>
                      <w:color w:val="auto"/>
                      <w:szCs w:val="21"/>
                      <w:u w:val="none"/>
                      <w:lang w:val="en-US" w:eastAsia="zh-CN"/>
                    </w:rPr>
                    <w:t>Q≥20000 或 W≥500000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c>
                <w:tcPr>
                  <w:tcW w:w="16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直接排放</w:t>
                  </w:r>
                </w:p>
              </w:tc>
              <w:tc>
                <w:tcPr>
                  <w:tcW w:w="54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default" w:ascii="宋体" w:hAnsi="宋体" w:eastAsia="宋体" w:cs="宋体"/>
                      <w:sz w:val="21"/>
                      <w:szCs w:val="21"/>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三级A</w:t>
                  </w:r>
                </w:p>
              </w:tc>
              <w:tc>
                <w:tcPr>
                  <w:tcW w:w="16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直接排放</w:t>
                  </w:r>
                </w:p>
              </w:tc>
              <w:tc>
                <w:tcPr>
                  <w:tcW w:w="54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default" w:ascii="Times New Roman" w:hAnsi="Times New Roman" w:cs="Times New Roman"/>
                      <w:color w:val="auto"/>
                      <w:szCs w:val="21"/>
                      <w:u w:val="none"/>
                      <w:lang w:val="en-US" w:eastAsia="zh-CN"/>
                    </w:rPr>
                    <w:t>Q＜200 且 W＜6000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7" w:type="dxa"/>
                  <w:tcBorders>
                    <w:tl2br w:val="nil"/>
                    <w:tr2bl w:val="nil"/>
                  </w:tcBorders>
                  <w:shd w:val="clear" w:color="auto" w:fill="5FE7EF"/>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三级B</w:t>
                  </w:r>
                </w:p>
              </w:tc>
              <w:tc>
                <w:tcPr>
                  <w:tcW w:w="1699" w:type="dxa"/>
                  <w:tcBorders>
                    <w:tl2br w:val="nil"/>
                    <w:tr2bl w:val="nil"/>
                  </w:tcBorders>
                  <w:shd w:val="clear" w:color="auto" w:fill="5FE7EF"/>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间接排放</w:t>
                  </w:r>
                </w:p>
              </w:tc>
              <w:tc>
                <w:tcPr>
                  <w:tcW w:w="5461" w:type="dxa"/>
                  <w:tcBorders>
                    <w:tl2br w:val="nil"/>
                    <w:tr2bl w:val="nil"/>
                  </w:tcBorders>
                  <w:shd w:val="clear" w:color="auto" w:fill="5FE7EF"/>
                  <w:vAlign w:val="center"/>
                </w:tcPr>
                <w:p>
                  <w:pPr>
                    <w:spacing w:line="240" w:lineRule="auto"/>
                    <w:ind w:firstLine="0" w:firstLineChars="0"/>
                    <w:jc w:val="center"/>
                    <w:rPr>
                      <w:rFonts w:hint="default" w:ascii="Times New Roman" w:hAnsi="Times New Roman" w:cs="Times New Roman"/>
                      <w:color w:val="auto"/>
                      <w:szCs w:val="21"/>
                      <w:u w:val="none"/>
                      <w:lang w:val="en-US" w:eastAsia="zh-CN"/>
                    </w:rPr>
                  </w:pPr>
                  <w:r>
                    <w:rPr>
                      <w:rFonts w:ascii="Times New Roman"/>
                      <w:sz w:val="21"/>
                    </w:rPr>
                    <w:t>---</w:t>
                  </w:r>
                </w:p>
              </w:tc>
            </w:tr>
          </w:tbl>
          <w:p>
            <w:pPr>
              <w:adjustRightInd w:val="0"/>
              <w:snapToGrid w:val="0"/>
              <w:spacing w:line="360" w:lineRule="auto"/>
              <w:ind w:firstLine="480" w:firstLineChars="200"/>
              <w:rPr>
                <w:rFonts w:hint="default" w:cs="Times New Roman"/>
                <w:b w:val="0"/>
                <w:bCs w:val="0"/>
                <w:sz w:val="24"/>
                <w:lang w:val="en-US" w:eastAsia="zh-CN"/>
              </w:rPr>
            </w:pPr>
            <w:r>
              <w:rPr>
                <w:rFonts w:hint="eastAsia" w:cs="Times New Roman"/>
                <w:b w:val="0"/>
                <w:bCs w:val="0"/>
                <w:sz w:val="24"/>
                <w:lang w:val="en-US" w:eastAsia="zh-CN"/>
              </w:rPr>
              <w:t>3、</w:t>
            </w:r>
            <w:r>
              <w:rPr>
                <w:rFonts w:hint="default" w:cs="Times New Roman"/>
                <w:b w:val="0"/>
                <w:bCs w:val="0"/>
                <w:sz w:val="24"/>
                <w:lang w:val="en-US" w:eastAsia="zh-CN"/>
              </w:rPr>
              <w:t>地下水环境</w:t>
            </w:r>
          </w:p>
          <w:p>
            <w:pPr>
              <w:adjustRightInd w:val="0"/>
              <w:snapToGrid w:val="0"/>
              <w:spacing w:line="360" w:lineRule="auto"/>
              <w:ind w:firstLine="480" w:firstLineChars="200"/>
              <w:rPr>
                <w:sz w:val="24"/>
                <w:szCs w:val="24"/>
              </w:rPr>
            </w:pPr>
            <w:r>
              <w:rPr>
                <w:sz w:val="24"/>
                <w:szCs w:val="24"/>
              </w:rPr>
              <w:t>根据《环境影响评价技术导则—地下水环境》（HJ610-2016），建设项目地下水环境影响评价工作等级的划分应依据建设项目行业分类和地下水环境敏感程度分级进行判定。</w:t>
            </w:r>
          </w:p>
          <w:p>
            <w:pPr>
              <w:adjustRightInd w:val="0"/>
              <w:snapToGrid w:val="0"/>
              <w:spacing w:line="360" w:lineRule="auto"/>
              <w:ind w:firstLine="480" w:firstLineChars="200"/>
            </w:pPr>
            <w:r>
              <w:rPr>
                <w:sz w:val="24"/>
                <w:szCs w:val="24"/>
              </w:rPr>
              <w:t>对照《环境影响评价技术导则—地下水环境》（HJ610-2016）附录A确定本项目所述地下水环境影响项目类别。</w:t>
            </w:r>
          </w:p>
          <w:p>
            <w:pPr>
              <w:adjustRightInd w:val="0"/>
              <w:snapToGrid w:val="0"/>
              <w:spacing w:line="360" w:lineRule="auto"/>
              <w:jc w:val="center"/>
              <w:rPr>
                <w:b/>
                <w:szCs w:val="21"/>
              </w:rPr>
            </w:pPr>
            <w:r>
              <w:rPr>
                <w:b/>
                <w:szCs w:val="21"/>
              </w:rPr>
              <w:t>表1-1</w:t>
            </w:r>
            <w:r>
              <w:rPr>
                <w:rFonts w:hint="eastAsia"/>
                <w:b/>
                <w:szCs w:val="21"/>
                <w:lang w:val="en-US" w:eastAsia="zh-CN"/>
              </w:rPr>
              <w:t>2</w:t>
            </w:r>
            <w:r>
              <w:rPr>
                <w:b/>
                <w:szCs w:val="21"/>
              </w:rPr>
              <w:t xml:space="preserve">  地下水环境影响评价行业分类表</w:t>
            </w:r>
          </w:p>
          <w:tbl>
            <w:tblPr>
              <w:tblStyle w:val="23"/>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2061"/>
              <w:gridCol w:w="700"/>
              <w:gridCol w:w="1855"/>
              <w:gridCol w:w="1120"/>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168" w:type="dxa"/>
                  <w:vMerge w:val="restart"/>
                  <w:tcBorders>
                    <w:tl2br w:val="single" w:color="auto" w:sz="4" w:space="0"/>
                  </w:tcBorders>
                </w:tcPr>
                <w:p>
                  <w:pPr>
                    <w:jc w:val="right"/>
                    <w:rPr>
                      <w:b/>
                      <w:szCs w:val="21"/>
                    </w:rPr>
                  </w:pPr>
                  <w:r>
                    <w:rPr>
                      <w:b/>
                      <w:szCs w:val="21"/>
                    </w:rPr>
                    <w:t>环评类别</w:t>
                  </w:r>
                </w:p>
                <w:p>
                  <w:pPr>
                    <w:rPr>
                      <w:b/>
                      <w:szCs w:val="21"/>
                    </w:rPr>
                  </w:pPr>
                  <w:r>
                    <w:rPr>
                      <w:b/>
                      <w:szCs w:val="21"/>
                    </w:rPr>
                    <w:t>项目类别</w:t>
                  </w:r>
                </w:p>
              </w:tc>
              <w:tc>
                <w:tcPr>
                  <w:tcW w:w="2061" w:type="dxa"/>
                  <w:vMerge w:val="restart"/>
                  <w:vAlign w:val="center"/>
                </w:tcPr>
                <w:p>
                  <w:pPr>
                    <w:jc w:val="center"/>
                    <w:rPr>
                      <w:b/>
                      <w:szCs w:val="21"/>
                    </w:rPr>
                  </w:pPr>
                  <w:r>
                    <w:rPr>
                      <w:b/>
                      <w:szCs w:val="21"/>
                    </w:rPr>
                    <w:t>报告书</w:t>
                  </w:r>
                </w:p>
              </w:tc>
              <w:tc>
                <w:tcPr>
                  <w:tcW w:w="700" w:type="dxa"/>
                  <w:vMerge w:val="restart"/>
                  <w:vAlign w:val="center"/>
                </w:tcPr>
                <w:p>
                  <w:pPr>
                    <w:jc w:val="center"/>
                    <w:rPr>
                      <w:b/>
                      <w:szCs w:val="21"/>
                    </w:rPr>
                  </w:pPr>
                  <w:r>
                    <w:rPr>
                      <w:b/>
                      <w:szCs w:val="21"/>
                    </w:rPr>
                    <w:t>报告表</w:t>
                  </w:r>
                </w:p>
              </w:tc>
              <w:tc>
                <w:tcPr>
                  <w:tcW w:w="2975" w:type="dxa"/>
                  <w:gridSpan w:val="2"/>
                  <w:vAlign w:val="center"/>
                </w:tcPr>
                <w:p>
                  <w:pPr>
                    <w:jc w:val="center"/>
                    <w:rPr>
                      <w:b/>
                      <w:szCs w:val="21"/>
                    </w:rPr>
                  </w:pPr>
                  <w:r>
                    <w:rPr>
                      <w:b/>
                      <w:szCs w:val="21"/>
                    </w:rPr>
                    <w:t>地下水环境影响评价项目类别</w:t>
                  </w:r>
                </w:p>
              </w:tc>
              <w:tc>
                <w:tcPr>
                  <w:tcW w:w="714" w:type="dxa"/>
                  <w:vMerge w:val="restart"/>
                  <w:vAlign w:val="center"/>
                </w:tcPr>
                <w:p>
                  <w:pPr>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168" w:type="dxa"/>
                  <w:vMerge w:val="continue"/>
                  <w:tcBorders>
                    <w:tl2br w:val="single" w:color="auto" w:sz="4" w:space="0"/>
                  </w:tcBorders>
                </w:tcPr>
                <w:p>
                  <w:pPr>
                    <w:rPr>
                      <w:b/>
                      <w:szCs w:val="21"/>
                    </w:rPr>
                  </w:pPr>
                </w:p>
              </w:tc>
              <w:tc>
                <w:tcPr>
                  <w:tcW w:w="2061" w:type="dxa"/>
                  <w:vMerge w:val="continue"/>
                  <w:vAlign w:val="center"/>
                </w:tcPr>
                <w:p>
                  <w:pPr>
                    <w:rPr>
                      <w:b/>
                      <w:szCs w:val="21"/>
                    </w:rPr>
                  </w:pPr>
                </w:p>
              </w:tc>
              <w:tc>
                <w:tcPr>
                  <w:tcW w:w="700" w:type="dxa"/>
                  <w:vMerge w:val="continue"/>
                  <w:vAlign w:val="center"/>
                </w:tcPr>
                <w:p>
                  <w:pPr>
                    <w:rPr>
                      <w:b/>
                      <w:szCs w:val="21"/>
                    </w:rPr>
                  </w:pPr>
                </w:p>
              </w:tc>
              <w:tc>
                <w:tcPr>
                  <w:tcW w:w="1855" w:type="dxa"/>
                  <w:vAlign w:val="center"/>
                </w:tcPr>
                <w:p>
                  <w:pPr>
                    <w:jc w:val="center"/>
                    <w:rPr>
                      <w:b/>
                      <w:szCs w:val="21"/>
                    </w:rPr>
                  </w:pPr>
                  <w:r>
                    <w:rPr>
                      <w:b/>
                      <w:szCs w:val="21"/>
                    </w:rPr>
                    <w:t>报告书</w:t>
                  </w:r>
                </w:p>
              </w:tc>
              <w:tc>
                <w:tcPr>
                  <w:tcW w:w="1120" w:type="dxa"/>
                  <w:vAlign w:val="center"/>
                </w:tcPr>
                <w:p>
                  <w:pPr>
                    <w:jc w:val="center"/>
                    <w:rPr>
                      <w:b/>
                      <w:szCs w:val="21"/>
                    </w:rPr>
                  </w:pPr>
                  <w:r>
                    <w:rPr>
                      <w:b/>
                      <w:szCs w:val="21"/>
                    </w:rPr>
                    <w:t>报告表</w:t>
                  </w:r>
                </w:p>
              </w:tc>
              <w:tc>
                <w:tcPr>
                  <w:tcW w:w="714" w:type="dxa"/>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4" w:type="dxa"/>
                  <w:gridSpan w:val="5"/>
                </w:tcPr>
                <w:p>
                  <w:pPr>
                    <w:rPr>
                      <w:b/>
                      <w:bCs/>
                      <w:szCs w:val="21"/>
                    </w:rPr>
                  </w:pPr>
                  <w:r>
                    <w:rPr>
                      <w:rFonts w:hint="eastAsia"/>
                      <w:b/>
                      <w:bCs/>
                      <w:szCs w:val="21"/>
                    </w:rPr>
                    <w:t>N轻工</w:t>
                  </w:r>
                </w:p>
              </w:tc>
              <w:tc>
                <w:tcPr>
                  <w:tcW w:w="714" w:type="dxa"/>
                  <w:vMerge w:val="restar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68" w:type="dxa"/>
                  <w:vAlign w:val="center"/>
                </w:tcPr>
                <w:p>
                  <w:pPr>
                    <w:spacing w:line="240" w:lineRule="auto"/>
                    <w:jc w:val="center"/>
                    <w:rPr>
                      <w:rFonts w:hint="eastAsia" w:eastAsia="宋体"/>
                      <w:szCs w:val="21"/>
                      <w:lang w:eastAsia="zh-CN"/>
                    </w:rPr>
                  </w:pPr>
                  <w:r>
                    <w:rPr>
                      <w:rFonts w:hint="eastAsia"/>
                      <w:szCs w:val="21"/>
                      <w:lang w:val="en-US" w:eastAsia="zh-CN"/>
                    </w:rPr>
                    <w:t>94</w:t>
                  </w:r>
                  <w:r>
                    <w:rPr>
                      <w:szCs w:val="21"/>
                    </w:rPr>
                    <w:t>、</w:t>
                  </w:r>
                  <w:r>
                    <w:rPr>
                      <w:rFonts w:hint="eastAsia"/>
                      <w:szCs w:val="21"/>
                      <w:lang w:eastAsia="zh-CN"/>
                    </w:rPr>
                    <w:t>粮食及饲料加工</w:t>
                  </w:r>
                </w:p>
              </w:tc>
              <w:tc>
                <w:tcPr>
                  <w:tcW w:w="2061" w:type="dxa"/>
                  <w:vAlign w:val="center"/>
                </w:tcPr>
                <w:p>
                  <w:pPr>
                    <w:spacing w:line="240" w:lineRule="auto"/>
                    <w:jc w:val="center"/>
                    <w:rPr>
                      <w:rFonts w:hint="default" w:eastAsia="宋体"/>
                      <w:szCs w:val="21"/>
                      <w:lang w:val="en-US" w:eastAsia="zh-CN"/>
                    </w:rPr>
                  </w:pPr>
                  <w:r>
                    <w:rPr>
                      <w:rFonts w:hint="eastAsia"/>
                      <w:szCs w:val="21"/>
                      <w:lang w:eastAsia="zh-CN"/>
                    </w:rPr>
                    <w:t>年加工</w:t>
                  </w:r>
                  <w:r>
                    <w:rPr>
                      <w:rFonts w:hint="eastAsia"/>
                      <w:szCs w:val="21"/>
                      <w:lang w:val="en-US" w:eastAsia="zh-CN"/>
                    </w:rPr>
                    <w:t>25万吨及以上；有发酵工艺的</w:t>
                  </w:r>
                </w:p>
              </w:tc>
              <w:tc>
                <w:tcPr>
                  <w:tcW w:w="700" w:type="dxa"/>
                  <w:vAlign w:val="center"/>
                </w:tcPr>
                <w:p>
                  <w:pPr>
                    <w:spacing w:line="240" w:lineRule="auto"/>
                    <w:jc w:val="center"/>
                    <w:rPr>
                      <w:rFonts w:hint="eastAsia" w:eastAsia="宋体"/>
                      <w:szCs w:val="21"/>
                      <w:lang w:eastAsia="zh-CN"/>
                    </w:rPr>
                  </w:pPr>
                  <w:r>
                    <w:rPr>
                      <w:rFonts w:hint="eastAsia"/>
                      <w:szCs w:val="21"/>
                      <w:lang w:eastAsia="zh-CN"/>
                    </w:rPr>
                    <w:t>其他</w:t>
                  </w:r>
                </w:p>
              </w:tc>
              <w:tc>
                <w:tcPr>
                  <w:tcW w:w="1855" w:type="dxa"/>
                  <w:vAlign w:val="center"/>
                </w:tcPr>
                <w:p>
                  <w:pPr>
                    <w:spacing w:line="240" w:lineRule="auto"/>
                    <w:jc w:val="center"/>
                    <w:rPr>
                      <w:szCs w:val="21"/>
                    </w:rPr>
                  </w:pPr>
                  <w:r>
                    <w:rPr>
                      <w:szCs w:val="21"/>
                      <w:highlight w:val="lightGray"/>
                    </w:rPr>
                    <w:t>Ⅲ类</w:t>
                  </w:r>
                </w:p>
              </w:tc>
              <w:tc>
                <w:tcPr>
                  <w:tcW w:w="1120" w:type="dxa"/>
                  <w:vAlign w:val="center"/>
                </w:tcPr>
                <w:p>
                  <w:pPr>
                    <w:spacing w:line="240" w:lineRule="auto"/>
                    <w:jc w:val="center"/>
                    <w:rPr>
                      <w:szCs w:val="21"/>
                    </w:rPr>
                  </w:pPr>
                  <w:r>
                    <w:rPr>
                      <w:szCs w:val="21"/>
                    </w:rPr>
                    <w:t>IV类</w:t>
                  </w:r>
                </w:p>
              </w:tc>
              <w:tc>
                <w:tcPr>
                  <w:tcW w:w="714" w:type="dxa"/>
                  <w:vMerge w:val="continue"/>
                  <w:vAlign w:val="center"/>
                </w:tcPr>
                <w:p>
                  <w:pPr>
                    <w:jc w:val="center"/>
                    <w:rPr>
                      <w:szCs w:val="21"/>
                    </w:rPr>
                  </w:pPr>
                </w:p>
              </w:tc>
            </w:tr>
          </w:tbl>
          <w:p>
            <w:pPr>
              <w:adjustRightInd w:val="0"/>
              <w:snapToGrid w:val="0"/>
              <w:spacing w:line="360" w:lineRule="auto"/>
              <w:ind w:firstLine="480" w:firstLineChars="200"/>
              <w:rPr>
                <w:rFonts w:hint="default" w:cs="Times New Roman"/>
                <w:b w:val="0"/>
                <w:bCs w:val="0"/>
                <w:sz w:val="24"/>
                <w:lang w:val="en-US" w:eastAsia="zh-CN"/>
              </w:rPr>
            </w:pPr>
            <w:r>
              <w:rPr>
                <w:rFonts w:hint="eastAsia" w:cs="Times New Roman"/>
                <w:b w:val="0"/>
                <w:bCs w:val="0"/>
                <w:sz w:val="24"/>
                <w:lang w:val="en-US" w:eastAsia="zh-CN"/>
              </w:rPr>
              <w:t>由上表可知，本项目地下水环境影响评价项目类别属于Ⅲ类，</w:t>
            </w:r>
            <w:r>
              <w:rPr>
                <w:rFonts w:hint="default" w:ascii="Times New Roman" w:hAnsi="Times New Roman" w:cs="Times New Roman"/>
                <w:sz w:val="24"/>
              </w:rPr>
              <w:t>本项目</w:t>
            </w:r>
            <w:r>
              <w:rPr>
                <w:rFonts w:hint="eastAsia" w:ascii="Times New Roman" w:hAnsi="Times New Roman" w:cs="Times New Roman"/>
                <w:sz w:val="24"/>
                <w:lang w:eastAsia="zh-CN"/>
              </w:rPr>
              <w:t>厂区</w:t>
            </w:r>
            <w:r>
              <w:rPr>
                <w:rFonts w:hint="default" w:ascii="Times New Roman" w:hAnsi="Times New Roman" w:cs="Times New Roman"/>
                <w:sz w:val="24"/>
              </w:rPr>
              <w:t>范围内不涉及生活供水水源地、温泉、矿泉水、热水等特殊地下水资源保护区；生态脆弱区重点保护区域；地质灾害易发区，重要湿地、水土流失重点防治区等，因此地下水环境敏感程度判定为不敏感。本项目地下水环境影响评价工作等级划分为</w:t>
            </w:r>
            <w:r>
              <w:rPr>
                <w:rFonts w:hint="eastAsia" w:ascii="Times New Roman" w:hAnsi="Times New Roman" w:cs="Times New Roman"/>
                <w:sz w:val="24"/>
                <w:lang w:eastAsia="zh-CN"/>
              </w:rPr>
              <w:t>三</w:t>
            </w:r>
            <w:r>
              <w:rPr>
                <w:rFonts w:hint="default" w:ascii="Times New Roman" w:hAnsi="Times New Roman" w:cs="Times New Roman"/>
                <w:sz w:val="24"/>
              </w:rPr>
              <w:t>级。</w:t>
            </w:r>
          </w:p>
          <w:p>
            <w:pPr>
              <w:adjustRightInd w:val="0"/>
              <w:snapToGrid w:val="0"/>
              <w:spacing w:line="360" w:lineRule="auto"/>
              <w:ind w:firstLine="480" w:firstLineChars="200"/>
              <w:rPr>
                <w:rFonts w:hint="default" w:cs="Times New Roman"/>
                <w:b w:val="0"/>
                <w:bCs w:val="0"/>
                <w:sz w:val="24"/>
                <w:lang w:val="en-US" w:eastAsia="zh-CN"/>
              </w:rPr>
            </w:pPr>
            <w:r>
              <w:rPr>
                <w:rFonts w:hint="eastAsia" w:cs="Times New Roman"/>
                <w:b w:val="0"/>
                <w:bCs w:val="0"/>
                <w:sz w:val="24"/>
                <w:lang w:val="en-US" w:eastAsia="zh-CN"/>
              </w:rPr>
              <w:t>4、</w:t>
            </w:r>
            <w:r>
              <w:rPr>
                <w:rFonts w:hint="default" w:cs="Times New Roman"/>
                <w:b w:val="0"/>
                <w:bCs w:val="0"/>
                <w:sz w:val="24"/>
                <w:lang w:val="en-US" w:eastAsia="zh-CN"/>
              </w:rPr>
              <w:t>声环境影响评价等级划分</w:t>
            </w:r>
          </w:p>
          <w:p>
            <w:pPr>
              <w:adjustRightInd w:val="0"/>
              <w:snapToGrid w:val="0"/>
              <w:spacing w:line="360" w:lineRule="auto"/>
              <w:ind w:firstLine="480" w:firstLineChars="200"/>
              <w:rPr>
                <w:rFonts w:hint="default" w:cs="Times New Roman"/>
                <w:b w:val="0"/>
                <w:bCs w:val="0"/>
                <w:sz w:val="24"/>
                <w:lang w:val="en-US" w:eastAsia="zh-CN"/>
              </w:rPr>
            </w:pPr>
            <w:r>
              <w:rPr>
                <w:rFonts w:hint="default" w:cs="Times New Roman"/>
                <w:b w:val="0"/>
                <w:bCs w:val="0"/>
                <w:sz w:val="24"/>
                <w:lang w:val="en-US" w:eastAsia="zh-CN"/>
              </w:rPr>
              <w:t>（1）评价工作等级</w:t>
            </w:r>
          </w:p>
          <w:p>
            <w:pPr>
              <w:adjustRightInd w:val="0"/>
              <w:snapToGrid w:val="0"/>
              <w:spacing w:line="360" w:lineRule="auto"/>
              <w:ind w:firstLine="480" w:firstLineChars="200"/>
              <w:rPr>
                <w:rFonts w:hint="default" w:cs="Times New Roman"/>
                <w:b w:val="0"/>
                <w:bCs w:val="0"/>
                <w:sz w:val="24"/>
                <w:lang w:val="en-US" w:eastAsia="zh-CN"/>
              </w:rPr>
            </w:pPr>
            <w:r>
              <w:rPr>
                <w:rFonts w:hint="default" w:cs="Times New Roman"/>
                <w:b w:val="0"/>
                <w:bCs w:val="0"/>
                <w:sz w:val="24"/>
                <w:lang w:val="en-US" w:eastAsia="zh-CN"/>
              </w:rPr>
              <w:t>按照《环境影响评价技术导则  声环境》（HJ2.4-2009）对声环境评价等级的划分要求见下表。</w:t>
            </w:r>
          </w:p>
          <w:p>
            <w:pPr>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表</w:t>
            </w:r>
            <w:r>
              <w:rPr>
                <w:rFonts w:hint="eastAsia" w:cs="Times New Roman"/>
                <w:b/>
                <w:kern w:val="0"/>
                <w:szCs w:val="21"/>
                <w:lang w:val="en-US" w:eastAsia="zh-CN"/>
              </w:rPr>
              <w:t>1-13</w:t>
            </w:r>
            <w:r>
              <w:rPr>
                <w:rFonts w:hint="default" w:ascii="Times New Roman" w:hAnsi="Times New Roman" w:cs="Times New Roman"/>
                <w:b/>
                <w:kern w:val="0"/>
                <w:szCs w:val="21"/>
              </w:rPr>
              <w:t xml:space="preserve">  声环境影响评价工作等级划分原则一览表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88"/>
              <w:gridCol w:w="73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03"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等级分类</w:t>
                  </w:r>
                </w:p>
              </w:tc>
              <w:tc>
                <w:tcPr>
                  <w:tcW w:w="7428"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等级划分基本原则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03"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一级评价</w:t>
                  </w:r>
                </w:p>
              </w:tc>
              <w:tc>
                <w:tcPr>
                  <w:tcW w:w="7428"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评价范围内有适用于GB3096规定的0类声环境功能区域，以及对噪声有特别限制要求的保护区等敏感目标，或建设项目建设前后评价范围内敏感目标噪声级增高量达5dB（A）以上（不含5dB（A）），或受影响人口数量显著增多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03"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二级评价</w:t>
                  </w:r>
                </w:p>
              </w:tc>
              <w:tc>
                <w:tcPr>
                  <w:tcW w:w="7428"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r>
                    <w:rPr>
                      <w:rFonts w:hint="default" w:ascii="Times New Roman" w:hAnsi="Times New Roman" w:cs="Times New Roman"/>
                      <w:kern w:val="0"/>
                      <w:szCs w:val="21"/>
                    </w:rPr>
                    <w:t>建设项目所处的声环境功能区为GB3096规定的1类、</w:t>
                  </w:r>
                  <w:r>
                    <w:rPr>
                      <w:rFonts w:hint="eastAsia" w:ascii="Times New Roman" w:hAnsi="Times New Roman" w:cs="Times New Roman"/>
                      <w:kern w:val="0"/>
                      <w:szCs w:val="21"/>
                      <w:lang w:val="en-US" w:eastAsia="zh-CN"/>
                    </w:rPr>
                    <w:t>2</w:t>
                  </w:r>
                  <w:r>
                    <w:rPr>
                      <w:rFonts w:hint="default" w:ascii="Times New Roman" w:hAnsi="Times New Roman" w:cs="Times New Roman"/>
                      <w:kern w:val="0"/>
                      <w:szCs w:val="21"/>
                    </w:rPr>
                    <w:t>类地区，或建设项目建设前后评价范围内敏感目标噪声级增高量达3dB（A）～5dB（A）（含5dB（A），或受噪声影响人口数量增加较多时。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03"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三级评价</w:t>
                  </w:r>
                </w:p>
              </w:tc>
              <w:tc>
                <w:tcPr>
                  <w:tcW w:w="7428"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建设项目所处的声环境功能区为GB3096规定的3类、4类地区，或建设项目建设前后评价范围内敏感目标噪声级增高量在 3dB（A）以下（不含3dB（A）），且受影响人口数量变化不大时。</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本项目所在区域</w:t>
            </w:r>
            <w:r>
              <w:rPr>
                <w:rFonts w:hint="eastAsia" w:ascii="Times New Roman" w:hAnsi="Times New Roman" w:cs="Times New Roman"/>
                <w:sz w:val="24"/>
                <w:lang w:eastAsia="zh-CN"/>
              </w:rPr>
              <w:t>声环境功能区为</w:t>
            </w:r>
            <w:r>
              <w:rPr>
                <w:rFonts w:hint="eastAsia" w:ascii="Times New Roman" w:hAnsi="Times New Roman" w:cs="Times New Roman"/>
                <w:sz w:val="24"/>
                <w:lang w:val="en-US" w:eastAsia="zh-CN"/>
              </w:rPr>
              <w:t>3类区，</w:t>
            </w:r>
            <w:r>
              <w:rPr>
                <w:rFonts w:hint="eastAsia" w:ascii="Times New Roman" w:hAnsi="Times New Roman" w:cs="Times New Roman"/>
                <w:sz w:val="24"/>
                <w:lang w:eastAsia="zh-CN"/>
              </w:rPr>
              <w:t>建设单位运营期</w:t>
            </w:r>
            <w:r>
              <w:rPr>
                <w:rFonts w:hint="default" w:ascii="Times New Roman" w:hAnsi="Times New Roman" w:cs="Times New Roman"/>
                <w:sz w:val="24"/>
              </w:rPr>
              <w:t>采取吸声、隔声、降噪等措施</w:t>
            </w:r>
            <w:r>
              <w:rPr>
                <w:rFonts w:hint="eastAsia" w:ascii="Times New Roman" w:hAnsi="Times New Roman" w:cs="Times New Roman"/>
                <w:sz w:val="24"/>
                <w:lang w:eastAsia="zh-CN"/>
              </w:rPr>
              <w:t>，</w:t>
            </w:r>
            <w:r>
              <w:rPr>
                <w:rFonts w:hint="default" w:ascii="Times New Roman" w:hAnsi="Times New Roman" w:cs="Times New Roman"/>
                <w:sz w:val="24"/>
              </w:rPr>
              <w:t>项目建设前后评价范围内敏感目标噪声级增</w:t>
            </w:r>
            <w:r>
              <w:rPr>
                <w:rFonts w:hint="eastAsia" w:cs="Times New Roman"/>
                <w:sz w:val="24"/>
                <w:lang w:eastAsia="zh-CN"/>
              </w:rPr>
              <w:t>加</w:t>
            </w:r>
            <w:r>
              <w:rPr>
                <w:rFonts w:hint="default" w:ascii="Times New Roman" w:hAnsi="Times New Roman" w:cs="Times New Roman"/>
                <w:sz w:val="24"/>
              </w:rPr>
              <w:t>量在3dB（A）以下（不含3dB（A）），且受影响人口数量变化不大。根据《环境影响评价技术导则 声环境》（HJ/2.4-2009）中关于声环境影响评价工作等级划分的基本原则，将噪声评价工作等级定为</w:t>
            </w:r>
            <w:r>
              <w:rPr>
                <w:rFonts w:hint="eastAsia" w:ascii="Times New Roman" w:hAnsi="Times New Roman" w:cs="Times New Roman"/>
                <w:sz w:val="24"/>
                <w:lang w:eastAsia="zh-CN"/>
              </w:rPr>
              <w:t>三</w:t>
            </w:r>
            <w:r>
              <w:rPr>
                <w:rFonts w:hint="default" w:ascii="Times New Roman" w:hAnsi="Times New Roman" w:cs="Times New Roman"/>
                <w:sz w:val="24"/>
              </w:rPr>
              <w:t>级。</w:t>
            </w:r>
          </w:p>
          <w:p>
            <w:pPr>
              <w:spacing w:line="360" w:lineRule="auto"/>
              <w:ind w:firstLine="480" w:firstLineChars="200"/>
              <w:rPr>
                <w:rFonts w:hint="default" w:cs="Times New Roman"/>
                <w:b w:val="0"/>
                <w:bCs w:val="0"/>
                <w:sz w:val="24"/>
                <w:lang w:val="en-US" w:eastAsia="zh-CN"/>
              </w:rPr>
            </w:pPr>
            <w:r>
              <w:rPr>
                <w:rFonts w:hint="eastAsia" w:cs="Times New Roman"/>
                <w:sz w:val="24"/>
                <w:lang w:val="en-US" w:eastAsia="zh-CN"/>
              </w:rPr>
              <w:t>5、</w:t>
            </w:r>
            <w:r>
              <w:rPr>
                <w:rFonts w:hint="default" w:cs="Times New Roman"/>
                <w:b w:val="0"/>
                <w:bCs w:val="0"/>
                <w:sz w:val="24"/>
                <w:lang w:val="en-US" w:eastAsia="zh-CN"/>
              </w:rPr>
              <w:t>环境风险</w:t>
            </w:r>
          </w:p>
          <w:p>
            <w:pPr>
              <w:spacing w:line="360" w:lineRule="auto"/>
              <w:ind w:firstLine="480" w:firstLineChars="200"/>
              <w:rPr>
                <w:rFonts w:hint="default" w:cs="Times New Roman"/>
                <w:b w:val="0"/>
                <w:bCs w:val="0"/>
                <w:sz w:val="24"/>
                <w:lang w:val="en-US" w:eastAsia="zh-CN"/>
              </w:rPr>
            </w:pPr>
            <w:r>
              <w:rPr>
                <w:rFonts w:hint="default" w:cs="Times New Roman"/>
                <w:b w:val="0"/>
                <w:bCs w:val="0"/>
                <w:sz w:val="24"/>
                <w:lang w:val="en-US" w:eastAsia="zh-CN"/>
              </w:rPr>
              <w:t>依据《建设项目环境风险评价技术导则》（HJ169-2018）中的相关规定，该项目在生产、储存过程中存在或使用的危险化学品</w:t>
            </w:r>
            <w:r>
              <w:rPr>
                <w:rFonts w:hint="eastAsia" w:cs="Times New Roman"/>
                <w:b w:val="0"/>
                <w:bCs w:val="0"/>
                <w:sz w:val="24"/>
                <w:lang w:val="en-US" w:eastAsia="zh-CN"/>
              </w:rPr>
              <w:t>为废机油、NH</w:t>
            </w:r>
            <w:r>
              <w:rPr>
                <w:rFonts w:hint="eastAsia" w:cs="Times New Roman"/>
                <w:b w:val="0"/>
                <w:bCs w:val="0"/>
                <w:sz w:val="24"/>
                <w:vertAlign w:val="subscript"/>
                <w:lang w:val="en-US" w:eastAsia="zh-CN"/>
              </w:rPr>
              <w:t>3</w:t>
            </w:r>
            <w:r>
              <w:rPr>
                <w:rFonts w:hint="eastAsia" w:cs="Times New Roman"/>
                <w:b w:val="0"/>
                <w:bCs w:val="0"/>
                <w:sz w:val="24"/>
                <w:lang w:val="en-US" w:eastAsia="zh-CN"/>
              </w:rPr>
              <w:t>、H</w:t>
            </w:r>
            <w:r>
              <w:rPr>
                <w:rFonts w:hint="eastAsia" w:cs="Times New Roman"/>
                <w:b w:val="0"/>
                <w:bCs w:val="0"/>
                <w:sz w:val="24"/>
                <w:vertAlign w:val="subscript"/>
                <w:lang w:val="en-US" w:eastAsia="zh-CN"/>
              </w:rPr>
              <w:t>2</w:t>
            </w:r>
            <w:r>
              <w:rPr>
                <w:rFonts w:hint="eastAsia" w:cs="Times New Roman"/>
                <w:b w:val="0"/>
                <w:bCs w:val="0"/>
                <w:sz w:val="24"/>
                <w:lang w:val="en-US" w:eastAsia="zh-CN"/>
              </w:rPr>
              <w:t>S，经计算，本项目危险物质最大存在量与临界量的比值Q为0.00063，</w:t>
            </w:r>
            <w:r>
              <w:rPr>
                <w:rFonts w:hint="default" w:cs="Times New Roman"/>
                <w:b w:val="0"/>
                <w:bCs w:val="0"/>
                <w:sz w:val="24"/>
                <w:lang w:val="en-US" w:eastAsia="zh-CN"/>
              </w:rPr>
              <w:t>其辨识结果见下表。</w:t>
            </w:r>
          </w:p>
          <w:p>
            <w:pPr>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1-14</w:t>
            </w:r>
            <w:r>
              <w:rPr>
                <w:rFonts w:hint="eastAsia" w:ascii="Times New Roman" w:hAnsi="Times New Roman" w:cs="Times New Roman"/>
                <w:b/>
                <w:kern w:val="0"/>
                <w:szCs w:val="21"/>
                <w:lang w:val="en-US" w:eastAsia="zh-CN"/>
              </w:rPr>
              <w:t xml:space="preserve">  危险源辨识结果   单位：t</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0"/>
              <w:gridCol w:w="1747"/>
              <w:gridCol w:w="1704"/>
              <w:gridCol w:w="2602"/>
              <w:gridCol w:w="17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9"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序号</w:t>
                  </w:r>
                </w:p>
              </w:tc>
              <w:tc>
                <w:tcPr>
                  <w:tcW w:w="1770"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物料名称</w:t>
                  </w:r>
                </w:p>
              </w:tc>
              <w:tc>
                <w:tcPr>
                  <w:tcW w:w="1727"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临界量Q</w:t>
                  </w:r>
                </w:p>
              </w:tc>
              <w:tc>
                <w:tcPr>
                  <w:tcW w:w="2638"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实际存放量q</w:t>
                  </w:r>
                </w:p>
              </w:tc>
              <w:tc>
                <w:tcPr>
                  <w:tcW w:w="1747"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q</w:t>
                  </w:r>
                  <w:r>
                    <w:rPr>
                      <w:rFonts w:hint="default" w:ascii="Times New Roman" w:hAnsi="Times New Roman" w:cs="Times New Roman"/>
                      <w:b/>
                      <w:bCs/>
                      <w:kern w:val="0"/>
                      <w:szCs w:val="21"/>
                      <w:vertAlign w:val="subscript"/>
                    </w:rPr>
                    <w:t>n</w:t>
                  </w:r>
                  <w:r>
                    <w:rPr>
                      <w:rFonts w:hint="default" w:ascii="Times New Roman" w:hAnsi="Times New Roman" w:cs="Times New Roman"/>
                      <w:b/>
                      <w:bCs/>
                      <w:kern w:val="0"/>
                      <w:szCs w:val="21"/>
                    </w:rPr>
                    <w:t>/Q</w:t>
                  </w:r>
                  <w:r>
                    <w:rPr>
                      <w:rFonts w:hint="default" w:ascii="Times New Roman" w:hAnsi="Times New Roman" w:cs="Times New Roman"/>
                      <w:b/>
                      <w:bCs/>
                      <w:kern w:val="0"/>
                      <w:szCs w:val="21"/>
                      <w:vertAlign w:val="subscript"/>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9"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1</w:t>
                  </w:r>
                </w:p>
              </w:tc>
              <w:tc>
                <w:tcPr>
                  <w:tcW w:w="1770"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废机油</w:t>
                  </w:r>
                </w:p>
              </w:tc>
              <w:tc>
                <w:tcPr>
                  <w:tcW w:w="172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2500</w:t>
                  </w:r>
                </w:p>
              </w:tc>
              <w:tc>
                <w:tcPr>
                  <w:tcW w:w="2638"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0.5</w:t>
                  </w:r>
                </w:p>
              </w:tc>
              <w:tc>
                <w:tcPr>
                  <w:tcW w:w="174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5" w:hRule="atLeast"/>
                <w:jc w:val="center"/>
              </w:trPr>
              <w:tc>
                <w:tcPr>
                  <w:tcW w:w="849"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2</w:t>
                  </w:r>
                </w:p>
              </w:tc>
              <w:tc>
                <w:tcPr>
                  <w:tcW w:w="1770"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NH</w:t>
                  </w:r>
                  <w:r>
                    <w:rPr>
                      <w:rFonts w:hint="eastAsia" w:ascii="Times New Roman" w:hAnsi="Times New Roman" w:cs="Times New Roman"/>
                      <w:kern w:val="0"/>
                      <w:szCs w:val="21"/>
                      <w:vertAlign w:val="subscript"/>
                      <w:lang w:val="en-US" w:eastAsia="zh-CN"/>
                    </w:rPr>
                    <w:t>3</w:t>
                  </w:r>
                </w:p>
              </w:tc>
              <w:tc>
                <w:tcPr>
                  <w:tcW w:w="172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w:t>
                  </w:r>
                </w:p>
              </w:tc>
              <w:tc>
                <w:tcPr>
                  <w:tcW w:w="2638"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0.002（每天产生量）</w:t>
                  </w:r>
                </w:p>
              </w:tc>
              <w:tc>
                <w:tcPr>
                  <w:tcW w:w="174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9"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3</w:t>
                  </w:r>
                </w:p>
              </w:tc>
              <w:tc>
                <w:tcPr>
                  <w:tcW w:w="1770"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H</w:t>
                  </w:r>
                  <w:r>
                    <w:rPr>
                      <w:rFonts w:hint="eastAsia" w:ascii="Times New Roman" w:hAnsi="Times New Roman" w:cs="Times New Roman"/>
                      <w:kern w:val="0"/>
                      <w:szCs w:val="21"/>
                      <w:vertAlign w:val="subscript"/>
                      <w:lang w:val="en-US" w:eastAsia="zh-CN"/>
                    </w:rPr>
                    <w:t>2</w:t>
                  </w:r>
                  <w:r>
                    <w:rPr>
                      <w:rFonts w:hint="eastAsia" w:ascii="Times New Roman" w:hAnsi="Times New Roman" w:cs="Times New Roman"/>
                      <w:kern w:val="0"/>
                      <w:szCs w:val="21"/>
                      <w:lang w:val="en-US" w:eastAsia="zh-CN"/>
                    </w:rPr>
                    <w:t>S</w:t>
                  </w:r>
                </w:p>
              </w:tc>
              <w:tc>
                <w:tcPr>
                  <w:tcW w:w="172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2.5</w:t>
                  </w:r>
                </w:p>
              </w:tc>
              <w:tc>
                <w:tcPr>
                  <w:tcW w:w="2638"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0.000064（每天产生量）</w:t>
                  </w:r>
                </w:p>
              </w:tc>
              <w:tc>
                <w:tcPr>
                  <w:tcW w:w="174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9"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cs="Times New Roman"/>
                      <w:kern w:val="0"/>
                      <w:szCs w:val="21"/>
                      <w:lang w:val="en-US" w:eastAsia="zh-CN"/>
                    </w:rPr>
                    <w:t>4</w:t>
                  </w:r>
                </w:p>
              </w:tc>
              <w:tc>
                <w:tcPr>
                  <w:tcW w:w="1770" w:type="dxa"/>
                  <w:tcBorders>
                    <w:tl2br w:val="nil"/>
                    <w:tr2bl w:val="nil"/>
                  </w:tcBorders>
                  <w:vAlign w:val="center"/>
                </w:tcPr>
                <w:p>
                  <w:pPr>
                    <w:adjustRightInd w:val="0"/>
                    <w:snapToGrid w:val="0"/>
                    <w:jc w:val="center"/>
                    <w:rPr>
                      <w:rFonts w:hint="eastAsia" w:ascii="Times New Roman" w:hAnsi="Times New Roman" w:cs="Times New Roman"/>
                      <w:kern w:val="0"/>
                      <w:szCs w:val="21"/>
                    </w:rPr>
                  </w:pPr>
                  <w:r>
                    <w:rPr>
                      <w:rFonts w:hint="eastAsia" w:ascii="Times New Roman" w:hAnsi="Times New Roman" w:cs="Times New Roman"/>
                      <w:kern w:val="0"/>
                      <w:szCs w:val="21"/>
                    </w:rPr>
                    <w:t>合计</w:t>
                  </w:r>
                  <w:r>
                    <w:rPr>
                      <w:rFonts w:hint="default" w:ascii="Times New Roman" w:hAnsi="Times New Roman" w:cs="Times New Roman"/>
                      <w:kern w:val="0"/>
                      <w:szCs w:val="21"/>
                    </w:rPr>
                    <w:t>ΣQ</w:t>
                  </w:r>
                </w:p>
              </w:tc>
              <w:tc>
                <w:tcPr>
                  <w:tcW w:w="1727"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2638"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74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0.00063</w:t>
                  </w:r>
                </w:p>
              </w:tc>
            </w:tr>
          </w:tbl>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根据附录C危险物质数量与临界量比值（Q）计算，当Q＜1时，该项目环境风险潜势为</w: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 1 \* ROMAN \* MERGEFORMAT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t>I</w:t>
            </w:r>
            <w:r>
              <w:rPr>
                <w:rFonts w:hint="default" w:ascii="Times New Roman" w:hAnsi="Times New Roman" w:cs="Times New Roman"/>
                <w:sz w:val="24"/>
                <w:lang w:eastAsia="zh-CN"/>
              </w:rPr>
              <w:fldChar w:fldCharType="end"/>
            </w:r>
            <w:r>
              <w:rPr>
                <w:rFonts w:hint="default" w:ascii="Times New Roman" w:hAnsi="Times New Roman" w:cs="Times New Roman"/>
                <w:sz w:val="24"/>
                <w:lang w:eastAsia="zh-CN"/>
              </w:rPr>
              <w:t>，当Q≥1时，将Q值划分为：（1）1≤Q＜10；（2）10≤Q＜100；（3）Q≥100。</w:t>
            </w:r>
          </w:p>
          <w:p>
            <w:pPr>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1-15</w:t>
            </w:r>
            <w:r>
              <w:rPr>
                <w:rFonts w:hint="eastAsia" w:ascii="Times New Roman" w:hAnsi="Times New Roman" w:cs="Times New Roman"/>
                <w:b/>
                <w:kern w:val="0"/>
                <w:szCs w:val="21"/>
                <w:lang w:val="en-US" w:eastAsia="zh-CN"/>
              </w:rPr>
              <w:t xml:space="preserve">  环境风险潜势</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27"/>
              <w:gridCol w:w="58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2762"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Q</w:t>
                  </w:r>
                </w:p>
              </w:tc>
              <w:tc>
                <w:tcPr>
                  <w:tcW w:w="5969"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环境风险潜势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762"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Q＜1</w:t>
                  </w:r>
                </w:p>
              </w:tc>
              <w:tc>
                <w:tcPr>
                  <w:tcW w:w="5969"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Ⅰ</w:t>
                  </w:r>
                </w:p>
              </w:tc>
            </w:tr>
          </w:tbl>
          <w:p>
            <w:pPr>
              <w:adjustRightInd w:val="0"/>
              <w:snapToGrid w:val="0"/>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1-16</w:t>
            </w:r>
            <w:r>
              <w:rPr>
                <w:rFonts w:hint="eastAsia" w:ascii="Times New Roman" w:hAnsi="Times New Roman" w:cs="Times New Roman"/>
                <w:b/>
                <w:kern w:val="0"/>
                <w:szCs w:val="21"/>
                <w:lang w:val="en-US" w:eastAsia="zh-CN"/>
              </w:rPr>
              <w:t xml:space="preserve">  风险评价等级判据表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83"/>
              <w:gridCol w:w="1837"/>
              <w:gridCol w:w="882"/>
              <w:gridCol w:w="883"/>
              <w:gridCol w:w="22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22"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环境风险潜势</w:t>
                  </w:r>
                </w:p>
              </w:tc>
              <w:tc>
                <w:tcPr>
                  <w:tcW w:w="1862"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Ⅳ、Ⅳ</w:t>
                  </w:r>
                  <w:r>
                    <w:rPr>
                      <w:rFonts w:hint="eastAsia" w:ascii="Times New Roman" w:hAnsi="Times New Roman" w:cs="Times New Roman"/>
                      <w:b/>
                      <w:bCs/>
                      <w:kern w:val="0"/>
                      <w:szCs w:val="21"/>
                      <w:vertAlign w:val="superscript"/>
                      <w:lang w:val="en-US" w:eastAsia="zh-CN"/>
                    </w:rPr>
                    <w:t>+</w:t>
                  </w:r>
                </w:p>
              </w:tc>
              <w:tc>
                <w:tcPr>
                  <w:tcW w:w="892"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Ⅲ</w:t>
                  </w:r>
                </w:p>
              </w:tc>
              <w:tc>
                <w:tcPr>
                  <w:tcW w:w="893"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Ⅱ</w:t>
                  </w:r>
                </w:p>
              </w:tc>
              <w:tc>
                <w:tcPr>
                  <w:tcW w:w="2262" w:type="dxa"/>
                  <w:tcBorders>
                    <w:tl2br w:val="nil"/>
                    <w:tr2bl w:val="nil"/>
                  </w:tcBorders>
                  <w:vAlign w:val="top"/>
                </w:tcPr>
                <w:p>
                  <w:pPr>
                    <w:adjustRightInd w:val="0"/>
                    <w:snapToGrid w:val="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22"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评价工作等级</w:t>
                  </w:r>
                </w:p>
              </w:tc>
              <w:tc>
                <w:tcPr>
                  <w:tcW w:w="1862"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一</w:t>
                  </w:r>
                </w:p>
              </w:tc>
              <w:tc>
                <w:tcPr>
                  <w:tcW w:w="892"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二</w:t>
                  </w:r>
                </w:p>
              </w:tc>
              <w:tc>
                <w:tcPr>
                  <w:tcW w:w="893"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三</w:t>
                  </w:r>
                </w:p>
              </w:tc>
              <w:tc>
                <w:tcPr>
                  <w:tcW w:w="2262" w:type="dxa"/>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简单分析</w:t>
                  </w:r>
                  <w:r>
                    <w:rPr>
                      <w:rFonts w:hint="eastAsia" w:ascii="Times New Roman" w:hAnsi="Times New Roman" w:cs="Times New Roman"/>
                      <w:kern w:val="0"/>
                      <w:szCs w:val="21"/>
                      <w:vertAlign w:val="superscript"/>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731" w:type="dxa"/>
                  <w:gridSpan w:val="5"/>
                  <w:tcBorders>
                    <w:tl2br w:val="nil"/>
                    <w:tr2bl w:val="nil"/>
                  </w:tcBorders>
                  <w:vAlign w:val="top"/>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a是相对于详细评价工作内容而言，在描述危险物质、环境影响途径、环境危害后果、风险防范措施等方面给出定性说明。</w:t>
                  </w:r>
                </w:p>
              </w:tc>
            </w:tr>
          </w:tbl>
          <w:p>
            <w:pPr>
              <w:spacing w:line="360" w:lineRule="auto"/>
              <w:rPr>
                <w:rFonts w:hint="default" w:ascii="Times New Roman" w:hAnsi="Times New Roman" w:cs="Times New Roman"/>
                <w:color w:val="auto"/>
                <w:sz w:val="24"/>
                <w:u w:val="none"/>
              </w:rPr>
            </w:pPr>
            <w:r>
              <w:rPr>
                <w:rFonts w:hint="eastAsia"/>
                <w:b/>
                <w:color w:val="auto"/>
                <w:sz w:val="24"/>
                <w:u w:val="none"/>
                <w:lang w:val="en-US" w:eastAsia="zh-CN"/>
              </w:rPr>
              <w:t xml:space="preserve">    </w:t>
            </w:r>
            <w:r>
              <w:rPr>
                <w:rFonts w:hint="eastAsia"/>
                <w:color w:val="auto"/>
                <w:sz w:val="24"/>
                <w:u w:val="none"/>
                <w:lang w:val="en-US" w:eastAsia="zh-CN"/>
              </w:rPr>
              <w:t>根据上述分析</w:t>
            </w:r>
            <w:r>
              <w:rPr>
                <w:rFonts w:hint="eastAsia"/>
                <w:color w:val="auto"/>
                <w:sz w:val="24"/>
                <w:u w:val="none"/>
              </w:rPr>
              <w:t>本项目风险评价等级为简单分析</w:t>
            </w:r>
          </w:p>
          <w:p>
            <w:pPr>
              <w:spacing w:line="360" w:lineRule="auto"/>
              <w:ind w:firstLine="480" w:firstLineChars="200"/>
              <w:rPr>
                <w:rFonts w:hint="default" w:cs="Times New Roman"/>
                <w:sz w:val="24"/>
                <w:lang w:val="en-US" w:eastAsia="zh-CN"/>
              </w:rPr>
            </w:pPr>
            <w:r>
              <w:rPr>
                <w:rFonts w:hint="eastAsia" w:cs="Times New Roman"/>
                <w:sz w:val="24"/>
                <w:lang w:val="en-US" w:eastAsia="zh-CN"/>
              </w:rPr>
              <w:t>6、土壤环境影响评价工作等级与范围</w:t>
            </w:r>
          </w:p>
          <w:p>
            <w:pPr>
              <w:spacing w:line="360" w:lineRule="auto"/>
              <w:ind w:firstLine="480" w:firstLineChars="200"/>
              <w:rPr>
                <w:b/>
                <w:bCs/>
                <w:sz w:val="28"/>
                <w:szCs w:val="28"/>
              </w:rPr>
            </w:pPr>
            <w:r>
              <w:rPr>
                <w:rFonts w:hint="eastAsia" w:cs="Times New Roman"/>
                <w:sz w:val="24"/>
                <w:lang w:val="en-US" w:eastAsia="zh-CN"/>
              </w:rPr>
              <w:t>根据《环境影响评价技术导则 土壤环境》（试行）（HJ 964-2018）要求，根据行业特征、工艺特点或规模大小等将建设项目类别分</w:t>
            </w:r>
            <w:r>
              <w:rPr>
                <w:rFonts w:hint="default" w:cs="Times New Roman"/>
                <w:sz w:val="24"/>
                <w:lang w:val="en-US" w:eastAsia="zh-CN"/>
              </w:rPr>
              <w:t>为Ⅰ类、Ⅱ类、Ⅲ类、Ⅳ类。</w:t>
            </w:r>
            <w:r>
              <w:rPr>
                <w:rFonts w:hint="eastAsia" w:cs="Times New Roman"/>
                <w:sz w:val="24"/>
                <w:lang w:val="en-US" w:eastAsia="zh-CN"/>
              </w:rPr>
              <w:t>本项目属于附录A表A.1土壤环境影响评价项目类别中其他行业，为</w:t>
            </w:r>
            <w:r>
              <w:rPr>
                <w:rFonts w:hint="default" w:cs="Times New Roman"/>
                <w:sz w:val="24"/>
                <w:lang w:val="en-US" w:eastAsia="zh-CN"/>
              </w:rPr>
              <w:t>Ⅳ</w:t>
            </w:r>
            <w:r>
              <w:rPr>
                <w:rFonts w:hint="eastAsia" w:cs="Times New Roman"/>
                <w:sz w:val="24"/>
                <w:lang w:val="en-US" w:eastAsia="zh-CN"/>
              </w:rPr>
              <w:t>类项目，因此可不开展土壤环境影响评价。</w:t>
            </w:r>
          </w:p>
          <w:p>
            <w:pPr>
              <w:spacing w:line="360" w:lineRule="auto"/>
              <w:ind w:firstLine="480" w:firstLineChars="200"/>
              <w:rPr>
                <w:rFonts w:hint="default" w:cs="Times New Roman"/>
                <w:sz w:val="24"/>
                <w:lang w:val="en-US" w:eastAsia="zh-CN"/>
              </w:rPr>
            </w:pPr>
            <w:r>
              <w:rPr>
                <w:rFonts w:hint="eastAsia" w:cs="Times New Roman"/>
                <w:sz w:val="24"/>
                <w:lang w:val="en-US" w:eastAsia="zh-CN"/>
              </w:rPr>
              <w:t>7、</w:t>
            </w:r>
            <w:r>
              <w:rPr>
                <w:rFonts w:hint="default" w:cs="Times New Roman"/>
                <w:sz w:val="24"/>
                <w:lang w:val="en-US" w:eastAsia="zh-CN"/>
              </w:rPr>
              <w:t>生态评价等级及范围</w:t>
            </w:r>
          </w:p>
          <w:p>
            <w:pPr>
              <w:spacing w:line="360" w:lineRule="auto"/>
              <w:ind w:firstLine="480" w:firstLineChars="200"/>
              <w:rPr>
                <w:rFonts w:hint="default" w:cs="Times New Roman"/>
                <w:sz w:val="24"/>
                <w:lang w:val="en-US" w:eastAsia="zh-CN"/>
              </w:rPr>
            </w:pPr>
            <w:r>
              <w:rPr>
                <w:rFonts w:hint="default" w:cs="Times New Roman"/>
                <w:sz w:val="24"/>
                <w:lang w:val="en-US" w:eastAsia="zh-CN"/>
              </w:rPr>
              <w:t>根据《环境影响评价技术导则-生态影响》（HJ19-2011）中关于评价工作等级的规定及现场踏勘：</w:t>
            </w:r>
            <w:r>
              <w:rPr>
                <w:rFonts w:hint="eastAsia" w:cs="Times New Roman"/>
                <w:sz w:val="24"/>
                <w:lang w:val="en-US" w:eastAsia="zh-CN"/>
              </w:rPr>
              <w:t>①</w:t>
            </w:r>
            <w:r>
              <w:rPr>
                <w:rFonts w:hint="default" w:cs="Times New Roman"/>
                <w:sz w:val="24"/>
                <w:lang w:val="en-US" w:eastAsia="zh-CN"/>
              </w:rPr>
              <w:t>项目</w:t>
            </w:r>
            <w:r>
              <w:rPr>
                <w:rFonts w:hint="eastAsia" w:cs="Times New Roman"/>
                <w:sz w:val="24"/>
                <w:lang w:val="en-US" w:eastAsia="zh-CN"/>
              </w:rPr>
              <w:t>总</w:t>
            </w:r>
            <w:r>
              <w:rPr>
                <w:rFonts w:hint="default" w:cs="Times New Roman"/>
                <w:sz w:val="24"/>
                <w:lang w:val="en-US" w:eastAsia="zh-CN"/>
              </w:rPr>
              <w:t>占地面积</w:t>
            </w:r>
            <w:r>
              <w:rPr>
                <w:rFonts w:hint="eastAsia" w:cs="Times New Roman"/>
                <w:sz w:val="24"/>
                <w:lang w:val="en-US" w:eastAsia="zh-CN"/>
              </w:rPr>
              <w:t>0.0337</w:t>
            </w:r>
            <w:r>
              <w:rPr>
                <w:rFonts w:hint="default" w:cs="Times New Roman"/>
                <w:sz w:val="24"/>
                <w:lang w:val="en-US" w:eastAsia="zh-CN"/>
              </w:rPr>
              <w:t>km</w:t>
            </w:r>
            <w:r>
              <w:rPr>
                <w:rFonts w:hint="default" w:cs="Times New Roman"/>
                <w:sz w:val="24"/>
                <w:vertAlign w:val="superscript"/>
                <w:lang w:val="en-US" w:eastAsia="zh-CN"/>
              </w:rPr>
              <w:t>2</w:t>
            </w:r>
            <w:r>
              <w:rPr>
                <w:rFonts w:hint="default" w:cs="Times New Roman"/>
                <w:sz w:val="24"/>
                <w:lang w:val="en-US" w:eastAsia="zh-CN"/>
              </w:rPr>
              <w:t>&lt;</w:t>
            </w:r>
            <w:r>
              <w:rPr>
                <w:rFonts w:hint="eastAsia" w:cs="Times New Roman"/>
                <w:sz w:val="24"/>
                <w:lang w:val="en-US" w:eastAsia="zh-CN"/>
              </w:rPr>
              <w:t>2</w:t>
            </w:r>
            <w:r>
              <w:rPr>
                <w:rFonts w:hint="default" w:cs="Times New Roman"/>
                <w:sz w:val="24"/>
                <w:lang w:val="en-US" w:eastAsia="zh-CN"/>
              </w:rPr>
              <w:t>km</w:t>
            </w:r>
            <w:r>
              <w:rPr>
                <w:rFonts w:hint="default" w:cs="Times New Roman"/>
                <w:sz w:val="24"/>
                <w:vertAlign w:val="superscript"/>
                <w:lang w:val="en-US" w:eastAsia="zh-CN"/>
              </w:rPr>
              <w:t>2</w:t>
            </w:r>
            <w:r>
              <w:rPr>
                <w:rFonts w:hint="default" w:cs="Times New Roman"/>
                <w:sz w:val="24"/>
                <w:lang w:val="en-US" w:eastAsia="zh-CN"/>
              </w:rPr>
              <w:t>；②评价范围内无自然保护区、自然遗产地等，故不属于特殊生态敏感区；③评价范围内</w:t>
            </w:r>
            <w:r>
              <w:rPr>
                <w:rFonts w:hint="eastAsia" w:cs="Times New Roman"/>
                <w:sz w:val="24"/>
                <w:lang w:val="en-US" w:eastAsia="zh-CN"/>
              </w:rPr>
              <w:t>无</w:t>
            </w:r>
            <w:r>
              <w:rPr>
                <w:rFonts w:hint="default" w:cs="Times New Roman"/>
                <w:sz w:val="24"/>
                <w:lang w:val="en-US" w:eastAsia="zh-CN"/>
              </w:rPr>
              <w:t>重要生态敏感区。因此，本项目生态影响评价工作等级确定为三级。具体评定过程见下表。</w:t>
            </w:r>
          </w:p>
          <w:p>
            <w:pPr>
              <w:spacing w:line="360" w:lineRule="auto"/>
              <w:jc w:val="center"/>
              <w:rPr>
                <w:rFonts w:hint="default" w:ascii="Times New Roman" w:hAnsi="Times New Roman" w:cs="Times New Roman"/>
                <w:b/>
                <w:kern w:val="0"/>
                <w:szCs w:val="21"/>
                <w:lang w:val="en-US" w:eastAsia="zh-CN"/>
              </w:rPr>
            </w:pPr>
            <w:r>
              <w:rPr>
                <w:rFonts w:hint="default" w:ascii="Times New Roman" w:hAnsi="Times New Roman" w:cs="Times New Roman"/>
                <w:b/>
                <w:kern w:val="0"/>
                <w:szCs w:val="21"/>
                <w:lang w:val="en-US" w:eastAsia="zh-CN"/>
              </w:rPr>
              <w:t>表</w:t>
            </w:r>
            <w:r>
              <w:rPr>
                <w:rFonts w:hint="eastAsia" w:cs="Times New Roman"/>
                <w:b/>
                <w:kern w:val="0"/>
                <w:szCs w:val="21"/>
                <w:lang w:val="en-US" w:eastAsia="zh-CN"/>
              </w:rPr>
              <w:t>1-17</w:t>
            </w:r>
            <w:r>
              <w:rPr>
                <w:rFonts w:hint="eastAsia" w:ascii="Times New Roman" w:hAnsi="Times New Roman" w:cs="Times New Roman"/>
                <w:b/>
                <w:kern w:val="0"/>
                <w:szCs w:val="21"/>
                <w:lang w:val="en-US" w:eastAsia="zh-CN"/>
              </w:rPr>
              <w:t xml:space="preserve"> </w:t>
            </w:r>
            <w:r>
              <w:rPr>
                <w:rFonts w:hint="default" w:ascii="Times New Roman" w:hAnsi="Times New Roman" w:cs="Times New Roman"/>
                <w:b/>
                <w:kern w:val="0"/>
                <w:szCs w:val="21"/>
                <w:lang w:val="en-US" w:eastAsia="zh-CN"/>
              </w:rPr>
              <w:t xml:space="preserve"> 生态影响评价等级划分表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09"/>
              <w:gridCol w:w="2005"/>
              <w:gridCol w:w="2199"/>
              <w:gridCol w:w="22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exact"/>
                <w:jc w:val="center"/>
              </w:trPr>
              <w:tc>
                <w:tcPr>
                  <w:tcW w:w="2239" w:type="dxa"/>
                  <w:vMerge w:val="restart"/>
                  <w:tcBorders>
                    <w:tl2br w:val="nil"/>
                    <w:tr2bl w:val="nil"/>
                  </w:tcBorders>
                  <w:vAlign w:val="center"/>
                </w:tcPr>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影响区域生态敏感性</w:t>
                  </w:r>
                </w:p>
              </w:tc>
              <w:tc>
                <w:tcPr>
                  <w:tcW w:w="6492" w:type="dxa"/>
                  <w:gridSpan w:val="3"/>
                  <w:tcBorders>
                    <w:tl2br w:val="nil"/>
                    <w:tr2bl w:val="nil"/>
                  </w:tcBorders>
                  <w:vAlign w:val="center"/>
                </w:tcPr>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工程占地（水域）范围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2" w:hRule="atLeast"/>
                <w:jc w:val="center"/>
              </w:trPr>
              <w:tc>
                <w:tcPr>
                  <w:tcW w:w="2239" w:type="dxa"/>
                  <w:vMerge w:val="continue"/>
                  <w:tcBorders>
                    <w:tl2br w:val="nil"/>
                    <w:tr2bl w:val="nil"/>
                  </w:tcBorders>
                  <w:vAlign w:val="center"/>
                </w:tcPr>
                <w:p>
                  <w:pPr>
                    <w:adjustRightInd w:val="0"/>
                    <w:snapToGrid w:val="0"/>
                    <w:jc w:val="center"/>
                    <w:rPr>
                      <w:rFonts w:hint="default" w:ascii="Times New Roman" w:hAnsi="Times New Roman" w:cs="Times New Roman"/>
                      <w:b/>
                      <w:bCs/>
                      <w:szCs w:val="22"/>
                    </w:rPr>
                  </w:pPr>
                </w:p>
              </w:tc>
              <w:tc>
                <w:tcPr>
                  <w:tcW w:w="2031" w:type="dxa"/>
                  <w:tcBorders>
                    <w:tl2br w:val="nil"/>
                    <w:tr2bl w:val="nil"/>
                  </w:tcBorders>
                  <w:vAlign w:val="center"/>
                </w:tcPr>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面积&gt;20km</w:t>
                  </w:r>
                  <w:r>
                    <w:rPr>
                      <w:rFonts w:hint="default" w:ascii="Times New Roman" w:hAnsi="Times New Roman" w:cs="Times New Roman"/>
                      <w:b/>
                      <w:bCs/>
                      <w:szCs w:val="22"/>
                      <w:vertAlign w:val="superscript"/>
                    </w:rPr>
                    <w:t>2</w:t>
                  </w:r>
                </w:p>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或长度&gt;100km</w:t>
                  </w:r>
                </w:p>
              </w:tc>
              <w:tc>
                <w:tcPr>
                  <w:tcW w:w="2228" w:type="dxa"/>
                  <w:tcBorders>
                    <w:tl2br w:val="nil"/>
                    <w:tr2bl w:val="nil"/>
                  </w:tcBorders>
                  <w:vAlign w:val="center"/>
                </w:tcPr>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面积2km</w:t>
                  </w:r>
                  <w:r>
                    <w:rPr>
                      <w:rFonts w:hint="default" w:ascii="Times New Roman" w:hAnsi="Times New Roman" w:cs="Times New Roman"/>
                      <w:b/>
                      <w:bCs/>
                      <w:szCs w:val="22"/>
                      <w:vertAlign w:val="superscript"/>
                    </w:rPr>
                    <w:t>2</w:t>
                  </w:r>
                  <w:r>
                    <w:rPr>
                      <w:rFonts w:hint="default" w:ascii="Times New Roman" w:hAnsi="Times New Roman" w:cs="Times New Roman"/>
                      <w:b/>
                      <w:bCs/>
                      <w:szCs w:val="22"/>
                    </w:rPr>
                    <w:t>～20km</w:t>
                  </w:r>
                  <w:r>
                    <w:rPr>
                      <w:rFonts w:hint="default" w:ascii="Times New Roman" w:hAnsi="Times New Roman" w:cs="Times New Roman"/>
                      <w:b/>
                      <w:bCs/>
                      <w:szCs w:val="22"/>
                      <w:vertAlign w:val="superscript"/>
                    </w:rPr>
                    <w:t>2</w:t>
                  </w:r>
                </w:p>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或长度50km～100km</w:t>
                  </w:r>
                </w:p>
              </w:tc>
              <w:tc>
                <w:tcPr>
                  <w:tcW w:w="2233" w:type="dxa"/>
                  <w:tcBorders>
                    <w:tl2br w:val="nil"/>
                    <w:tr2bl w:val="nil"/>
                  </w:tcBorders>
                  <w:vAlign w:val="center"/>
                </w:tcPr>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面积&lt;2km</w:t>
                  </w:r>
                  <w:r>
                    <w:rPr>
                      <w:rFonts w:hint="default" w:ascii="Times New Roman" w:hAnsi="Times New Roman" w:cs="Times New Roman"/>
                      <w:b/>
                      <w:bCs/>
                      <w:szCs w:val="22"/>
                      <w:vertAlign w:val="superscript"/>
                    </w:rPr>
                    <w:t>2</w:t>
                  </w:r>
                </w:p>
                <w:p>
                  <w:pPr>
                    <w:adjustRightInd w:val="0"/>
                    <w:snapToGrid w:val="0"/>
                    <w:jc w:val="center"/>
                    <w:rPr>
                      <w:rFonts w:hint="default" w:ascii="Times New Roman" w:hAnsi="Times New Roman" w:cs="Times New Roman"/>
                      <w:b/>
                      <w:bCs/>
                      <w:szCs w:val="22"/>
                    </w:rPr>
                  </w:pPr>
                  <w:r>
                    <w:rPr>
                      <w:rFonts w:hint="default" w:ascii="Times New Roman" w:hAnsi="Times New Roman" w:cs="Times New Roman"/>
                      <w:b/>
                      <w:bCs/>
                      <w:szCs w:val="22"/>
                    </w:rPr>
                    <w:t>或长度&lt;50km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0" w:hRule="exact"/>
                <w:jc w:val="center"/>
              </w:trPr>
              <w:tc>
                <w:tcPr>
                  <w:tcW w:w="2239"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特殊生态敏感区</w:t>
                  </w:r>
                </w:p>
              </w:tc>
              <w:tc>
                <w:tcPr>
                  <w:tcW w:w="2031"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一级</w:t>
                  </w:r>
                </w:p>
              </w:tc>
              <w:tc>
                <w:tcPr>
                  <w:tcW w:w="2228"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一级</w:t>
                  </w:r>
                </w:p>
              </w:tc>
              <w:tc>
                <w:tcPr>
                  <w:tcW w:w="2233"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一级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exact"/>
                <w:jc w:val="center"/>
              </w:trPr>
              <w:tc>
                <w:tcPr>
                  <w:tcW w:w="2239"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重要生态敏感区</w:t>
                  </w:r>
                </w:p>
              </w:tc>
              <w:tc>
                <w:tcPr>
                  <w:tcW w:w="2031"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一级</w:t>
                  </w:r>
                </w:p>
              </w:tc>
              <w:tc>
                <w:tcPr>
                  <w:tcW w:w="2228"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二级</w:t>
                  </w:r>
                </w:p>
              </w:tc>
              <w:tc>
                <w:tcPr>
                  <w:tcW w:w="2233"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三级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 w:hRule="exact"/>
                <w:jc w:val="center"/>
              </w:trPr>
              <w:tc>
                <w:tcPr>
                  <w:tcW w:w="2239"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一般区域</w:t>
                  </w:r>
                </w:p>
              </w:tc>
              <w:tc>
                <w:tcPr>
                  <w:tcW w:w="2031"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二级</w:t>
                  </w:r>
                </w:p>
              </w:tc>
              <w:tc>
                <w:tcPr>
                  <w:tcW w:w="2228" w:type="dxa"/>
                  <w:tcBorders>
                    <w:tl2br w:val="nil"/>
                    <w:tr2bl w:val="nil"/>
                  </w:tcBorders>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三级</w:t>
                  </w:r>
                </w:p>
              </w:tc>
              <w:tc>
                <w:tcPr>
                  <w:tcW w:w="2233" w:type="dxa"/>
                  <w:tcBorders>
                    <w:tl2br w:val="nil"/>
                    <w:tr2bl w:val="nil"/>
                  </w:tcBorders>
                  <w:shd w:val="clear" w:color="auto" w:fill="00B0F0"/>
                  <w:vAlign w:val="center"/>
                </w:tcPr>
                <w:p>
                  <w:pPr>
                    <w:adjustRightInd w:val="0"/>
                    <w:snapToGrid w:val="0"/>
                    <w:jc w:val="center"/>
                    <w:rPr>
                      <w:rFonts w:hint="default" w:ascii="Times New Roman" w:hAnsi="Times New Roman" w:cs="Times New Roman"/>
                      <w:szCs w:val="22"/>
                    </w:rPr>
                  </w:pPr>
                  <w:r>
                    <w:rPr>
                      <w:rFonts w:hint="default" w:ascii="Times New Roman" w:hAnsi="Times New Roman" w:cs="Times New Roman"/>
                      <w:szCs w:val="22"/>
                    </w:rPr>
                    <w:t>三级</w:t>
                  </w:r>
                </w:p>
              </w:tc>
            </w:tr>
          </w:tbl>
          <w:p>
            <w:pPr>
              <w:spacing w:line="360" w:lineRule="auto"/>
              <w:rPr>
                <w:b/>
                <w:bCs/>
                <w:sz w:val="28"/>
                <w:szCs w:val="28"/>
              </w:rPr>
            </w:pPr>
            <w:r>
              <w:rPr>
                <w:b/>
                <w:bCs/>
                <w:sz w:val="28"/>
                <w:szCs w:val="28"/>
              </w:rPr>
              <w:t>与本项目有关的原有污染情况及主要环境问题</w:t>
            </w:r>
          </w:p>
          <w:p>
            <w:pPr>
              <w:spacing w:line="360" w:lineRule="auto"/>
              <w:ind w:firstLine="470" w:firstLineChars="196"/>
              <w:rPr>
                <w:bCs/>
                <w:color w:val="000000"/>
                <w:sz w:val="24"/>
                <w:szCs w:val="22"/>
              </w:rPr>
            </w:pPr>
            <w:r>
              <w:rPr>
                <w:bCs/>
                <w:color w:val="000000"/>
                <w:sz w:val="24"/>
                <w:szCs w:val="22"/>
              </w:rPr>
              <w:t>根据环评现场勘查，</w:t>
            </w:r>
            <w:r>
              <w:rPr>
                <w:rFonts w:hint="eastAsia"/>
                <w:sz w:val="24"/>
              </w:rPr>
              <w:t>项目</w:t>
            </w:r>
            <w:r>
              <w:rPr>
                <w:rFonts w:hint="eastAsia"/>
                <w:sz w:val="24"/>
                <w:lang w:eastAsia="zh-CN"/>
              </w:rPr>
              <w:t>拟建地原貌为空地</w:t>
            </w:r>
            <w:r>
              <w:rPr>
                <w:rFonts w:hint="eastAsia"/>
                <w:bCs/>
                <w:color w:val="000000"/>
                <w:sz w:val="24"/>
                <w:szCs w:val="22"/>
                <w:lang w:val="en-US" w:eastAsia="zh-CN"/>
              </w:rPr>
              <w:t>，因此不存在与本项目有关的原有污染情况及环境问题。</w:t>
            </w: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pStyle w:val="43"/>
              <w:widowControl/>
              <w:snapToGrid/>
              <w:ind w:firstLine="0" w:firstLineChars="0"/>
              <w:jc w:val="both"/>
              <w:rPr>
                <w:rFonts w:hint="eastAsia" w:ascii="Times New Roman"/>
                <w:b/>
                <w:sz w:val="21"/>
                <w:szCs w:val="21"/>
                <w:u w:val="none"/>
                <w:lang w:eastAsia="zh-CN"/>
              </w:rPr>
            </w:pPr>
          </w:p>
          <w:p>
            <w:pPr>
              <w:pStyle w:val="43"/>
              <w:widowControl/>
              <w:snapToGrid/>
              <w:ind w:firstLine="0" w:firstLineChars="0"/>
              <w:jc w:val="center"/>
              <w:rPr>
                <w:rFonts w:hint="eastAsia" w:ascii="Times New Roman"/>
                <w:b/>
                <w:sz w:val="21"/>
                <w:szCs w:val="21"/>
                <w:u w:val="none"/>
                <w:lang w:eastAsia="zh-CN"/>
              </w:rPr>
            </w:pPr>
          </w:p>
          <w:p>
            <w:pPr>
              <w:spacing w:line="360" w:lineRule="auto"/>
              <w:contextualSpacing/>
              <w:jc w:val="left"/>
              <w:rPr>
                <w:sz w:val="24"/>
              </w:rPr>
            </w:pPr>
          </w:p>
        </w:tc>
      </w:tr>
    </w:tbl>
    <w:p>
      <w:pPr>
        <w:spacing w:line="440" w:lineRule="exact"/>
        <w:outlineLvl w:val="0"/>
        <w:rPr>
          <w:b/>
          <w:sz w:val="32"/>
          <w:szCs w:val="32"/>
        </w:rPr>
      </w:pPr>
      <w:bookmarkStart w:id="1" w:name="_Toc10100"/>
      <w:r>
        <w:rPr>
          <w:rFonts w:hint="eastAsia"/>
          <w:b/>
          <w:sz w:val="32"/>
          <w:szCs w:val="32"/>
        </w:rPr>
        <w:t>2</w:t>
      </w:r>
      <w:r>
        <w:rPr>
          <w:b/>
          <w:sz w:val="32"/>
          <w:szCs w:val="32"/>
        </w:rPr>
        <w:t>建设工程所在地自然环境简况</w:t>
      </w:r>
      <w:bookmarkEnd w:id="1"/>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7" w:hRule="atLeast"/>
          <w:jc w:val="center"/>
        </w:trPr>
        <w:tc>
          <w:tcPr>
            <w:tcW w:w="9072" w:type="dxa"/>
          </w:tcPr>
          <w:p>
            <w:pPr>
              <w:spacing w:line="360" w:lineRule="auto"/>
              <w:rPr>
                <w:b/>
                <w:color w:val="000000"/>
                <w:sz w:val="28"/>
                <w:szCs w:val="28"/>
              </w:rPr>
            </w:pPr>
            <w:r>
              <w:rPr>
                <w:b/>
                <w:color w:val="000000"/>
                <w:sz w:val="28"/>
                <w:szCs w:val="28"/>
              </w:rPr>
              <w:t>自然环境简况(地形、地貌、地质、气候、气象、水文、生物多样性等)：</w:t>
            </w:r>
          </w:p>
          <w:p>
            <w:pPr>
              <w:spacing w:line="360" w:lineRule="auto"/>
              <w:ind w:firstLine="472" w:firstLineChars="196"/>
              <w:rPr>
                <w:bCs/>
                <w:color w:val="000000"/>
                <w:sz w:val="24"/>
                <w:szCs w:val="22"/>
              </w:rPr>
            </w:pPr>
            <w:r>
              <w:rPr>
                <w:b/>
                <w:sz w:val="24"/>
              </w:rPr>
              <w:t>1、地理位置</w:t>
            </w:r>
          </w:p>
          <w:p>
            <w:pPr>
              <w:pStyle w:val="38"/>
              <w:rPr>
                <w:rFonts w:hint="default" w:ascii="Times New Roman" w:hAnsi="Times New Roman" w:cs="Times New Roman"/>
              </w:rPr>
            </w:pPr>
            <w:r>
              <w:rPr>
                <w:rFonts w:hint="default" w:ascii="Times New Roman" w:hAnsi="Times New Roman" w:cs="Times New Roman"/>
              </w:rPr>
              <w:t>津市市位于湖南省北部，澧水下游地区，土地总面积550.79km</w:t>
            </w:r>
            <w:r>
              <w:rPr>
                <w:rFonts w:hint="default" w:ascii="Times New Roman" w:hAnsi="Times New Roman" w:cs="Times New Roman"/>
                <w:vertAlign w:val="superscript"/>
              </w:rPr>
              <w:t>2</w:t>
            </w:r>
            <w:r>
              <w:rPr>
                <w:rFonts w:hint="default" w:ascii="Times New Roman" w:hAnsi="Times New Roman" w:cs="Times New Roman"/>
              </w:rPr>
              <w:t>，地理位置介于东经111º45’59”- 112º1’40”，北纬29º16’30”-29º39’46”之间，境南接常德市鼎城区，西北、东北与澧县抵界，境西与临澧接壤，距省会长沙市240km。其特有的边际区位能不同程度的接受各方（周边大中城市）辐射，与桃源县、汉寿县、临澧县等地相比，其受辐射源挤压的程度要小，在经济发展过程中，主动权更大。湖南津市经济开发区位于津市市区的南面、开发区的最南面与新洲镇嘉山风景名胜区相距3km，东面与澧水风光带相接，总面积为640ha。</w:t>
            </w:r>
          </w:p>
          <w:p>
            <w:pPr>
              <w:spacing w:line="360" w:lineRule="auto"/>
              <w:ind w:firstLine="470" w:firstLineChars="196"/>
              <w:rPr>
                <w:bCs/>
                <w:color w:val="000000"/>
                <w:sz w:val="24"/>
                <w:szCs w:val="22"/>
              </w:rPr>
            </w:pPr>
            <w:r>
              <w:rPr>
                <w:rFonts w:hint="default" w:ascii="Times New Roman" w:hAnsi="Times New Roman" w:cs="Times New Roman"/>
                <w:sz w:val="24"/>
                <w:szCs w:val="24"/>
              </w:rPr>
              <w:t>项目建设地位于湖南省津市高新技术产业开发区</w:t>
            </w:r>
            <w:r>
              <w:rPr>
                <w:rFonts w:hint="eastAsia" w:ascii="Times New Roman" w:hAnsi="Times New Roman" w:cs="Times New Roman"/>
                <w:sz w:val="24"/>
                <w:lang w:val="en-US" w:eastAsia="zh-CN"/>
              </w:rPr>
              <w:t>周家铺路以西创业路以北地块</w:t>
            </w:r>
            <w:r>
              <w:rPr>
                <w:rFonts w:hint="eastAsia" w:ascii="Times New Roman" w:hAnsi="Times New Roman" w:cs="Times New Roman"/>
                <w:sz w:val="24"/>
                <w:lang w:eastAsia="zh-CN"/>
              </w:rPr>
              <w:t>，</w:t>
            </w:r>
            <w:r>
              <w:rPr>
                <w:rFonts w:hint="default" w:ascii="Times New Roman" w:hAnsi="Times New Roman" w:cs="Times New Roman"/>
                <w:sz w:val="24"/>
              </w:rPr>
              <w:t>项目地理中心坐标为：E：111°51′46.56″，N：29°33′58.58″，详见项目地理位置图（附图1）。</w:t>
            </w:r>
          </w:p>
          <w:p>
            <w:pPr>
              <w:spacing w:line="360" w:lineRule="auto"/>
              <w:ind w:firstLine="602" w:firstLineChars="250"/>
              <w:rPr>
                <w:b/>
                <w:sz w:val="24"/>
              </w:rPr>
            </w:pPr>
            <w:r>
              <w:rPr>
                <w:b/>
                <w:sz w:val="24"/>
              </w:rPr>
              <w:t>2、地形、地貌</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zh-CN"/>
              </w:rPr>
              <w:t>（</w:t>
            </w:r>
            <w:r>
              <w:rPr>
                <w:rFonts w:hint="eastAsia" w:cs="Times New Roman"/>
                <w:sz w:val="24"/>
                <w:szCs w:val="22"/>
                <w:lang w:val="en-US" w:eastAsia="zh-CN"/>
              </w:rPr>
              <w:t>1</w:t>
            </w:r>
            <w:r>
              <w:rPr>
                <w:rFonts w:hint="eastAsia" w:cs="Times New Roman"/>
                <w:sz w:val="24"/>
                <w:szCs w:val="22"/>
                <w:lang w:val="zh-CN"/>
              </w:rPr>
              <w:t>）</w:t>
            </w:r>
            <w:r>
              <w:rPr>
                <w:rFonts w:hint="default" w:ascii="Times New Roman" w:hAnsi="Times New Roman" w:cs="Times New Roman"/>
                <w:sz w:val="24"/>
                <w:szCs w:val="22"/>
                <w:lang w:val="zh-CN"/>
              </w:rPr>
              <w:t>地形地貌</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津市市属武陵山余脉向洞庭湖盆地过渡的地带，且处在富庶的澧水流域山区和肥沃的洞庭湖滨的结合点上，丘陵、平原兼而有之，从而构成了优越的自然资源环境。地形以澧水为天然分界线，西南岸为山岗丘陵，东北岸为江汉平原边地，整个地势由西南向东北倾斜，地表升降明显。</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zh-CN"/>
              </w:rPr>
              <w:t>（</w:t>
            </w:r>
            <w:r>
              <w:rPr>
                <w:rFonts w:hint="eastAsia" w:cs="Times New Roman"/>
                <w:sz w:val="24"/>
                <w:szCs w:val="22"/>
                <w:lang w:val="en-US" w:eastAsia="zh-CN"/>
              </w:rPr>
              <w:t>2</w:t>
            </w:r>
            <w:r>
              <w:rPr>
                <w:rFonts w:hint="eastAsia" w:cs="Times New Roman"/>
                <w:sz w:val="24"/>
                <w:szCs w:val="22"/>
                <w:lang w:val="zh-CN"/>
              </w:rPr>
              <w:t>）</w:t>
            </w:r>
            <w:r>
              <w:rPr>
                <w:rFonts w:hint="default" w:ascii="Times New Roman" w:hAnsi="Times New Roman" w:cs="Times New Roman"/>
                <w:sz w:val="24"/>
                <w:szCs w:val="22"/>
                <w:lang w:val="zh-CN"/>
              </w:rPr>
              <w:t>地质条件</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①工程地质条件</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境内地层大面积为第四季覆盖，全部为松散沉积物，老地层零星分布。工程地质分平原和岗丘两个地质区，平原地质区主要分布在涔澹农场至市北区一带以及渡口</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保河堤等河湖交汇地带，地基属双层结构，上层允许承载力10t/m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，下层一般大于10t/m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。岗丘地质区主要分布于皇姑山至灵泉，嘉山至白衣庵地带以及津市南侧边缘地带。表面允许承载力为10t/m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左右，下层允许承载力一般在300-800t/m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之间。</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项目区域内的岩土为第四系全新统（Q</w:t>
            </w:r>
            <w:r>
              <w:rPr>
                <w:rFonts w:hint="default" w:ascii="Times New Roman" w:hAnsi="Times New Roman" w:cs="Times New Roman"/>
                <w:sz w:val="24"/>
                <w:szCs w:val="22"/>
                <w:vertAlign w:val="subscript"/>
                <w:lang w:val="zh-CN"/>
              </w:rPr>
              <w:t>4</w:t>
            </w:r>
            <w:r>
              <w:rPr>
                <w:rFonts w:hint="default" w:ascii="Times New Roman" w:hAnsi="Times New Roman" w:cs="Times New Roman"/>
                <w:sz w:val="24"/>
                <w:szCs w:val="22"/>
                <w:lang w:val="zh-CN"/>
              </w:rPr>
              <w:t>）种植土及中更新统(Q</w:t>
            </w:r>
            <w:r>
              <w:rPr>
                <w:rFonts w:hint="default" w:ascii="Times New Roman" w:hAnsi="Times New Roman" w:cs="Times New Roman"/>
                <w:sz w:val="24"/>
                <w:szCs w:val="22"/>
                <w:vertAlign w:val="subscript"/>
                <w:lang w:val="zh-CN"/>
              </w:rPr>
              <w:t>2</w:t>
            </w:r>
            <w:r>
              <w:rPr>
                <w:rFonts w:hint="default" w:ascii="Times New Roman" w:hAnsi="Times New Roman" w:cs="Times New Roman"/>
                <w:sz w:val="24"/>
                <w:szCs w:val="22"/>
                <w:lang w:val="zh-CN"/>
              </w:rPr>
              <w:t>)粉质粘土，其特征至上而下分述如下：</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en-US" w:eastAsia="zh-CN"/>
              </w:rPr>
              <w:t>a、</w:t>
            </w:r>
            <w:r>
              <w:rPr>
                <w:rFonts w:hint="default" w:ascii="Times New Roman" w:hAnsi="Times New Roman" w:cs="Times New Roman"/>
                <w:sz w:val="24"/>
                <w:szCs w:val="22"/>
                <w:lang w:val="zh-CN"/>
              </w:rPr>
              <w:t>种植土①（Q</w:t>
            </w:r>
            <w:r>
              <w:rPr>
                <w:rFonts w:hint="default" w:ascii="Times New Roman" w:hAnsi="Times New Roman" w:cs="Times New Roman"/>
                <w:sz w:val="24"/>
                <w:szCs w:val="22"/>
                <w:vertAlign w:val="subscript"/>
                <w:lang w:val="zh-CN"/>
              </w:rPr>
              <w:t>4</w:t>
            </w:r>
            <w:r>
              <w:rPr>
                <w:rFonts w:hint="default" w:ascii="Times New Roman" w:hAnsi="Times New Roman" w:cs="Times New Roman"/>
                <w:sz w:val="24"/>
                <w:szCs w:val="22"/>
                <w:vertAlign w:val="superscript"/>
                <w:lang w:val="zh-CN"/>
              </w:rPr>
              <w:t>ml</w:t>
            </w:r>
            <w:r>
              <w:rPr>
                <w:rFonts w:hint="default" w:ascii="Times New Roman" w:hAnsi="Times New Roman" w:cs="Times New Roman"/>
                <w:sz w:val="24"/>
                <w:szCs w:val="22"/>
                <w:lang w:val="zh-CN"/>
              </w:rPr>
              <w:t>）：黄褐色，稍湿，松散状，以粘性土为主，表层含植物根茎，夹为砖渣、圆砾，土质不均匀，据调查了解，堆填时间小于十年，未完成自重固结。该层厚度0.90～1.50 m，层底标高37.98～44.34m。</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en-US" w:eastAsia="zh-CN"/>
              </w:rPr>
              <w:t>b、</w:t>
            </w:r>
            <w:r>
              <w:rPr>
                <w:rFonts w:hint="default" w:ascii="Times New Roman" w:hAnsi="Times New Roman" w:cs="Times New Roman"/>
                <w:sz w:val="24"/>
                <w:szCs w:val="22"/>
                <w:lang w:val="zh-CN"/>
              </w:rPr>
              <w:t>粉质粘土②（Q</w:t>
            </w:r>
            <w:r>
              <w:rPr>
                <w:rFonts w:hint="default" w:ascii="Times New Roman" w:hAnsi="Times New Roman" w:cs="Times New Roman"/>
                <w:sz w:val="24"/>
                <w:szCs w:val="22"/>
                <w:vertAlign w:val="subscript"/>
                <w:lang w:val="zh-CN"/>
              </w:rPr>
              <w:t>2</w:t>
            </w:r>
            <w:r>
              <w:rPr>
                <w:rFonts w:hint="default" w:ascii="Times New Roman" w:hAnsi="Times New Roman" w:cs="Times New Roman"/>
                <w:sz w:val="24"/>
                <w:szCs w:val="22"/>
                <w:vertAlign w:val="superscript"/>
                <w:lang w:val="zh-CN"/>
              </w:rPr>
              <w:t>el</w:t>
            </w:r>
            <w:r>
              <w:rPr>
                <w:rFonts w:hint="default" w:ascii="Times New Roman" w:hAnsi="Times New Roman" w:cs="Times New Roman"/>
                <w:sz w:val="24"/>
                <w:szCs w:val="22"/>
                <w:lang w:val="zh-CN"/>
              </w:rPr>
              <w:t>）：黄褐色，坚硬状，以粘粒为主，含高岭土条带，夹铁锰质结核，切面较光滑，干强度及韧性中等，摇震无反应。</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②水文地质条件</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根据项目区域工程勘察和地下水监测调查的结果，区域及周边表层覆盖约20m厚的粘土，渗透系数约为9.50×10</w:t>
            </w:r>
            <w:r>
              <w:rPr>
                <w:rFonts w:hint="default" w:ascii="Times New Roman" w:hAnsi="Times New Roman" w:cs="Times New Roman"/>
                <w:sz w:val="24"/>
                <w:szCs w:val="22"/>
                <w:vertAlign w:val="superscript"/>
                <w:lang w:val="zh-CN"/>
              </w:rPr>
              <w:t>-6</w:t>
            </w:r>
            <w:r>
              <w:rPr>
                <w:rFonts w:hint="default" w:ascii="Times New Roman" w:hAnsi="Times New Roman" w:cs="Times New Roman"/>
                <w:sz w:val="24"/>
                <w:szCs w:val="22"/>
                <w:lang w:val="zh-CN"/>
              </w:rPr>
              <w:t>cm/s，赋水性和透水性均很差。调查周边居民井可知，粘土层下的砂砾石含水层为承压含水层，承压水位稳定水位埋深在0.5-3.6m不等，承压水位标高在42.4m-48.7m，平均标高为45.9m。</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项目区域除地表覆盖人工回填土外，向下有厚度20m左右的粘土，然后是砂砾石、中粗细砂等含水层。粘土层厚且透水性差，因此区内地下水接受的大气降雨入渗补给很少，主要为侧向径流补给；该含水层的主要排泄方式是侧向径流排泄至洞庭湖中心区域，人工开采也是该含水层的重要排泄方式。</w:t>
            </w:r>
          </w:p>
          <w:p>
            <w:pPr>
              <w:pStyle w:val="33"/>
              <w:spacing w:line="360" w:lineRule="auto"/>
              <w:rPr>
                <w:bCs/>
                <w:sz w:val="28"/>
                <w:szCs w:val="28"/>
              </w:rPr>
            </w:pPr>
            <w:r>
              <w:rPr>
                <w:rFonts w:hint="default" w:ascii="Times New Roman" w:hAnsi="Times New Roman" w:cs="Times New Roman"/>
                <w:sz w:val="24"/>
                <w:szCs w:val="22"/>
                <w:lang w:val="zh-CN"/>
              </w:rPr>
              <w:t>区内含水层为承压含水层，地下水动态受季节变化的影响相对较小，根据调查，该含水层水位变幅不大</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在0.5-1m左右，地下水大致流向为西向东。由于含水层为承压水，其年内动态变化相对较小。</w:t>
            </w:r>
          </w:p>
          <w:p>
            <w:pPr>
              <w:spacing w:line="360" w:lineRule="auto"/>
              <w:ind w:firstLine="602" w:firstLineChars="250"/>
              <w:rPr>
                <w:b/>
                <w:sz w:val="24"/>
              </w:rPr>
            </w:pPr>
            <w:r>
              <w:rPr>
                <w:b/>
                <w:sz w:val="24"/>
              </w:rPr>
              <w:t>3、水文状况</w:t>
            </w:r>
          </w:p>
          <w:p>
            <w:pPr>
              <w:pStyle w:val="38"/>
              <w:rPr>
                <w:rFonts w:ascii="Times New Roman" w:hAnsi="Times New Roman"/>
              </w:rPr>
            </w:pPr>
            <w:r>
              <w:rPr>
                <w:rFonts w:hint="eastAsia" w:ascii="Times New Roman"/>
                <w:lang w:eastAsia="zh-CN"/>
              </w:rPr>
              <w:t>（</w:t>
            </w:r>
            <w:r>
              <w:rPr>
                <w:rFonts w:hint="eastAsia" w:ascii="Times New Roman"/>
                <w:lang w:val="en-US" w:eastAsia="zh-CN"/>
              </w:rPr>
              <w:t>1</w:t>
            </w:r>
            <w:r>
              <w:rPr>
                <w:rFonts w:hint="eastAsia" w:ascii="Times New Roman"/>
                <w:lang w:eastAsia="zh-CN"/>
              </w:rPr>
              <w:t>）</w:t>
            </w:r>
            <w:r>
              <w:rPr>
                <w:rFonts w:ascii="Times New Roman" w:hAnsi="Times New Roman"/>
              </w:rPr>
              <w:t>地表水</w:t>
            </w:r>
          </w:p>
          <w:p>
            <w:pPr>
              <w:pStyle w:val="38"/>
              <w:rPr>
                <w:rFonts w:ascii="Times New Roman" w:hAnsi="Times New Roman"/>
              </w:rPr>
            </w:pPr>
            <w:r>
              <w:rPr>
                <w:rFonts w:ascii="Times New Roman" w:hAnsi="Times New Roman"/>
              </w:rPr>
              <w:t>津市市目前的</w:t>
            </w:r>
            <w:r>
              <w:rPr>
                <w:rFonts w:hint="eastAsia" w:ascii="Times New Roman" w:hAnsi="Times New Roman"/>
                <w:lang w:eastAsia="zh-CN"/>
              </w:rPr>
              <w:t>大洼</w:t>
            </w:r>
            <w:r>
              <w:rPr>
                <w:rFonts w:ascii="Times New Roman" w:hAnsi="Times New Roman"/>
              </w:rPr>
              <w:t>水</w:t>
            </w:r>
            <w:r>
              <w:rPr>
                <w:rFonts w:hint="eastAsia" w:ascii="Times New Roman" w:hAnsi="Times New Roman"/>
                <w:lang w:eastAsia="zh-CN"/>
              </w:rPr>
              <w:t>厂</w:t>
            </w:r>
            <w:r>
              <w:rPr>
                <w:rFonts w:ascii="Times New Roman" w:hAnsi="Times New Roman"/>
              </w:rPr>
              <w:t>取澧水为水源，津市水系可分为澧水、四口、西湖三个水系。其中，澧水为湖南四大河流之一，其干流分北、中、南三源。北源为主、源于桑植县杉木界，中源于桑植县八大公山东麓，南源于永顺县龙家寨，三源于桑植县南岔汇合后东流。沿途接溇水、渫水、道水和涔水等支流，至津市市小渡口注入洞庭湖。干流全长388km，流域面积18496km</w:t>
            </w:r>
            <w:r>
              <w:rPr>
                <w:rFonts w:ascii="Times New Roman" w:hAnsi="Times New Roman"/>
                <w:vertAlign w:val="superscript"/>
              </w:rPr>
              <w:t>2</w:t>
            </w:r>
            <w:r>
              <w:rPr>
                <w:rFonts w:ascii="Times New Roman" w:hAnsi="Times New Roman"/>
              </w:rPr>
              <w:t>（湖南15505km</w:t>
            </w:r>
            <w:r>
              <w:rPr>
                <w:rFonts w:ascii="Times New Roman" w:hAnsi="Times New Roman"/>
                <w:vertAlign w:val="superscript"/>
              </w:rPr>
              <w:t>2</w:t>
            </w:r>
            <w:r>
              <w:rPr>
                <w:rFonts w:ascii="Times New Roman" w:hAnsi="Times New Roman"/>
              </w:rPr>
              <w:t>），多年平均径流量131.2亿m</w:t>
            </w:r>
            <w:r>
              <w:rPr>
                <w:rFonts w:ascii="Times New Roman" w:hAnsi="Times New Roman"/>
                <w:vertAlign w:val="superscript"/>
              </w:rPr>
              <w:t>3</w:t>
            </w:r>
            <w:r>
              <w:rPr>
                <w:rFonts w:ascii="Times New Roman" w:hAnsi="Times New Roman"/>
              </w:rPr>
              <w:t>。</w:t>
            </w:r>
          </w:p>
          <w:p>
            <w:pPr>
              <w:pStyle w:val="38"/>
              <w:rPr>
                <w:rFonts w:ascii="Times New Roman" w:hAnsi="Times New Roman"/>
              </w:rPr>
            </w:pPr>
            <w:r>
              <w:rPr>
                <w:rFonts w:ascii="Times New Roman" w:hAnsi="Times New Roman"/>
              </w:rPr>
              <w:t>澧水津市段过境总长47km，自西向东横贯市区，至小渡口南折，沿市境东部边缘注入洞庭湖，将津市市区分为南北两部分。羊湖口河面极宽处500m左右，刘公桥极窄处276m。</w:t>
            </w:r>
          </w:p>
          <w:p>
            <w:pPr>
              <w:pStyle w:val="38"/>
              <w:rPr>
                <w:rFonts w:ascii="Times New Roman" w:hAnsi="Times New Roman"/>
              </w:rPr>
            </w:pPr>
            <w:r>
              <w:rPr>
                <w:rFonts w:ascii="Times New Roman" w:hAnsi="Times New Roman"/>
              </w:rPr>
              <w:t>澧水下游自石门至津市窑坡渡，水道长71km，两岸山势低远，为平原地形，河道平均坡降为0.2‰。澧水经窑坡渡河段水文条件：</w:t>
            </w:r>
          </w:p>
          <w:p>
            <w:pPr>
              <w:pStyle w:val="38"/>
              <w:rPr>
                <w:rFonts w:ascii="Times New Roman" w:hAnsi="Times New Roman"/>
              </w:rPr>
            </w:pPr>
            <w:r>
              <w:rPr>
                <w:rFonts w:ascii="Times New Roman" w:hAnsi="Times New Roman"/>
              </w:rPr>
              <w:t>年平均流量：473m</w:t>
            </w:r>
            <w:r>
              <w:rPr>
                <w:rFonts w:ascii="Times New Roman" w:hAnsi="Times New Roman"/>
                <w:vertAlign w:val="superscript"/>
              </w:rPr>
              <w:t>3</w:t>
            </w:r>
            <w:r>
              <w:rPr>
                <w:rFonts w:ascii="Times New Roman" w:hAnsi="Times New Roman"/>
              </w:rPr>
              <w:t>/s；</w:t>
            </w:r>
          </w:p>
          <w:p>
            <w:pPr>
              <w:pStyle w:val="38"/>
              <w:rPr>
                <w:rFonts w:ascii="Times New Roman" w:hAnsi="Times New Roman"/>
              </w:rPr>
            </w:pPr>
            <w:r>
              <w:rPr>
                <w:rFonts w:ascii="Times New Roman" w:hAnsi="Times New Roman"/>
              </w:rPr>
              <w:t>最枯月平均流量：95m</w:t>
            </w:r>
            <w:r>
              <w:rPr>
                <w:rFonts w:ascii="Times New Roman" w:hAnsi="Times New Roman"/>
                <w:vertAlign w:val="superscript"/>
              </w:rPr>
              <w:t>3</w:t>
            </w:r>
            <w:r>
              <w:rPr>
                <w:rFonts w:ascii="Times New Roman" w:hAnsi="Times New Roman"/>
              </w:rPr>
              <w:t>/s；</w:t>
            </w:r>
          </w:p>
          <w:p>
            <w:pPr>
              <w:pStyle w:val="38"/>
              <w:rPr>
                <w:rFonts w:ascii="Times New Roman" w:hAnsi="Times New Roman"/>
              </w:rPr>
            </w:pPr>
            <w:r>
              <w:rPr>
                <w:rFonts w:ascii="Times New Roman" w:hAnsi="Times New Roman"/>
              </w:rPr>
              <w:t>最丰月平均流量：1154m</w:t>
            </w:r>
            <w:r>
              <w:rPr>
                <w:rFonts w:ascii="Times New Roman" w:hAnsi="Times New Roman"/>
                <w:vertAlign w:val="superscript"/>
              </w:rPr>
              <w:t>3</w:t>
            </w:r>
            <w:r>
              <w:rPr>
                <w:rFonts w:ascii="Times New Roman" w:hAnsi="Times New Roman"/>
              </w:rPr>
              <w:t>/s；</w:t>
            </w:r>
          </w:p>
          <w:p>
            <w:pPr>
              <w:pStyle w:val="38"/>
              <w:rPr>
                <w:rFonts w:ascii="Times New Roman" w:hAnsi="Times New Roman"/>
              </w:rPr>
            </w:pPr>
            <w:r>
              <w:rPr>
                <w:rFonts w:ascii="Times New Roman" w:hAnsi="Times New Roman"/>
              </w:rPr>
              <w:t>年平均水位：33.71m；</w:t>
            </w:r>
          </w:p>
          <w:p>
            <w:pPr>
              <w:pStyle w:val="38"/>
              <w:rPr>
                <w:rFonts w:ascii="Times New Roman" w:hAnsi="Times New Roman"/>
              </w:rPr>
            </w:pPr>
            <w:r>
              <w:rPr>
                <w:rFonts w:ascii="Times New Roman" w:hAnsi="Times New Roman"/>
              </w:rPr>
              <w:t>极端最高水位：42.56m；</w:t>
            </w:r>
          </w:p>
          <w:p>
            <w:pPr>
              <w:pStyle w:val="38"/>
              <w:rPr>
                <w:rFonts w:ascii="Times New Roman" w:hAnsi="Times New Roman"/>
              </w:rPr>
            </w:pPr>
            <w:r>
              <w:rPr>
                <w:rFonts w:ascii="Times New Roman" w:hAnsi="Times New Roman"/>
              </w:rPr>
              <w:t>年平均流速：0.3m/s；</w:t>
            </w:r>
          </w:p>
          <w:p>
            <w:pPr>
              <w:pStyle w:val="38"/>
              <w:rPr>
                <w:rFonts w:ascii="Times New Roman" w:hAnsi="Times New Roman"/>
              </w:rPr>
            </w:pPr>
            <w:r>
              <w:rPr>
                <w:rFonts w:ascii="Times New Roman" w:hAnsi="Times New Roman"/>
              </w:rPr>
              <w:t>年平均水面宽：300m；</w:t>
            </w:r>
          </w:p>
          <w:p>
            <w:pPr>
              <w:pStyle w:val="38"/>
              <w:rPr>
                <w:rFonts w:ascii="Times New Roman" w:hAnsi="Times New Roman"/>
              </w:rPr>
            </w:pPr>
            <w:r>
              <w:rPr>
                <w:rFonts w:ascii="Times New Roman" w:hAnsi="Times New Roman"/>
              </w:rPr>
              <w:t>年平均水深：4.6m；</w:t>
            </w:r>
          </w:p>
          <w:p>
            <w:pPr>
              <w:pStyle w:val="38"/>
              <w:rPr>
                <w:rFonts w:ascii="Times New Roman" w:hAnsi="Times New Roman"/>
              </w:rPr>
            </w:pPr>
            <w:r>
              <w:rPr>
                <w:rFonts w:ascii="Times New Roman" w:hAnsi="Times New Roman"/>
              </w:rPr>
              <w:t>年平均水温：17.5</w:t>
            </w:r>
            <w:r>
              <w:rPr>
                <w:rFonts w:hint="eastAsia" w:cs="宋体"/>
              </w:rPr>
              <w:t>℃</w:t>
            </w:r>
            <w:r>
              <w:rPr>
                <w:rFonts w:ascii="Times New Roman" w:hAnsi="Times New Roman"/>
              </w:rPr>
              <w:t>。</w:t>
            </w:r>
          </w:p>
          <w:p>
            <w:pPr>
              <w:pStyle w:val="38"/>
              <w:rPr>
                <w:rFonts w:ascii="Times New Roman" w:hAnsi="Times New Roman"/>
              </w:rPr>
            </w:pPr>
            <w:r>
              <w:rPr>
                <w:rFonts w:ascii="Times New Roman" w:hAnsi="Times New Roman"/>
              </w:rPr>
              <w:t>本区域雨水由</w:t>
            </w:r>
            <w:r>
              <w:rPr>
                <w:rFonts w:hint="eastAsia" w:ascii="Times New Roman" w:hAnsi="Times New Roman"/>
                <w:lang w:eastAsia="zh-CN"/>
              </w:rPr>
              <w:t>市政雨水管网</w:t>
            </w:r>
            <w:r>
              <w:rPr>
                <w:rFonts w:ascii="Times New Roman" w:hAnsi="Times New Roman"/>
              </w:rPr>
              <w:t>排入澧水，不排入团湖、胥家湖；本项目所在区域地下水未利用，居民饮水主要水源为地表水澧水，由津市自来水公司供给。</w:t>
            </w:r>
          </w:p>
          <w:p>
            <w:pPr>
              <w:pStyle w:val="38"/>
              <w:rPr>
                <w:rFonts w:hint="eastAsia" w:ascii="Times New Roman" w:hAnsi="Times New Roman" w:eastAsiaTheme="minorEastAsia"/>
                <w:lang w:val="en-US" w:eastAsia="zh-CN"/>
              </w:rPr>
            </w:pPr>
            <w:r>
              <w:rPr>
                <w:rFonts w:hint="eastAsia" w:ascii="Times New Roman"/>
                <w:lang w:val="en-US" w:eastAsia="zh-CN"/>
              </w:rPr>
              <w:t>（2）</w:t>
            </w:r>
            <w:r>
              <w:rPr>
                <w:rFonts w:hint="eastAsia" w:ascii="Times New Roman" w:hAnsi="Times New Roman"/>
                <w:lang w:val="en-US" w:eastAsia="zh-CN"/>
              </w:rPr>
              <w:t>地下水</w:t>
            </w:r>
          </w:p>
          <w:p>
            <w:pPr>
              <w:pStyle w:val="38"/>
              <w:rPr>
                <w:rFonts w:hint="eastAsia" w:ascii="Times New Roman" w:hAnsi="Times New Roman"/>
                <w:lang w:eastAsia="zh-CN"/>
              </w:rPr>
            </w:pPr>
            <w:r>
              <w:rPr>
                <w:rFonts w:ascii="Times New Roman" w:hAnsi="Times New Roman"/>
              </w:rPr>
              <w:t>津市地下水储量丰富，以涔澹农场至市北区地带为最多，0-7m以内单井日出水量，达2200t以上，7m以下单井日出水量达1000t以上，其他地段单井出水量亦多在500-800t左右。</w:t>
            </w:r>
          </w:p>
          <w:p>
            <w:pPr>
              <w:pStyle w:val="38"/>
              <w:rPr>
                <w:rFonts w:ascii="Times New Roman" w:hAnsi="Times New Roman"/>
              </w:rPr>
            </w:pPr>
            <w:r>
              <w:rPr>
                <w:rFonts w:hint="eastAsia" w:ascii="Times New Roman" w:hAnsi="Times New Roman"/>
                <w:lang w:val="en-US" w:eastAsia="zh-CN"/>
              </w:rPr>
              <w:t>1</w:t>
            </w:r>
            <w:r>
              <w:rPr>
                <w:rFonts w:hint="eastAsia" w:ascii="Times New Roman" w:hAnsi="Times New Roman"/>
                <w:lang w:eastAsia="zh-CN"/>
              </w:rPr>
              <w:t>）</w:t>
            </w:r>
            <w:r>
              <w:rPr>
                <w:rFonts w:ascii="Times New Roman" w:hAnsi="Times New Roman"/>
              </w:rPr>
              <w:t>区域水文地质条件 根据含水岩组的赋存条件，水理性质和水力特征，可将区内地下水分为：基岩裂隙水、红层碎屑岩裂隙孔隙水和松散岩类孔隙水（图</w:t>
            </w:r>
            <w:r>
              <w:rPr>
                <w:rFonts w:hint="eastAsia" w:ascii="Times New Roman" w:hAnsi="Times New Roman"/>
                <w:lang w:val="en-US" w:eastAsia="zh-CN"/>
              </w:rPr>
              <w:t>4</w:t>
            </w:r>
            <w:r>
              <w:rPr>
                <w:rFonts w:hint="default" w:ascii="Times New Roman" w:hAnsi="Times New Roman"/>
              </w:rPr>
              <w:t>-1</w:t>
            </w:r>
            <w:r>
              <w:rPr>
                <w:rFonts w:ascii="Times New Roman" w:hAnsi="Times New Roman"/>
              </w:rPr>
              <w:t>，图</w:t>
            </w:r>
            <w:r>
              <w:rPr>
                <w:rFonts w:hint="eastAsia" w:ascii="Times New Roman" w:hAnsi="Times New Roman"/>
                <w:lang w:val="en-US" w:eastAsia="zh-CN"/>
              </w:rPr>
              <w:t>4</w:t>
            </w:r>
            <w:r>
              <w:rPr>
                <w:rFonts w:hint="default" w:ascii="Times New Roman" w:hAnsi="Times New Roman"/>
              </w:rPr>
              <w:t>-2</w:t>
            </w:r>
            <w:r>
              <w:rPr>
                <w:rFonts w:ascii="Times New Roman" w:hAnsi="Times New Roman"/>
              </w:rPr>
              <w:t>）。</w:t>
            </w:r>
          </w:p>
          <w:p>
            <w:pPr>
              <w:pStyle w:val="38"/>
              <w:rPr>
                <w:rFonts w:ascii="Times New Roman" w:hAnsi="Times New Roman"/>
              </w:rPr>
            </w:pPr>
            <w:r>
              <w:rPr>
                <w:rFonts w:hint="eastAsia" w:ascii="Times New Roman"/>
                <w:lang w:eastAsia="zh-CN"/>
              </w:rPr>
              <w:t>①</w:t>
            </w:r>
            <w:r>
              <w:rPr>
                <w:rFonts w:ascii="Times New Roman" w:hAnsi="Times New Roman"/>
              </w:rPr>
              <w:t>基岩裂隙水富水特征 主要分布在西毛里湖西部的基岩山区，岩性主要为前寒武系的浅变质岩和震旦系的砂岩、板岩。浅部风化裂隙发育，风化带深一般为</w:t>
            </w:r>
            <w:r>
              <w:rPr>
                <w:rFonts w:hint="default" w:ascii="Times New Roman" w:hAnsi="Times New Roman"/>
              </w:rPr>
              <w:t>10-14m</w:t>
            </w:r>
            <w:r>
              <w:rPr>
                <w:rFonts w:ascii="Times New Roman" w:hAnsi="Times New Roman"/>
              </w:rPr>
              <w:t>，局部可达</w:t>
            </w:r>
            <w:r>
              <w:rPr>
                <w:rFonts w:hint="default" w:ascii="Times New Roman" w:hAnsi="Times New Roman"/>
              </w:rPr>
              <w:t>172.04m</w:t>
            </w:r>
            <w:r>
              <w:rPr>
                <w:rFonts w:ascii="Times New Roman" w:hAnsi="Times New Roman"/>
              </w:rPr>
              <w:t>；面裂隙率为</w:t>
            </w:r>
            <w:r>
              <w:rPr>
                <w:rFonts w:hint="default" w:ascii="Times New Roman" w:hAnsi="Times New Roman"/>
              </w:rPr>
              <w:t>0.1-6.167%</w:t>
            </w:r>
            <w:r>
              <w:rPr>
                <w:rFonts w:ascii="Times New Roman" w:hAnsi="Times New Roman"/>
              </w:rPr>
              <w:t>，局部最大达</w:t>
            </w:r>
            <w:r>
              <w:rPr>
                <w:rFonts w:hint="default" w:ascii="Times New Roman" w:hAnsi="Times New Roman"/>
              </w:rPr>
              <w:t>20.22%</w:t>
            </w:r>
            <w:r>
              <w:rPr>
                <w:rFonts w:ascii="Times New Roman" w:hAnsi="Times New Roman"/>
              </w:rPr>
              <w:t>。较普遍含风化裂隙水，泉水流量一般为</w:t>
            </w:r>
            <w:r>
              <w:rPr>
                <w:rFonts w:hint="default" w:ascii="Times New Roman" w:hAnsi="Times New Roman"/>
              </w:rPr>
              <w:t>0.014-0.967L/s</w:t>
            </w:r>
            <w:r>
              <w:rPr>
                <w:rFonts w:ascii="Times New Roman" w:hAnsi="Times New Roman"/>
              </w:rPr>
              <w:t>，个别达</w:t>
            </w:r>
            <w:r>
              <w:rPr>
                <w:rFonts w:hint="default" w:ascii="Times New Roman" w:hAnsi="Times New Roman"/>
              </w:rPr>
              <w:t>2.70L/s</w:t>
            </w:r>
            <w:r>
              <w:rPr>
                <w:rFonts w:ascii="Times New Roman" w:hAnsi="Times New Roman"/>
              </w:rPr>
              <w:t>；地下水径流一般为</w:t>
            </w:r>
            <w:r>
              <w:rPr>
                <w:rFonts w:hint="default" w:ascii="Times New Roman" w:hAnsi="Times New Roman"/>
              </w:rPr>
              <w:t>0.054-2.89L/</w:t>
            </w:r>
            <w:r>
              <w:rPr>
                <w:rFonts w:hint="eastAsia" w:ascii="Times New Roman" w:hAnsi="Times New Roman"/>
                <w:lang w:val="en-US" w:eastAsia="zh-CN"/>
              </w:rPr>
              <w:t>S</w:t>
            </w:r>
            <w:r>
              <w:rPr>
                <w:rFonts w:hint="default" w:ascii="Times New Roman" w:hAnsi="Times New Roman"/>
              </w:rPr>
              <w:t>·km</w:t>
            </w:r>
            <w:r>
              <w:rPr>
                <w:rFonts w:hint="default" w:ascii="Times New Roman" w:hAnsi="Times New Roman"/>
                <w:vertAlign w:val="superscript"/>
              </w:rPr>
              <w:t>2</w:t>
            </w:r>
            <w:r>
              <w:rPr>
                <w:rFonts w:ascii="Times New Roman" w:hAnsi="Times New Roman"/>
              </w:rPr>
              <w:t>，局部达</w:t>
            </w:r>
            <w:r>
              <w:rPr>
                <w:rFonts w:hint="default" w:ascii="Times New Roman" w:hAnsi="Times New Roman"/>
              </w:rPr>
              <w:t>5.43 L/</w:t>
            </w:r>
            <w:r>
              <w:rPr>
                <w:rFonts w:hint="eastAsia" w:ascii="Times New Roman" w:hAnsi="Times New Roman"/>
                <w:lang w:val="en-US" w:eastAsia="zh-CN"/>
              </w:rPr>
              <w:t>S</w:t>
            </w:r>
            <w:r>
              <w:rPr>
                <w:rFonts w:hint="default" w:ascii="Times New Roman" w:hAnsi="Times New Roman"/>
              </w:rPr>
              <w:t>·km</w:t>
            </w:r>
            <w:r>
              <w:rPr>
                <w:rFonts w:hint="default" w:ascii="Times New Roman" w:hAnsi="Times New Roman"/>
                <w:vertAlign w:val="superscript"/>
              </w:rPr>
              <w:t>2</w:t>
            </w:r>
            <w:r>
              <w:rPr>
                <w:rFonts w:ascii="Times New Roman" w:hAnsi="Times New Roman"/>
              </w:rPr>
              <w:t>。故其富水程度多为贫乏至中等。</w:t>
            </w:r>
          </w:p>
          <w:p>
            <w:pPr>
              <w:pStyle w:val="38"/>
              <w:rPr>
                <w:rFonts w:ascii="Times New Roman" w:hAnsi="Times New Roman"/>
              </w:rPr>
            </w:pPr>
            <w:r>
              <w:rPr>
                <w:rFonts w:hint="eastAsia" w:ascii="Times New Roman"/>
                <w:lang w:eastAsia="zh-CN"/>
              </w:rPr>
              <w:t>②</w:t>
            </w:r>
            <w:r>
              <w:rPr>
                <w:rFonts w:ascii="Times New Roman" w:hAnsi="Times New Roman"/>
              </w:rPr>
              <w:t>红层碎屑岩裂隙孔隙水 红层指白垩系、古近系地层，在研究区西部的山岗区有露头，同时在湖区松散层下部也广泛分布。岩性为一套典型的陆相碎屑岩，区内总厚最大可达</w:t>
            </w:r>
            <w:r>
              <w:rPr>
                <w:rFonts w:hint="default" w:ascii="Times New Roman" w:hAnsi="Times New Roman"/>
              </w:rPr>
              <w:t>1900</w:t>
            </w:r>
            <w:r>
              <w:rPr>
                <w:rFonts w:ascii="Times New Roman" w:hAnsi="Times New Roman"/>
              </w:rPr>
              <w:t>余米。红层中地下水赋存特征基本分为四种状态：</w:t>
            </w:r>
            <w:r>
              <w:rPr>
                <w:rFonts w:hint="eastAsia" w:ascii="Times New Roman" w:hAnsi="Times New Roman"/>
                <w:lang w:eastAsia="zh-CN"/>
              </w:rPr>
              <w:t>①</w:t>
            </w:r>
            <w:r>
              <w:rPr>
                <w:rFonts w:ascii="Times New Roman" w:hAnsi="Times New Roman"/>
              </w:rPr>
              <w:t>风化裂隙孔隙潜水。分布较普遍，风化裂隙含水，水量多贫乏，泉水流量一般为</w:t>
            </w:r>
            <w:r>
              <w:rPr>
                <w:rFonts w:hint="default" w:ascii="Times New Roman" w:hAnsi="Times New Roman"/>
              </w:rPr>
              <w:t>0.01-0.1L/s</w:t>
            </w:r>
            <w:r>
              <w:rPr>
                <w:rFonts w:ascii="Times New Roman" w:hAnsi="Times New Roman"/>
              </w:rPr>
              <w:t>，枯季径流模数为</w:t>
            </w:r>
            <w:r>
              <w:rPr>
                <w:rFonts w:hint="default" w:ascii="Times New Roman" w:hAnsi="Times New Roman"/>
              </w:rPr>
              <w:t>0.04-0.657</w:t>
            </w:r>
            <w:r>
              <w:rPr>
                <w:rFonts w:ascii="Times New Roman" w:hAnsi="Times New Roman"/>
              </w:rPr>
              <w:t>升</w:t>
            </w:r>
            <w:r>
              <w:rPr>
                <w:rFonts w:hint="default" w:ascii="Times New Roman" w:hAnsi="Times New Roman"/>
              </w:rPr>
              <w:t>/</w:t>
            </w:r>
            <w:r>
              <w:rPr>
                <w:rFonts w:ascii="Times New Roman" w:hAnsi="Times New Roman"/>
              </w:rPr>
              <w:t>秒</w:t>
            </w:r>
            <w:r>
              <w:rPr>
                <w:rFonts w:hint="default" w:ascii="Times New Roman" w:hAnsi="Times New Roman"/>
              </w:rPr>
              <w:t>·</w:t>
            </w:r>
            <w:r>
              <w:rPr>
                <w:rFonts w:ascii="Times New Roman" w:hAnsi="Times New Roman"/>
              </w:rPr>
              <w:t>平方公里。</w:t>
            </w:r>
            <w:r>
              <w:rPr>
                <w:rFonts w:hint="eastAsia" w:ascii="Times New Roman" w:hAnsi="Times New Roman"/>
                <w:lang w:eastAsia="zh-CN"/>
              </w:rPr>
              <w:t>②</w:t>
            </w:r>
            <w:r>
              <w:rPr>
                <w:rFonts w:ascii="Times New Roman" w:hAnsi="Times New Roman"/>
              </w:rPr>
              <w:t>钙质泥岩、钙质粉砂岩溶孔水。岩层中发育溶蚀孔洞，含溶孔水。见于衡阳盆地和常桃盆地一带，含水层总厚</w:t>
            </w:r>
            <w:r>
              <w:rPr>
                <w:rFonts w:hint="default" w:ascii="Times New Roman" w:hAnsi="Times New Roman"/>
              </w:rPr>
              <w:t>60-100m</w:t>
            </w:r>
            <w:r>
              <w:rPr>
                <w:rFonts w:ascii="Times New Roman" w:hAnsi="Times New Roman"/>
              </w:rPr>
              <w:t>，埋深</w:t>
            </w:r>
            <w:r>
              <w:rPr>
                <w:rFonts w:hint="default" w:ascii="Times New Roman" w:hAnsi="Times New Roman"/>
              </w:rPr>
              <w:t>10-63.5m</w:t>
            </w:r>
            <w:r>
              <w:rPr>
                <w:rFonts w:ascii="Times New Roman" w:hAnsi="Times New Roman"/>
              </w:rPr>
              <w:t>。含水贫乏至中等，泉水流量</w:t>
            </w:r>
            <w:r>
              <w:rPr>
                <w:rFonts w:hint="default" w:ascii="Times New Roman" w:hAnsi="Times New Roman"/>
              </w:rPr>
              <w:t>0.01-0.48L/s</w:t>
            </w:r>
            <w:r>
              <w:rPr>
                <w:rFonts w:ascii="Times New Roman" w:hAnsi="Times New Roman"/>
              </w:rPr>
              <w:t>，单井涌水量一般为</w:t>
            </w:r>
            <w:r>
              <w:rPr>
                <w:rFonts w:hint="default" w:ascii="Times New Roman" w:hAnsi="Times New Roman"/>
              </w:rPr>
              <w:t>100-800m</w:t>
            </w:r>
            <w:r>
              <w:rPr>
                <w:rFonts w:hint="default" w:ascii="Times New Roman" w:hAnsi="Times New Roman"/>
                <w:vertAlign w:val="superscript"/>
              </w:rPr>
              <w:t>3</w:t>
            </w:r>
            <w:r>
              <w:rPr>
                <w:rFonts w:hint="default" w:ascii="Times New Roman" w:hAnsi="Times New Roman"/>
              </w:rPr>
              <w:t>/d</w:t>
            </w:r>
            <w:r>
              <w:rPr>
                <w:rFonts w:ascii="Times New Roman" w:hAnsi="Times New Roman"/>
              </w:rPr>
              <w:t>，最大达</w:t>
            </w:r>
            <w:r>
              <w:rPr>
                <w:rFonts w:hint="default" w:ascii="Times New Roman" w:hAnsi="Times New Roman"/>
              </w:rPr>
              <w:t>3663.4 m</w:t>
            </w:r>
            <w:r>
              <w:rPr>
                <w:rFonts w:hint="default" w:ascii="Times New Roman" w:hAnsi="Times New Roman"/>
                <w:vertAlign w:val="superscript"/>
              </w:rPr>
              <w:t>3</w:t>
            </w:r>
            <w:r>
              <w:rPr>
                <w:rFonts w:hint="default" w:ascii="Times New Roman" w:hAnsi="Times New Roman"/>
              </w:rPr>
              <w:t>/d</w:t>
            </w:r>
            <w:r>
              <w:rPr>
                <w:rFonts w:ascii="Times New Roman" w:hAnsi="Times New Roman"/>
              </w:rPr>
              <w:t>。水位一般高出溶孔带顶板，故具承压性质。溶蚀溶孔带具多层发育特征，一般</w:t>
            </w:r>
            <w:r>
              <w:rPr>
                <w:rFonts w:hint="default" w:ascii="Times New Roman" w:hAnsi="Times New Roman"/>
              </w:rPr>
              <w:t>5-10</w:t>
            </w:r>
            <w:r>
              <w:rPr>
                <w:rFonts w:ascii="Times New Roman" w:hAnsi="Times New Roman"/>
              </w:rPr>
              <w:t>层，多者达</w:t>
            </w:r>
            <w:r>
              <w:rPr>
                <w:rFonts w:hint="default" w:ascii="Times New Roman" w:hAnsi="Times New Roman"/>
              </w:rPr>
              <w:t>12</w:t>
            </w:r>
            <w:r>
              <w:rPr>
                <w:rFonts w:ascii="Times New Roman" w:hAnsi="Times New Roman"/>
              </w:rPr>
              <w:t>层以上，单层厚</w:t>
            </w:r>
            <w:r>
              <w:rPr>
                <w:rFonts w:hint="default" w:ascii="Times New Roman" w:hAnsi="Times New Roman"/>
              </w:rPr>
              <w:t>1-15m</w:t>
            </w:r>
            <w:r>
              <w:rPr>
                <w:rFonts w:ascii="Times New Roman" w:hAnsi="Times New Roman"/>
              </w:rPr>
              <w:t>，最厚</w:t>
            </w:r>
            <w:r>
              <w:rPr>
                <w:rFonts w:hint="default" w:ascii="Times New Roman" w:hAnsi="Times New Roman"/>
              </w:rPr>
              <w:t>30m</w:t>
            </w:r>
            <w:r>
              <w:rPr>
                <w:rFonts w:ascii="Times New Roman" w:hAnsi="Times New Roman"/>
              </w:rPr>
              <w:t>。溶蚀溶孔带发育受岩性、地貌、构造等控制，岩石含钙质高是前提。</w:t>
            </w:r>
            <w:r>
              <w:rPr>
                <w:rFonts w:hint="eastAsia" w:ascii="Times New Roman" w:hAnsi="Times New Roman"/>
                <w:lang w:eastAsia="zh-CN"/>
              </w:rPr>
              <w:t>③</w:t>
            </w:r>
            <w:r>
              <w:rPr>
                <w:rFonts w:ascii="Times New Roman" w:hAnsi="Times New Roman"/>
              </w:rPr>
              <w:t>砂岩构造裂隙层间承压水，各地不同程度存在，衡阳盆地一带埋深一般在</w:t>
            </w:r>
            <w:r>
              <w:rPr>
                <w:rFonts w:hint="default" w:ascii="Times New Roman" w:hAnsi="Times New Roman"/>
              </w:rPr>
              <w:t>20-103m</w:t>
            </w:r>
            <w:r>
              <w:rPr>
                <w:rFonts w:ascii="Times New Roman" w:hAnsi="Times New Roman"/>
              </w:rPr>
              <w:t>，含水段总厚</w:t>
            </w:r>
            <w:r>
              <w:rPr>
                <w:rFonts w:hint="default" w:ascii="Times New Roman" w:hAnsi="Times New Roman"/>
              </w:rPr>
              <w:t>3-93.8m</w:t>
            </w:r>
            <w:r>
              <w:rPr>
                <w:rFonts w:ascii="Times New Roman" w:hAnsi="Times New Roman"/>
              </w:rPr>
              <w:t>。含水贫乏</w:t>
            </w:r>
            <w:r>
              <w:rPr>
                <w:rFonts w:hint="default" w:ascii="Times New Roman" w:hAnsi="Times New Roman"/>
              </w:rPr>
              <w:t>—</w:t>
            </w:r>
            <w:r>
              <w:rPr>
                <w:rFonts w:ascii="Times New Roman" w:hAnsi="Times New Roman"/>
              </w:rPr>
              <w:t>中等，泉水流量为</w:t>
            </w:r>
            <w:r>
              <w:rPr>
                <w:rFonts w:hint="default" w:ascii="Times New Roman" w:hAnsi="Times New Roman"/>
              </w:rPr>
              <w:t>0.01-0.34L/s</w:t>
            </w:r>
            <w:r>
              <w:rPr>
                <w:rFonts w:ascii="Times New Roman" w:hAnsi="Times New Roman"/>
              </w:rPr>
              <w:t>，单井涌水量一般在</w:t>
            </w:r>
            <w:r>
              <w:rPr>
                <w:rFonts w:hint="default" w:ascii="Times New Roman" w:hAnsi="Times New Roman"/>
              </w:rPr>
              <w:t>100m</w:t>
            </w:r>
            <w:r>
              <w:rPr>
                <w:rFonts w:hint="default" w:ascii="Times New Roman" w:hAnsi="Times New Roman"/>
                <w:vertAlign w:val="superscript"/>
              </w:rPr>
              <w:t>3</w:t>
            </w:r>
            <w:r>
              <w:rPr>
                <w:rFonts w:hint="default" w:ascii="Times New Roman" w:hAnsi="Times New Roman"/>
              </w:rPr>
              <w:t>/d</w:t>
            </w:r>
            <w:r>
              <w:rPr>
                <w:rFonts w:ascii="Times New Roman" w:hAnsi="Times New Roman"/>
              </w:rPr>
              <w:t>以下，个别最大达</w:t>
            </w:r>
            <w:r>
              <w:rPr>
                <w:rFonts w:hint="default" w:ascii="Times New Roman" w:hAnsi="Times New Roman"/>
              </w:rPr>
              <w:t>524.5m</w:t>
            </w:r>
            <w:r>
              <w:rPr>
                <w:rFonts w:hint="default" w:ascii="Times New Roman" w:hAnsi="Times New Roman"/>
                <w:vertAlign w:val="superscript"/>
              </w:rPr>
              <w:t>3</w:t>
            </w:r>
            <w:r>
              <w:rPr>
                <w:rFonts w:hint="default" w:ascii="Times New Roman" w:hAnsi="Times New Roman"/>
              </w:rPr>
              <w:t>/d</w:t>
            </w:r>
            <w:r>
              <w:rPr>
                <w:rFonts w:ascii="Times New Roman" w:hAnsi="Times New Roman"/>
              </w:rPr>
              <w:t>。</w:t>
            </w:r>
            <w:r>
              <w:rPr>
                <w:rFonts w:hint="eastAsia" w:ascii="Times New Roman" w:hAnsi="Times New Roman"/>
                <w:lang w:eastAsia="zh-CN"/>
              </w:rPr>
              <w:t>④</w:t>
            </w:r>
            <w:r>
              <w:rPr>
                <w:rFonts w:ascii="Times New Roman" w:hAnsi="Times New Roman"/>
              </w:rPr>
              <w:t>灰质砾岩裂隙溶洞水。主要见于衡阳、湘潭、茶永、石门等红层盆地边缘地带。由于多覆于弱透水的泥岩，含砾砂岩层之下，构成层间承压水，局部水头高出地表。已知含水带厚</w:t>
            </w:r>
            <w:r>
              <w:rPr>
                <w:rFonts w:hint="default" w:ascii="Times New Roman" w:hAnsi="Times New Roman"/>
              </w:rPr>
              <w:t>20-70m</w:t>
            </w:r>
            <w:r>
              <w:rPr>
                <w:rFonts w:ascii="Times New Roman" w:hAnsi="Times New Roman"/>
              </w:rPr>
              <w:t>，最大埋深</w:t>
            </w:r>
            <w:r>
              <w:rPr>
                <w:rFonts w:hint="default" w:ascii="Times New Roman" w:hAnsi="Times New Roman"/>
              </w:rPr>
              <w:t>280m</w:t>
            </w:r>
            <w:r>
              <w:rPr>
                <w:rFonts w:ascii="Times New Roman" w:hAnsi="Times New Roman"/>
              </w:rPr>
              <w:t>。泉水流量最大可达</w:t>
            </w:r>
            <w:r>
              <w:rPr>
                <w:rFonts w:hint="default" w:ascii="Times New Roman" w:hAnsi="Times New Roman"/>
              </w:rPr>
              <w:t>35L/s</w:t>
            </w:r>
            <w:r>
              <w:rPr>
                <w:rFonts w:ascii="Times New Roman" w:hAnsi="Times New Roman"/>
              </w:rPr>
              <w:t>，单井最大涌水量可达</w:t>
            </w:r>
            <w:r>
              <w:rPr>
                <w:rFonts w:hint="default" w:ascii="Times New Roman" w:hAnsi="Times New Roman"/>
              </w:rPr>
              <w:t>41934.7m</w:t>
            </w:r>
            <w:r>
              <w:rPr>
                <w:rFonts w:hint="default" w:ascii="Times New Roman" w:hAnsi="Times New Roman"/>
                <w:vertAlign w:val="superscript"/>
              </w:rPr>
              <w:t>3</w:t>
            </w:r>
            <w:r>
              <w:rPr>
                <w:rFonts w:hint="default" w:ascii="Times New Roman" w:hAnsi="Times New Roman"/>
              </w:rPr>
              <w:t>/d</w:t>
            </w:r>
            <w:r>
              <w:rPr>
                <w:rFonts w:ascii="Times New Roman" w:hAnsi="Times New Roman"/>
              </w:rPr>
              <w:t>。</w:t>
            </w:r>
          </w:p>
          <w:p>
            <w:pPr>
              <w:pStyle w:val="38"/>
              <w:rPr>
                <w:rFonts w:ascii="Times New Roman" w:hAnsi="Times New Roman"/>
              </w:rPr>
            </w:pPr>
            <w:r>
              <w:rPr>
                <w:rFonts w:hint="eastAsia" w:ascii="Times New Roman"/>
                <w:lang w:eastAsia="zh-CN"/>
              </w:rPr>
              <w:t>③</w:t>
            </w:r>
            <w:r>
              <w:rPr>
                <w:rFonts w:ascii="Times New Roman" w:hAnsi="Times New Roman"/>
              </w:rPr>
              <w:t>松散岩类孔隙水主要分布于湖区及河流沿岸。按水力性质分为潜水和承压水两个亚类：</w:t>
            </w:r>
          </w:p>
          <w:p>
            <w:pPr>
              <w:pStyle w:val="38"/>
              <w:rPr>
                <w:rFonts w:ascii="Times New Roman" w:hAnsi="Times New Roman"/>
              </w:rPr>
            </w:pPr>
            <w:r>
              <w:rPr>
                <w:rFonts w:hint="eastAsia" w:ascii="Times New Roman"/>
                <w:lang w:val="en-US" w:eastAsia="zh-CN"/>
              </w:rPr>
              <w:t>a</w:t>
            </w:r>
            <w:r>
              <w:rPr>
                <w:rFonts w:hint="eastAsia" w:ascii="Times New Roman"/>
                <w:lang w:eastAsia="zh-CN"/>
              </w:rPr>
              <w:t>、</w:t>
            </w:r>
            <w:r>
              <w:rPr>
                <w:rFonts w:ascii="Times New Roman" w:hAnsi="Times New Roman"/>
              </w:rPr>
              <w:t>孔隙潜水 主要分布于湖区浅部、河流两岸阶地。含水层为冲积、冲湖积等形成的砂、砂砾石、砂卵石、含粘土砂砾石层及粉砂土等。岩层一般多呈二元结构，上部为粘土、砂质粘土等。总厚数米至几十米。含贫乏</w:t>
            </w:r>
            <w:r>
              <w:rPr>
                <w:rFonts w:hint="eastAsia" w:ascii="Times New Roman" w:hAnsi="Times New Roman"/>
                <w:lang w:eastAsia="zh-CN"/>
              </w:rPr>
              <w:t>—</w:t>
            </w:r>
            <w:r>
              <w:rPr>
                <w:rFonts w:ascii="Times New Roman" w:hAnsi="Times New Roman"/>
              </w:rPr>
              <w:t>中等孔隙潜水，泉水流量一般少于</w:t>
            </w:r>
            <w:r>
              <w:rPr>
                <w:rFonts w:hint="default" w:ascii="Times New Roman" w:hAnsi="Times New Roman"/>
              </w:rPr>
              <w:t>1L/s</w:t>
            </w:r>
            <w:r>
              <w:rPr>
                <w:rFonts w:ascii="Times New Roman" w:hAnsi="Times New Roman"/>
              </w:rPr>
              <w:t>，水位埋深一般在</w:t>
            </w:r>
            <w:r>
              <w:rPr>
                <w:rFonts w:hint="default" w:ascii="Times New Roman" w:hAnsi="Times New Roman"/>
              </w:rPr>
              <w:t>3m</w:t>
            </w:r>
            <w:r>
              <w:rPr>
                <w:rFonts w:ascii="Times New Roman" w:hAnsi="Times New Roman"/>
              </w:rPr>
              <w:t>以上。</w:t>
            </w:r>
          </w:p>
          <w:p>
            <w:pPr>
              <w:pStyle w:val="38"/>
              <w:rPr>
                <w:rFonts w:ascii="Times New Roman" w:hAnsi="Times New Roman"/>
              </w:rPr>
            </w:pPr>
            <w:r>
              <w:rPr>
                <w:rFonts w:hint="eastAsia" w:ascii="Times New Roman"/>
                <w:lang w:val="en-US" w:eastAsia="zh-CN"/>
              </w:rPr>
              <w:t>b</w:t>
            </w:r>
            <w:r>
              <w:rPr>
                <w:rFonts w:hint="eastAsia" w:ascii="Times New Roman"/>
                <w:lang w:eastAsia="zh-CN"/>
              </w:rPr>
              <w:t>、</w:t>
            </w:r>
            <w:r>
              <w:rPr>
                <w:rFonts w:ascii="Times New Roman" w:hAnsi="Times New Roman"/>
              </w:rPr>
              <w:t>孔隙承压水 分布在湖区中央部分。其上部及浅部孔隙潜水层间有较厚的粘土，砂质粘土层相隔，因而形成承压含水层。含水层为多层性冲湖积和湖积砂、砂卵石层。岩层富水性较好，富水程度为中等</w:t>
            </w:r>
            <w:r>
              <w:rPr>
                <w:rFonts w:hint="eastAsia" w:ascii="Times New Roman" w:hAnsi="Times New Roman"/>
                <w:lang w:eastAsia="zh-CN"/>
              </w:rPr>
              <w:t>—</w:t>
            </w:r>
            <w:r>
              <w:rPr>
                <w:rFonts w:ascii="Times New Roman" w:hAnsi="Times New Roman"/>
              </w:rPr>
              <w:t>丰富，单井涌水量最大可达</w:t>
            </w:r>
            <w:r>
              <w:rPr>
                <w:rFonts w:hint="default" w:ascii="Times New Roman" w:hAnsi="Times New Roman"/>
              </w:rPr>
              <w:t>29715m</w:t>
            </w:r>
            <w:r>
              <w:rPr>
                <w:rFonts w:hint="default" w:ascii="Times New Roman" w:hAnsi="Times New Roman"/>
                <w:vertAlign w:val="superscript"/>
              </w:rPr>
              <w:t>3</w:t>
            </w:r>
            <w:r>
              <w:rPr>
                <w:rFonts w:hint="default" w:ascii="Times New Roman" w:hAnsi="Times New Roman"/>
              </w:rPr>
              <w:t>/d</w:t>
            </w:r>
            <w:r>
              <w:rPr>
                <w:rFonts w:ascii="Times New Roman" w:hAnsi="Times New Roman"/>
              </w:rPr>
              <w:t>。据含水层的岩性结构及展布情况可将承压含水岩层划分为两个相对独立的含水岩组。上含水岩组包括中、上更新统地层，下含水岩组为由下更新统地层组成。其间大部地段有数米至</w:t>
            </w:r>
            <w:r>
              <w:rPr>
                <w:rFonts w:hint="default" w:ascii="Times New Roman" w:hAnsi="Times New Roman"/>
              </w:rPr>
              <w:t>30</w:t>
            </w:r>
            <w:r>
              <w:rPr>
                <w:rFonts w:ascii="Times New Roman" w:hAnsi="Times New Roman"/>
              </w:rPr>
              <w:t>余米的弱透水的粘土、砂质粘土层相隔，故两含水岩组间基本无水力联系。但局部地段可能由于弱透水层缺失以及越流而发生水力联系。</w:t>
            </w:r>
          </w:p>
          <w:p>
            <w:pPr>
              <w:pStyle w:val="38"/>
              <w:rPr>
                <w:rFonts w:ascii="Times New Roman" w:hAnsi="Times New Roman"/>
              </w:rPr>
            </w:pPr>
          </w:p>
          <w:p>
            <w:pPr>
              <w:pStyle w:val="38"/>
              <w:rPr>
                <w:rFonts w:ascii="Times New Roman" w:hAnsi="Times New Roman"/>
              </w:rPr>
            </w:pPr>
          </w:p>
          <w:p>
            <w:pPr>
              <w:pStyle w:val="38"/>
              <w:rPr>
                <w:rFonts w:ascii="Times New Roman" w:hAnsi="Times New Roman"/>
              </w:rPr>
            </w:pPr>
          </w:p>
          <w:p>
            <w:pPr>
              <w:pStyle w:val="38"/>
              <w:rPr>
                <w:rFonts w:ascii="Times New Roman" w:hAnsi="Times New Roman"/>
              </w:rPr>
            </w:pPr>
          </w:p>
          <w:p>
            <w:pPr>
              <w:pStyle w:val="38"/>
              <w:rPr>
                <w:rFonts w:ascii="Times New Roman" w:hAnsi="Times New Roman"/>
              </w:rPr>
            </w:pPr>
          </w:p>
          <w:p>
            <w:pPr>
              <w:pStyle w:val="38"/>
              <w:ind w:left="0" w:leftChars="0" w:firstLine="0" w:firstLineChars="0"/>
              <w:rPr>
                <w:rFonts w:hint="eastAsia" w:ascii="Times New Roman" w:hAnsi="Times New Roman"/>
                <w:lang w:val="en-US" w:eastAsia="zh-CN"/>
              </w:rPr>
            </w:pPr>
          </w:p>
          <w:p>
            <w:pPr>
              <w:spacing w:line="360" w:lineRule="auto"/>
              <w:jc w:val="center"/>
              <w:rPr>
                <w:rFonts w:hint="default" w:ascii="宋体" w:hAnsi="宋体" w:eastAsia="宋体" w:cs="宋体"/>
                <w:sz w:val="20"/>
                <w:szCs w:val="20"/>
              </w:rPr>
            </w:pPr>
            <w:r>
              <w:rPr>
                <w:rFonts w:hint="default" w:ascii="宋体" w:hAnsi="宋体" w:eastAsia="宋体" w:cs="宋体"/>
                <w:sz w:val="20"/>
                <w:szCs w:val="20"/>
              </w:rPr>
              <w:drawing>
                <wp:inline distT="0" distB="0" distL="0" distR="0">
                  <wp:extent cx="5382260" cy="8319770"/>
                  <wp:effectExtent l="0" t="0" r="8890" b="508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jpeg"/>
                          <pic:cNvPicPr>
                            <a:picLocks noChangeAspect="1"/>
                          </pic:cNvPicPr>
                        </pic:nvPicPr>
                        <pic:blipFill>
                          <a:blip r:embed="rId7" cstate="print"/>
                          <a:stretch>
                            <a:fillRect/>
                          </a:stretch>
                        </pic:blipFill>
                        <pic:spPr>
                          <a:xfrm>
                            <a:off x="0" y="0"/>
                            <a:ext cx="5382854" cy="8319770"/>
                          </a:xfrm>
                          <a:prstGeom prst="rect">
                            <a:avLst/>
                          </a:prstGeom>
                        </pic:spPr>
                      </pic:pic>
                    </a:graphicData>
                  </a:graphic>
                </wp:inline>
              </w:drawing>
            </w:r>
          </w:p>
          <w:p>
            <w:pPr>
              <w:pStyle w:val="18"/>
              <w:ind w:left="0" w:leftChars="0" w:firstLine="0" w:firstLineChars="0"/>
              <w:jc w:val="center"/>
              <w:rPr>
                <w:rFonts w:hint="eastAsia"/>
                <w:lang w:val="en-US" w:eastAsia="zh-CN"/>
              </w:rPr>
            </w:pPr>
            <w:r>
              <w:rPr>
                <w:rFonts w:hint="default" w:ascii="宋体" w:hAnsi="宋体" w:eastAsia="宋体" w:cs="宋体"/>
                <w:b/>
                <w:bCs/>
                <w:spacing w:val="-1"/>
                <w:sz w:val="22"/>
                <w:szCs w:val="22"/>
              </w:rPr>
              <w:t>图</w:t>
            </w:r>
            <w:r>
              <w:rPr>
                <w:rFonts w:hint="eastAsia" w:cs="Times New Roman"/>
                <w:b/>
                <w:bCs/>
                <w:spacing w:val="-1"/>
                <w:sz w:val="22"/>
                <w:szCs w:val="22"/>
                <w:lang w:val="en-US" w:eastAsia="zh-CN"/>
              </w:rPr>
              <w:t>2</w:t>
            </w:r>
            <w:r>
              <w:rPr>
                <w:rFonts w:hint="default" w:ascii="Times New Roman" w:hAnsi="Times New Roman" w:eastAsia="Times New Roman" w:cs="Times New Roman"/>
                <w:b/>
                <w:bCs/>
                <w:spacing w:val="-1"/>
                <w:sz w:val="22"/>
                <w:szCs w:val="22"/>
              </w:rPr>
              <w:t>-1</w:t>
            </w:r>
            <w:r>
              <w:rPr>
                <w:rFonts w:hint="default" w:ascii="Times New Roman" w:hAnsi="Times New Roman" w:eastAsia="Times New Roman" w:cs="Times New Roman"/>
                <w:b/>
                <w:bCs/>
                <w:spacing w:val="-1"/>
                <w:sz w:val="22"/>
                <w:szCs w:val="22"/>
              </w:rPr>
              <w:tab/>
            </w:r>
            <w:r>
              <w:rPr>
                <w:rFonts w:hint="default" w:ascii="宋体" w:hAnsi="宋体" w:eastAsia="宋体" w:cs="宋体"/>
                <w:b/>
                <w:bCs/>
                <w:spacing w:val="-1"/>
                <w:sz w:val="22"/>
                <w:szCs w:val="22"/>
              </w:rPr>
              <w:t>项目区域水文地质图</w:t>
            </w:r>
          </w:p>
          <w:p>
            <w:pPr>
              <w:spacing w:line="360" w:lineRule="auto"/>
              <w:jc w:val="center"/>
              <w:rPr>
                <w:rFonts w:hint="eastAsia" w:ascii="Times New Roman" w:hAnsi="Times New Roman" w:cs="Times New Roman"/>
                <w:b/>
                <w:bCs/>
                <w:sz w:val="24"/>
                <w:szCs w:val="22"/>
                <w:lang w:val="en-US" w:eastAsia="zh-CN"/>
              </w:rPr>
            </w:pPr>
            <w:r>
              <w:rPr>
                <w:rFonts w:hint="default" w:ascii="宋体" w:hAnsi="宋体" w:eastAsia="宋体" w:cs="宋体"/>
                <w:sz w:val="20"/>
                <w:szCs w:val="20"/>
              </w:rPr>
              <w:drawing>
                <wp:inline distT="0" distB="0" distL="0" distR="0">
                  <wp:extent cx="5556250" cy="1960880"/>
                  <wp:effectExtent l="0" t="0" r="6350" b="1270"/>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8" cstate="print"/>
                          <a:stretch>
                            <a:fillRect/>
                          </a:stretch>
                        </pic:blipFill>
                        <pic:spPr>
                          <a:xfrm>
                            <a:off x="0" y="0"/>
                            <a:ext cx="5556258" cy="1961388"/>
                          </a:xfrm>
                          <a:prstGeom prst="rect">
                            <a:avLst/>
                          </a:prstGeom>
                        </pic:spPr>
                      </pic:pic>
                    </a:graphicData>
                  </a:graphic>
                </wp:inline>
              </w:drawing>
            </w:r>
          </w:p>
          <w:p>
            <w:pPr>
              <w:tabs>
                <w:tab w:val="left" w:pos="3627"/>
              </w:tabs>
              <w:spacing w:before="0" w:line="360" w:lineRule="auto"/>
              <w:ind w:right="318"/>
              <w:jc w:val="center"/>
              <w:rPr>
                <w:rFonts w:hint="default" w:ascii="宋体" w:hAnsi="宋体" w:eastAsia="宋体" w:cs="宋体"/>
                <w:sz w:val="21"/>
                <w:szCs w:val="21"/>
              </w:rPr>
            </w:pPr>
            <w:r>
              <w:rPr>
                <w:rFonts w:hint="default" w:ascii="宋体" w:hAnsi="宋体" w:eastAsia="宋体" w:cs="宋体"/>
                <w:b/>
                <w:bCs/>
                <w:sz w:val="21"/>
                <w:szCs w:val="21"/>
              </w:rPr>
              <w:t>图</w:t>
            </w:r>
            <w:r>
              <w:rPr>
                <w:rFonts w:hint="eastAsia" w:cs="Times New Roman"/>
                <w:b/>
                <w:bCs/>
                <w:sz w:val="21"/>
                <w:szCs w:val="21"/>
                <w:lang w:val="en-US" w:eastAsia="zh-CN"/>
              </w:rPr>
              <w:t>2</w:t>
            </w:r>
            <w:r>
              <w:rPr>
                <w:rFonts w:hint="default" w:ascii="Times New Roman" w:hAnsi="Times New Roman" w:eastAsia="Times New Roman" w:cs="Times New Roman"/>
                <w:b/>
                <w:bCs/>
                <w:sz w:val="21"/>
                <w:szCs w:val="21"/>
              </w:rPr>
              <w:t>-2</w:t>
            </w:r>
            <w:r>
              <w:rPr>
                <w:rFonts w:hint="eastAsia" w:ascii="Times New Roman" w:hAnsi="Times New Roman" w:eastAsia="宋体" w:cs="Times New Roman"/>
                <w:b/>
                <w:bCs/>
                <w:sz w:val="21"/>
                <w:szCs w:val="21"/>
                <w:lang w:val="en-US" w:eastAsia="zh-CN"/>
              </w:rPr>
              <w:t xml:space="preserve">  </w:t>
            </w:r>
            <w:r>
              <w:rPr>
                <w:rFonts w:hint="default" w:ascii="宋体" w:hAnsi="宋体" w:eastAsia="宋体" w:cs="宋体"/>
                <w:b/>
                <w:bCs/>
                <w:sz w:val="21"/>
                <w:szCs w:val="21"/>
              </w:rPr>
              <w:t>项目区域典型水文地质剖面</w:t>
            </w:r>
          </w:p>
          <w:p>
            <w:pPr>
              <w:spacing w:line="360" w:lineRule="auto"/>
              <w:ind w:firstLine="480" w:firstLineChars="200"/>
              <w:rPr>
                <w:rFonts w:hint="default" w:ascii="Times New Roman" w:hAnsi="Times New Roman" w:cs="Times New Roman"/>
                <w:sz w:val="24"/>
                <w:szCs w:val="22"/>
                <w:lang w:val="zh-CN"/>
              </w:rPr>
            </w:pPr>
            <w:r>
              <w:rPr>
                <w:rFonts w:hint="eastAsia" w:ascii="Times New Roman" w:hAnsi="Times New Roman" w:cs="Times New Roman"/>
                <w:sz w:val="24"/>
                <w:szCs w:val="22"/>
                <w:lang w:val="en-US" w:eastAsia="zh-CN"/>
              </w:rPr>
              <w:t>2</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地下水补、径、排条件及动态特征</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zh-CN"/>
              </w:rPr>
              <w:t>①</w:t>
            </w:r>
            <w:r>
              <w:rPr>
                <w:rFonts w:hint="default" w:ascii="Times New Roman" w:hAnsi="Times New Roman" w:cs="Times New Roman"/>
                <w:sz w:val="24"/>
                <w:szCs w:val="22"/>
                <w:lang w:val="zh-CN"/>
              </w:rPr>
              <w:t>补给条件</w:t>
            </w:r>
            <w:r>
              <w:rPr>
                <w:rFonts w:hint="eastAsia" w:ascii="Times New Roman" w:hAnsi="Times New Roman" w:cs="Times New Roman"/>
                <w:sz w:val="24"/>
                <w:szCs w:val="22"/>
                <w:lang w:val="en-US" w:eastAsia="zh-CN"/>
              </w:rPr>
              <w:t xml:space="preserve"> </w:t>
            </w:r>
            <w:r>
              <w:rPr>
                <w:rFonts w:hint="default" w:ascii="Times New Roman" w:hAnsi="Times New Roman" w:cs="Times New Roman"/>
                <w:sz w:val="24"/>
                <w:szCs w:val="22"/>
                <w:lang w:val="zh-CN"/>
              </w:rPr>
              <w:t>丘陵岗地松散堆积层孔隙潜水以大气降水补给为主，由于砾石层已出露地表，可直接接受大气降水的渗入补给。澧水一级阶地孔隙水除接受大气降水补给外，还受高阶地孔隙水补给。冲湖积平原孔隙潜水，由于砂砾石层上覆厚10-20余米的砂质粘土和淤泥层，接受大气降水补给较少。</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故津市高新技术产业开发区区域内地下水重要补给来源为大气降水，少有地表水补给。</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zh-CN"/>
              </w:rPr>
              <w:t>②</w:t>
            </w:r>
            <w:r>
              <w:rPr>
                <w:rFonts w:hint="default" w:ascii="Times New Roman" w:hAnsi="Times New Roman" w:cs="Times New Roman"/>
                <w:sz w:val="24"/>
                <w:szCs w:val="22"/>
                <w:lang w:val="zh-CN"/>
              </w:rPr>
              <w:t>径流条件 岗丘地带的孔隙潜水径流途径短，无一定流动方向，就地补给就地排泄，交替循环强烈。平原及滨湖地带，地下水具有一定径流方向，即由边缘向洞庭湖中心汇集，区域地下水流向为自西北向东南，地下水运动相当缓慢，越近湖心越慢。实测地下水流速为0.94-0.97m/s。</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zh-CN"/>
              </w:rPr>
              <w:t>③</w:t>
            </w:r>
            <w:r>
              <w:rPr>
                <w:rFonts w:hint="default" w:ascii="Times New Roman" w:hAnsi="Times New Roman" w:cs="Times New Roman"/>
                <w:sz w:val="24"/>
                <w:szCs w:val="22"/>
                <w:lang w:val="zh-CN"/>
              </w:rPr>
              <w:t>排泄条件 岗丘地带的孔隙潜水排泄条件好，以附近河流为排泄场所，以下降泉或渗流的形式沿砂砾石与基岩接触面排泄于河流中。评价区域地下主要以大气降水为补给水源，缓慢向东南流向，最终向洞庭湖区域排泄。</w:t>
            </w:r>
          </w:p>
          <w:p>
            <w:pPr>
              <w:spacing w:line="360" w:lineRule="auto"/>
              <w:ind w:firstLine="480" w:firstLineChars="200"/>
              <w:rPr>
                <w:rFonts w:hint="default" w:ascii="Times New Roman" w:hAnsi="Times New Roman" w:cs="Times New Roman"/>
                <w:sz w:val="24"/>
                <w:szCs w:val="22"/>
                <w:lang w:val="zh-CN"/>
              </w:rPr>
            </w:pPr>
            <w:r>
              <w:rPr>
                <w:rFonts w:hint="eastAsia" w:cs="Times New Roman"/>
                <w:sz w:val="24"/>
                <w:szCs w:val="22"/>
                <w:lang w:val="zh-CN"/>
              </w:rPr>
              <w:t>④</w:t>
            </w:r>
            <w:r>
              <w:rPr>
                <w:rFonts w:hint="default" w:ascii="Times New Roman" w:hAnsi="Times New Roman" w:cs="Times New Roman"/>
                <w:sz w:val="24"/>
                <w:szCs w:val="22"/>
                <w:lang w:val="zh-CN"/>
              </w:rPr>
              <w:t xml:space="preserve">动态变化 津市高新技术产业开发区区域孔隙承压水运动极为缓慢，水位变化很小，地下水动态受季节变化的影响相对较小，据洪、枯期井水位实测资料，稳定水位埋深在30-42m不等，地下水位变幅一般仅5.0m，属较稳定类型。 </w:t>
            </w:r>
          </w:p>
          <w:p>
            <w:pPr>
              <w:spacing w:line="360" w:lineRule="auto"/>
              <w:ind w:firstLine="480" w:firstLineChars="200"/>
              <w:rPr>
                <w:rFonts w:hint="default" w:ascii="Times New Roman" w:hAnsi="Times New Roman" w:cs="Times New Roman"/>
                <w:sz w:val="24"/>
                <w:szCs w:val="22"/>
                <w:lang w:val="zh-CN"/>
              </w:rPr>
            </w:pPr>
            <w:r>
              <w:rPr>
                <w:rFonts w:hint="eastAsia" w:ascii="Times New Roman" w:hAnsi="Times New Roman" w:cs="Times New Roman"/>
                <w:sz w:val="24"/>
                <w:szCs w:val="22"/>
                <w:lang w:val="en-US" w:eastAsia="zh-CN"/>
              </w:rPr>
              <w:t>3</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 xml:space="preserve">地下水开发利用现状 </w:t>
            </w:r>
          </w:p>
          <w:p>
            <w:pPr>
              <w:pStyle w:val="33"/>
              <w:spacing w:line="360" w:lineRule="auto"/>
              <w:ind w:left="0" w:leftChars="0" w:firstLine="480" w:firstLineChars="200"/>
              <w:rPr>
                <w:bCs/>
                <w:szCs w:val="24"/>
              </w:rPr>
            </w:pPr>
            <w:r>
              <w:rPr>
                <w:rFonts w:hint="default" w:ascii="Times New Roman" w:hAnsi="Times New Roman" w:cs="Times New Roman"/>
                <w:sz w:val="24"/>
                <w:szCs w:val="22"/>
                <w:lang w:val="zh-CN"/>
              </w:rPr>
              <w:t>项目区域内没有集中式的地下水水源地，区域内居民、企业均以自来水为水源，地下水开发利用程度较低。</w:t>
            </w:r>
          </w:p>
          <w:p>
            <w:pPr>
              <w:spacing w:line="360" w:lineRule="auto"/>
              <w:ind w:firstLine="482" w:firstLineChars="200"/>
              <w:rPr>
                <w:b/>
                <w:sz w:val="24"/>
              </w:rPr>
            </w:pPr>
            <w:r>
              <w:rPr>
                <w:b/>
                <w:sz w:val="24"/>
              </w:rPr>
              <w:t>4、气候气象</w:t>
            </w:r>
          </w:p>
          <w:p>
            <w:pPr>
              <w:pStyle w:val="38"/>
              <w:rPr>
                <w:rFonts w:ascii="Times New Roman"/>
                <w:bCs/>
              </w:rPr>
            </w:pPr>
            <w:r>
              <w:rPr>
                <w:rFonts w:hint="default" w:ascii="Times New Roman" w:hAnsi="Times New Roman" w:cs="Times New Roman"/>
                <w:sz w:val="24"/>
                <w:szCs w:val="22"/>
                <w:lang w:val="zh-CN"/>
              </w:rPr>
              <w:t>津市市属于中亚热带向北亚热带过渡的季节湿润气候区，四级分明，干湿明显，光照充足，热量丰富，无霜期长，雨量充沛，气温垂直差异明显，气候要素时空分布不均。市境日照时间较长，年平均日照1770.6 h，年平均气温16.5 ℃，极端最高气温40.5 ℃，极端最低气温-13.5℃。年降雨总日数平均136.1d，平均降雨量1273.7mm，最大日降雨量232mm，最大积雪厚度20cm，全年相对湿度80%，平均气压10141.4hpa。境内冬季（1月）主导风为NNE风，出现频率22%；夏季主导风为SSW风，出现频率17%；全年主导风向为NNE风，风力多为2-3级，出现频率19%，全年静风频率为17%。年平均风速2.6 m/s，最大风速21.7 m/s。</w:t>
            </w:r>
          </w:p>
          <w:p>
            <w:pPr>
              <w:spacing w:line="360" w:lineRule="auto"/>
              <w:ind w:firstLine="482" w:firstLineChars="200"/>
              <w:rPr>
                <w:rFonts w:hint="default" w:ascii="Times New Roman" w:hAnsi="Times New Roman" w:cs="Times New Roman"/>
                <w:b/>
                <w:bCs/>
                <w:sz w:val="24"/>
                <w:szCs w:val="22"/>
                <w:lang w:val="zh-CN" w:eastAsia="zh-CN"/>
              </w:rPr>
            </w:pPr>
            <w:bookmarkStart w:id="2" w:name="_Toc21744"/>
            <w:bookmarkStart w:id="3" w:name="_Toc21641"/>
            <w:bookmarkStart w:id="4" w:name="_Toc18791"/>
            <w:bookmarkStart w:id="5" w:name="_Toc6684"/>
            <w:bookmarkStart w:id="6" w:name="_Toc5615"/>
            <w:bookmarkStart w:id="7" w:name="_Toc359613615"/>
            <w:bookmarkStart w:id="8" w:name="_Toc32249"/>
            <w:bookmarkStart w:id="9" w:name="_Toc31263"/>
            <w:bookmarkStart w:id="10" w:name="_Toc12654"/>
            <w:bookmarkStart w:id="11" w:name="_Toc13055"/>
            <w:bookmarkStart w:id="12" w:name="_Toc339981780"/>
            <w:bookmarkStart w:id="13" w:name="_Toc6797"/>
            <w:bookmarkStart w:id="14" w:name="_Toc14533"/>
            <w:bookmarkStart w:id="15" w:name="_Toc427316783"/>
            <w:r>
              <w:rPr>
                <w:rFonts w:hint="eastAsia" w:cs="Times New Roman"/>
                <w:b/>
                <w:bCs/>
                <w:sz w:val="24"/>
                <w:szCs w:val="22"/>
                <w:lang w:val="en-US" w:eastAsia="zh-CN"/>
              </w:rPr>
              <w:t>5、</w:t>
            </w:r>
            <w:r>
              <w:rPr>
                <w:rFonts w:hint="default" w:ascii="Times New Roman" w:hAnsi="Times New Roman" w:cs="Times New Roman"/>
                <w:b/>
                <w:bCs/>
                <w:sz w:val="24"/>
                <w:szCs w:val="22"/>
                <w:lang w:val="zh-CN" w:eastAsia="zh-CN"/>
              </w:rPr>
              <w:t>土壤植被</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区域内土壤类型有水稻土、菜园土、潮土、红壤、黄壤及石灰土等类型，以水稻土和红壤居多。成土母质以第四纪红土和河流冲积物为主，少数为板页岩、砂岩风化物。受成土母质的影响，区域内土壤大都质地粘重、通透性差、酸性较强、肥力较低，对农、林业的发展有一定的限制作用。</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工程所在地区属中亚热带过渡的季风气候区，气候温和，热量丰富，雨水充沛，适宜于植物的生长。在中国植被区划中，该区属亚热带常绿阔叶林区域，自然植被以森林植被为主，灌草丛植夹杂其中。该区域属低丘岗地，土地实际已久经开垦，人为活动频繁，原生植被大都不复存在，主要树种有杉木、马尾松、柏树；主要经济种有油茶、油桐、乌柏等。</w:t>
            </w:r>
          </w:p>
          <w:p>
            <w:pPr>
              <w:spacing w:line="360" w:lineRule="auto"/>
              <w:ind w:firstLine="482" w:firstLineChars="200"/>
              <w:rPr>
                <w:rFonts w:hint="default" w:ascii="Times New Roman" w:hAnsi="Times New Roman" w:cs="Times New Roman"/>
                <w:b/>
                <w:bCs/>
                <w:sz w:val="24"/>
                <w:szCs w:val="22"/>
                <w:lang w:val="zh-CN" w:eastAsia="zh-CN"/>
              </w:rPr>
            </w:pPr>
            <w:bookmarkStart w:id="16" w:name="5.1.7动物"/>
            <w:bookmarkEnd w:id="16"/>
            <w:r>
              <w:rPr>
                <w:rFonts w:hint="eastAsia" w:cs="Times New Roman"/>
                <w:b/>
                <w:bCs/>
                <w:sz w:val="24"/>
                <w:szCs w:val="22"/>
                <w:lang w:val="en-US" w:eastAsia="zh-CN"/>
              </w:rPr>
              <w:t>6、</w:t>
            </w:r>
            <w:r>
              <w:rPr>
                <w:rFonts w:hint="default" w:ascii="Times New Roman" w:hAnsi="Times New Roman" w:cs="Times New Roman"/>
                <w:b/>
                <w:bCs/>
                <w:sz w:val="24"/>
                <w:szCs w:val="22"/>
                <w:lang w:val="zh-CN" w:eastAsia="zh-CN"/>
              </w:rPr>
              <w:t>动物</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评价地区属于丘岗地区，农业发达，阡陌相通，仅丘陵岗地上发育着疏密不同的灌丛草地，或培植有以松、杉、油茶为主，动物一般多为适应农耕地和居民点栖息的种类，种属单调，在耕作区，主要以鼠型啮类和食谷、食虫的篱园雀形鸟类组成较优势，林栖兽类稀少。陆栖脊椎动物多为黄鼬、野兔、獾、喜鹊、啄木鸟、麻雀等以及鼠类、蛙类（水陆两栖）、蛇类等中、小型野生动物。</w:t>
            </w:r>
          </w:p>
          <w:bookmarkEnd w:id="2"/>
          <w:bookmarkEnd w:id="3"/>
          <w:bookmarkEnd w:id="4"/>
          <w:bookmarkEnd w:id="5"/>
          <w:bookmarkEnd w:id="6"/>
          <w:bookmarkEnd w:id="7"/>
          <w:bookmarkEnd w:id="8"/>
          <w:bookmarkEnd w:id="9"/>
          <w:bookmarkEnd w:id="10"/>
          <w:bookmarkEnd w:id="11"/>
          <w:bookmarkEnd w:id="12"/>
          <w:bookmarkEnd w:id="13"/>
          <w:bookmarkEnd w:id="14"/>
          <w:bookmarkEnd w:id="15"/>
          <w:p>
            <w:pPr>
              <w:spacing w:line="360" w:lineRule="auto"/>
              <w:ind w:firstLine="482" w:firstLineChars="200"/>
              <w:rPr>
                <w:rFonts w:hint="default" w:ascii="Times New Roman" w:hAnsi="Times New Roman" w:cs="Times New Roman"/>
                <w:b/>
                <w:bCs/>
                <w:sz w:val="24"/>
                <w:szCs w:val="22"/>
                <w:lang w:val="zh-CN" w:eastAsia="zh-CN"/>
              </w:rPr>
            </w:pPr>
            <w:r>
              <w:rPr>
                <w:rFonts w:hint="eastAsia" w:cs="Times New Roman"/>
                <w:b/>
                <w:bCs/>
                <w:sz w:val="24"/>
                <w:szCs w:val="22"/>
                <w:lang w:val="en-US" w:eastAsia="zh-CN"/>
              </w:rPr>
              <w:t>7、</w:t>
            </w:r>
            <w:r>
              <w:rPr>
                <w:rFonts w:hint="default" w:ascii="Times New Roman" w:hAnsi="Times New Roman" w:cs="Times New Roman"/>
                <w:b/>
                <w:bCs/>
                <w:sz w:val="24"/>
                <w:szCs w:val="22"/>
                <w:lang w:val="zh-CN" w:eastAsia="zh-CN"/>
              </w:rPr>
              <w:t>自然和人文景观</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区内主要自然、人文景观为距开发区南部边界3km处的津市嘉山风景区。1991年3月，湖南省政府批准嘉山风景区为省级风景名胜区。湖南津市高新技术产业开发区与位于嘉山风景区缓冲区的外围。</w:t>
            </w:r>
          </w:p>
          <w:p>
            <w:pPr>
              <w:spacing w:line="360" w:lineRule="auto"/>
              <w:ind w:firstLine="480" w:firstLineChars="200"/>
              <w:jc w:val="both"/>
              <w:rPr>
                <w:rFonts w:hint="default" w:ascii="Times New Roman" w:hAnsi="Times New Roman" w:cs="Times New Roman"/>
                <w:sz w:val="24"/>
                <w:szCs w:val="22"/>
                <w:lang w:val="zh-CN"/>
              </w:rPr>
            </w:pPr>
            <w:r>
              <w:rPr>
                <w:rFonts w:hint="default" w:ascii="Times New Roman" w:hAnsi="Times New Roman" w:cs="Times New Roman"/>
                <w:sz w:val="24"/>
                <w:szCs w:val="22"/>
                <w:lang w:val="zh-CN"/>
              </w:rPr>
              <w:t>嘉山风景名胜区位于津市南郊，澧水下游，离津市市中心7.5公里。地理坐标为东径111</w:t>
            </w:r>
            <w:r>
              <w:rPr>
                <w:rFonts w:hint="default" w:ascii="Times New Roman" w:hAnsi="Times New Roman" w:cs="Times New Roman"/>
                <w:sz w:val="24"/>
              </w:rPr>
              <w:t>°</w:t>
            </w:r>
            <w:r>
              <w:rPr>
                <w:rFonts w:hint="default" w:ascii="Times New Roman" w:hAnsi="Times New Roman" w:cs="Times New Roman"/>
                <w:sz w:val="24"/>
                <w:szCs w:val="22"/>
                <w:lang w:val="zh-CN"/>
              </w:rPr>
              <w:t>48＇45"</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zh-CN"/>
              </w:rPr>
              <w:t>111</w:t>
            </w:r>
            <w:r>
              <w:rPr>
                <w:rFonts w:hint="default" w:ascii="Times New Roman" w:hAnsi="Times New Roman" w:cs="Times New Roman"/>
                <w:sz w:val="24"/>
              </w:rPr>
              <w:t>°</w:t>
            </w:r>
            <w:r>
              <w:rPr>
                <w:rFonts w:hint="default" w:ascii="Times New Roman" w:hAnsi="Times New Roman" w:cs="Times New Roman"/>
                <w:sz w:val="24"/>
                <w:szCs w:val="22"/>
                <w:lang w:val="zh-CN"/>
              </w:rPr>
              <w:t>56＇15"，北纬 29</w:t>
            </w:r>
            <w:r>
              <w:rPr>
                <w:rFonts w:hint="default" w:ascii="Times New Roman" w:hAnsi="Times New Roman" w:cs="Times New Roman"/>
                <w:sz w:val="24"/>
              </w:rPr>
              <w:t>°</w:t>
            </w:r>
            <w:r>
              <w:rPr>
                <w:rFonts w:hint="default" w:ascii="Times New Roman" w:hAnsi="Times New Roman" w:cs="Times New Roman"/>
                <w:sz w:val="24"/>
                <w:szCs w:val="22"/>
                <w:lang w:val="zh-CN"/>
              </w:rPr>
              <w:t>30＇00"</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zh-CN"/>
              </w:rPr>
              <w:t>29</w:t>
            </w:r>
            <w:r>
              <w:rPr>
                <w:rFonts w:hint="default" w:ascii="Times New Roman" w:hAnsi="Times New Roman" w:cs="Times New Roman"/>
                <w:sz w:val="24"/>
              </w:rPr>
              <w:t>°</w:t>
            </w:r>
            <w:r>
              <w:rPr>
                <w:rFonts w:hint="default" w:ascii="Times New Roman" w:hAnsi="Times New Roman" w:cs="Times New Roman"/>
                <w:sz w:val="24"/>
                <w:szCs w:val="22"/>
                <w:lang w:val="zh-CN"/>
              </w:rPr>
              <w:t>30＇00"之间，根据嘉山风景名胜区的历史改变及具体情况，从有利于资源的保护，满足旅游的需要和便于管理的角度出发，综合考虑自然景观、人文景观、农田、农居、山脊线、山脚、河流、公路等划定界线的因素，嘉山风景名胜区的范围在东至澧水西岸，南至嘉山良种场、豹鸣村、车渚村、白龙泉村、西至青山、北到胥家湖、荷花堰村。这样划定的嘉山风景名胜区范围包括：三湖（肖家湖、胥家湖、青山湖），六山（嘉山、青山、长山、伏牛山、豹鸣山，石子岭山）；共一镇、八村，总人口21.5万人；总面积17.35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，其中：嘉山景区4.57km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（水面0.46km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），古城景区2.35km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，石岭一青山景区4.3km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，胥家湖景区6km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（水面1.5km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），中心广场0.13km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。嘉山风景名胜区的外围保护地带由嘉山风景名胜区范围边界线的外围延伸一定的距离所形成，面积为18.65km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。景区面积和外围保护区面积总共为36km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嘉山风景名胜区位于澧水流域末端，武陵隆起的尾端，与江汉拗陷（断）两大构造单元的交接带上，因而西南端多为低山丘陵。工程地质大部岗丘地质区，属武陵山余脉向洞庭湖盆地的过渡地带，处于津市境内的潜水中段。此外，风景区内大小湖泊星罗棋布，其中肖家湖、胥家湖、漕山湖面积较大。肖家湖历年最高水位39.3m，最低水位33.20m，胥家湖/青山湖历年最高水位39.45m，最低水位33.55m。风景区内平原地带地下水位较高。风景区的地势一般西高东低，境内以岗地为主，平原次之。岗地为小丘陵，高程一般以100-200m以内，其中嘉山主峰高程为147.9m，青山主峰高程为157m，低山丘陵区都是由变质岩、风化岩组成的，发育的土壤的砂砾和碎屑适中，通透性强，三保性较好，腐殖层厚，有机质磷、钾含量高，土壤肥沃。丘陵多以混交林为主，平原以农作物为主，草和河湖水漫中以耐水淹的芦苇植被为主。嘉山风景名胜区人文景观与自然景色溶为一体，有关孟姜女的古迹遗址较多，以贞烈祠为重点，由望夫台、姜女镜石、澡井、碑林、孟姜古宅、刺竹园、日光殿等组成中心景区。嘉山晨景、月景、雪景、堪称三绝，并存有车渚萤辉、文华双井、观音灵池、樱花古洞、江流涌月、石岭樵歌、岩湾晚唱、菡萏薰风著名八景。嘉山南麓和西侧，还存有大片春秋战国时期古墓群，晋车胤墓、汉伏波将军马援墓均在此。</w:t>
            </w:r>
          </w:p>
          <w:p>
            <w:pPr>
              <w:spacing w:line="360" w:lineRule="auto"/>
              <w:ind w:firstLine="482" w:firstLineChars="200"/>
              <w:outlineLvl w:val="1"/>
              <w:rPr>
                <w:rFonts w:hint="default" w:ascii="Times New Roman" w:hAnsi="Times New Roman" w:cs="Times New Roman"/>
                <w:b/>
                <w:bCs/>
                <w:sz w:val="28"/>
                <w:szCs w:val="28"/>
                <w:lang w:val="zh-CN" w:eastAsia="zh-CN"/>
              </w:rPr>
            </w:pPr>
            <w:bookmarkStart w:id="17" w:name="5.2津市高新技术产业开发区"/>
            <w:bookmarkEnd w:id="17"/>
            <w:bookmarkStart w:id="18" w:name="_bookmark37"/>
            <w:bookmarkEnd w:id="18"/>
            <w:bookmarkStart w:id="19" w:name="_Toc14703"/>
            <w:bookmarkStart w:id="20" w:name="_Toc2654"/>
            <w:r>
              <w:rPr>
                <w:rFonts w:hint="eastAsia" w:cs="Times New Roman"/>
                <w:b/>
                <w:bCs/>
                <w:sz w:val="24"/>
                <w:szCs w:val="22"/>
                <w:lang w:val="en-US" w:eastAsia="zh-CN"/>
              </w:rPr>
              <w:t>8、</w:t>
            </w:r>
            <w:r>
              <w:rPr>
                <w:rFonts w:hint="default" w:cs="Times New Roman"/>
                <w:b/>
                <w:bCs/>
                <w:sz w:val="24"/>
                <w:szCs w:val="22"/>
                <w:lang w:val="zh-CN" w:eastAsia="zh-CN"/>
              </w:rPr>
              <w:t>津市高新技术产业开发区</w:t>
            </w:r>
            <w:bookmarkEnd w:id="19"/>
            <w:bookmarkEnd w:id="20"/>
          </w:p>
          <w:p>
            <w:pPr>
              <w:spacing w:line="360" w:lineRule="auto"/>
              <w:ind w:firstLine="482" w:firstLineChars="200"/>
              <w:rPr>
                <w:rFonts w:hint="default" w:ascii="Times New Roman" w:hAnsi="Times New Roman" w:cs="Times New Roman"/>
                <w:b/>
                <w:bCs/>
                <w:sz w:val="24"/>
                <w:szCs w:val="22"/>
                <w:lang w:val="zh-CN" w:eastAsia="zh-CN"/>
              </w:rPr>
            </w:pPr>
            <w:bookmarkStart w:id="21" w:name="5.2.1高新区规划概况"/>
            <w:bookmarkEnd w:id="21"/>
            <w:r>
              <w:rPr>
                <w:rFonts w:hint="eastAsia" w:cs="Times New Roman"/>
                <w:b/>
                <w:bCs/>
                <w:sz w:val="24"/>
                <w:szCs w:val="22"/>
                <w:lang w:val="en-US" w:eastAsia="zh-CN"/>
              </w:rPr>
              <w:t>（1）</w:t>
            </w:r>
            <w:r>
              <w:rPr>
                <w:rFonts w:hint="default" w:ascii="Times New Roman" w:hAnsi="Times New Roman" w:cs="Times New Roman"/>
                <w:b/>
                <w:bCs/>
                <w:sz w:val="24"/>
                <w:szCs w:val="22"/>
                <w:lang w:val="zh-CN" w:eastAsia="zh-CN"/>
              </w:rPr>
              <w:t>高新区规划概况</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津市高新区原为湖南津市经济开发区，由嘉山工业新区和窑坡工业老区合并而成。2007年10月长沙环境保护职业技术学院编制完成《湖南津市经济开发区环境影响报告书》，2007年11月22日，原湖南省环境保护局以湘环评[2007]169号文予以批复，批复的湖南津市经济开发区规划总用地面积6.4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2012年湖南津市经济开发区经省人民政府批准升级为省级工业集中区（湘政办函[2012]187号），四至范围为北至清远路、南至胥家湖路、西至新丰路、东至澧水大堤。2013年11月长沙环境保护职业技术学院编制完成《湖南津市经济开发区扩园项目环境影响报告书》；2013年12月20日，湖南省环境保护厅以湘环评[2013]300号文予以批复。批复后的湖南津市经济开发区总规划面积12.33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，其中一期用地6.4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；二期扩区用地5.93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2015年常德市人民政府以常政[2015]32号文向省人民政府申报在湖南津市工业集中区基础上设立津市高新技术产业开发区，2016年7月14日湖南省人民政府以湘政函[2016]105号文予以批复，并确认津市高新技术产业开发区按照原津市工业核准的规划范围保持不变。</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2016年11月下旬，长沙环境保护职业技术学院（2016年5月30日改制为湖南天瑶环境技术有限公司）编制了《津市工业集中区扩区环境影响报告书》，由于津市工业集中区二期未获得湖南省发改委核准，扩区环评仍以原津市工业集中区一期6.4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为基础进行编制；2016年12月26号，湖南省环保厅在长沙市主持召开了《津市工业集中区扩区环境影响报告书》技术审查会并获得通过。根据专家建议和审查意见，结合区域宏观规划调整，为便于园区扩区后续申报，确定项目名称改为</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津市高新技术产业开发区调扩区</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；项目组经修改完善后形成了《津市高新技术产业开发区调扩区环境影响报告书》，并于2018年3月28日获湖南省环境保护厅批复（湘环评函</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zh-CN"/>
              </w:rPr>
              <w:t>2018</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zh-CN"/>
              </w:rPr>
              <w:t>6号）。津市高新技术产业开发区调扩区（简称</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调扩区</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，津市高新技术产业开发区则简称</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高新区</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）面积为5.9678km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，原高新区约有1.09km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用地本次被调出高新区范围，高新区调扩区以后总用地面积为11.2778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，新增用地4.8778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，实际新征用地5.9678 km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。调扩区用地位于现有高新区南侧，澧水以西，胥家湖北侧地域。调扩区范围规划以生物医药、汽配为主导产业，适当发展食品加工、精细化工、建材和物流等配套产业。</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结合津市工业集中区现状和发展规划，常德市津市工业园污水处理厂的建设采取统一规划、分期建设的原则。污水处理厂规划总处理规模2.0万m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/d，一期建设规模0.5万m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/d，二期建设规模</w:t>
            </w:r>
            <w:r>
              <w:rPr>
                <w:rFonts w:hint="eastAsia" w:ascii="Times New Roman" w:hAnsi="Times New Roman" w:cs="Times New Roman"/>
                <w:sz w:val="24"/>
                <w:szCs w:val="22"/>
                <w:lang w:val="en-US" w:eastAsia="zh-CN"/>
              </w:rPr>
              <w:t>1.5</w:t>
            </w:r>
            <w:r>
              <w:rPr>
                <w:rFonts w:hint="default" w:ascii="Times New Roman" w:hAnsi="Times New Roman" w:cs="Times New Roman"/>
                <w:sz w:val="24"/>
                <w:szCs w:val="22"/>
                <w:lang w:val="zh-CN"/>
              </w:rPr>
              <w:t>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/d，接纳废水包括纳污范围内的工业企业废水及居民生活污水。</w:t>
            </w:r>
          </w:p>
          <w:p>
            <w:pPr>
              <w:spacing w:line="360" w:lineRule="auto"/>
              <w:ind w:firstLine="482" w:firstLineChars="200"/>
              <w:rPr>
                <w:rFonts w:hint="default" w:ascii="Times New Roman" w:hAnsi="Times New Roman" w:cs="Times New Roman"/>
                <w:b/>
                <w:bCs/>
                <w:sz w:val="24"/>
                <w:szCs w:val="22"/>
                <w:lang w:val="zh-CN" w:eastAsia="zh-CN"/>
              </w:rPr>
            </w:pPr>
            <w:bookmarkStart w:id="22" w:name="5.2.2产业定位"/>
            <w:bookmarkEnd w:id="22"/>
            <w:r>
              <w:rPr>
                <w:rFonts w:hint="eastAsia" w:cs="Times New Roman"/>
                <w:b/>
                <w:bCs/>
                <w:sz w:val="24"/>
                <w:szCs w:val="22"/>
                <w:lang w:val="en-US" w:eastAsia="zh-CN"/>
              </w:rPr>
              <w:t>（2）</w:t>
            </w:r>
            <w:r>
              <w:rPr>
                <w:rFonts w:hint="default" w:ascii="Times New Roman" w:hAnsi="Times New Roman" w:cs="Times New Roman"/>
                <w:b/>
                <w:bCs/>
                <w:sz w:val="24"/>
                <w:szCs w:val="22"/>
                <w:lang w:val="zh-CN" w:eastAsia="zh-CN"/>
              </w:rPr>
              <w:t>产业定位</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b w:val="0"/>
                <w:bCs w:val="0"/>
                <w:color w:val="000000" w:themeColor="text1"/>
                <w:sz w:val="24"/>
                <w:szCs w:val="22"/>
                <w:lang w:val="zh-CN"/>
                <w14:textFill>
                  <w14:solidFill>
                    <w14:schemeClr w14:val="tx1"/>
                  </w14:solidFill>
                </w14:textFill>
              </w:rPr>
              <w:t>201</w:t>
            </w:r>
            <w:r>
              <w:rPr>
                <w:rFonts w:hint="eastAsia" w:ascii="Times New Roman" w:hAnsi="Times New Roman" w:cs="Times New Roman"/>
                <w:b w:val="0"/>
                <w:bCs w:val="0"/>
                <w:color w:val="000000" w:themeColor="text1"/>
                <w:sz w:val="24"/>
                <w:szCs w:val="22"/>
                <w:lang w:val="en-US" w:eastAsia="zh-CN"/>
                <w14:textFill>
                  <w14:solidFill>
                    <w14:schemeClr w14:val="tx1"/>
                  </w14:solidFill>
                </w14:textFill>
              </w:rPr>
              <w:t>8</w:t>
            </w:r>
            <w:r>
              <w:rPr>
                <w:rFonts w:hint="default" w:ascii="Times New Roman" w:hAnsi="Times New Roman" w:cs="Times New Roman"/>
                <w:b w:val="0"/>
                <w:bCs w:val="0"/>
                <w:color w:val="000000" w:themeColor="text1"/>
                <w:sz w:val="24"/>
                <w:szCs w:val="22"/>
                <w:lang w:val="zh-CN"/>
                <w14:textFill>
                  <w14:solidFill>
                    <w14:schemeClr w14:val="tx1"/>
                  </w14:solidFill>
                </w14:textFill>
              </w:rPr>
              <w:t>年</w:t>
            </w:r>
            <w:r>
              <w:rPr>
                <w:rFonts w:hint="eastAsia" w:ascii="Times New Roman" w:hAnsi="Times New Roman" w:cs="Times New Roman"/>
                <w:b w:val="0"/>
                <w:bCs w:val="0"/>
                <w:color w:val="000000" w:themeColor="text1"/>
                <w:sz w:val="24"/>
                <w:szCs w:val="22"/>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2"/>
                <w:lang w:val="zh-CN"/>
                <w14:textFill>
                  <w14:solidFill>
                    <w14:schemeClr w14:val="tx1"/>
                  </w14:solidFill>
                </w14:textFill>
              </w:rPr>
              <w:t>月，</w:t>
            </w:r>
            <w:r>
              <w:rPr>
                <w:rFonts w:hint="eastAsia" w:ascii="Times New Roman" w:hAnsi="Times New Roman" w:cs="Times New Roman"/>
                <w:b w:val="0"/>
                <w:bCs w:val="0"/>
                <w:color w:val="000000" w:themeColor="text1"/>
                <w:sz w:val="24"/>
                <w:szCs w:val="22"/>
                <w:lang w:val="zh-CN"/>
                <w14:textFill>
                  <w14:solidFill>
                    <w14:schemeClr w14:val="tx1"/>
                  </w14:solidFill>
                </w14:textFill>
              </w:rPr>
              <w:t>长沙环境保护职业技术学院</w:t>
            </w:r>
            <w:r>
              <w:rPr>
                <w:rFonts w:hint="default" w:ascii="Times New Roman" w:hAnsi="Times New Roman" w:cs="Times New Roman"/>
                <w:b w:val="0"/>
                <w:bCs w:val="0"/>
                <w:color w:val="000000" w:themeColor="text1"/>
                <w:sz w:val="24"/>
                <w:szCs w:val="22"/>
                <w:lang w:val="zh-CN"/>
                <w14:textFill>
                  <w14:solidFill>
                    <w14:schemeClr w14:val="tx1"/>
                  </w14:solidFill>
                </w14:textFill>
              </w:rPr>
              <w:t>完成了《津市高新技术产业开发区调扩区环境影响报告书》（报批稿），由于津市工业集中区二期未获得湖南省发改委核准，《津市高新技术产业开发区调扩区环境影响报告书》（报批稿）扩区环评仍以原津市工业集中区一期6.4km</w:t>
            </w:r>
            <w:r>
              <w:rPr>
                <w:rFonts w:hint="default" w:ascii="Times New Roman" w:hAnsi="Times New Roman" w:cs="Times New Roman"/>
                <w:b w:val="0"/>
                <w:bCs w:val="0"/>
                <w:color w:val="000000" w:themeColor="text1"/>
                <w:sz w:val="24"/>
                <w:szCs w:val="22"/>
                <w:vertAlign w:val="superscript"/>
                <w:lang w:val="zh-CN"/>
                <w14:textFill>
                  <w14:solidFill>
                    <w14:schemeClr w14:val="tx1"/>
                  </w14:solidFill>
                </w14:textFill>
              </w:rPr>
              <w:t>2</w:t>
            </w:r>
            <w:r>
              <w:rPr>
                <w:rFonts w:hint="default" w:ascii="Times New Roman" w:hAnsi="Times New Roman" w:cs="Times New Roman"/>
                <w:b w:val="0"/>
                <w:bCs w:val="0"/>
                <w:color w:val="000000" w:themeColor="text1"/>
                <w:sz w:val="24"/>
                <w:szCs w:val="22"/>
                <w:lang w:val="zh-CN"/>
                <w14:textFill>
                  <w14:solidFill>
                    <w14:schemeClr w14:val="tx1"/>
                  </w14:solidFill>
                </w14:textFill>
              </w:rPr>
              <w:t>为基础进行编制。</w:t>
            </w:r>
            <w:r>
              <w:rPr>
                <w:rFonts w:hint="default" w:ascii="Times New Roman" w:hAnsi="Times New Roman" w:cs="Times New Roman"/>
                <w:sz w:val="24"/>
                <w:szCs w:val="22"/>
                <w:lang w:val="zh-CN"/>
              </w:rPr>
              <w:t>根据《津市高新技术产业开发区调扩区环境影响报告书》（报批稿），调扩区产业定位为：以生物医药、装备制造为主导产业，适当发展食品加工、精细化工、建材和物流等配套产业。</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生物医药：按照</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扩大规模、提升档次、打造品牌</w:t>
            </w:r>
            <w:r>
              <w:rPr>
                <w:rFonts w:hint="eastAsia" w:ascii="Times New Roman" w:hAnsi="Times New Roman" w:cs="Times New Roman"/>
                <w:sz w:val="24"/>
                <w:szCs w:val="22"/>
                <w:lang w:val="zh-CN"/>
              </w:rPr>
              <w:t>”</w:t>
            </w:r>
            <w:r>
              <w:rPr>
                <w:rFonts w:hint="default" w:ascii="Times New Roman" w:hAnsi="Times New Roman" w:cs="Times New Roman"/>
                <w:sz w:val="24"/>
                <w:szCs w:val="22"/>
                <w:lang w:val="zh-CN"/>
              </w:rPr>
              <w:t>的思路，大力引进生物酶制剂、医药中间体、生物制药及医疗器械生产企业，不断壮大生物医药产业集群。以溢多利、天津医药为依托，重点扶持新合新、鸿鹰生物、龙腾生物、菲托葳生物、汉晶瑞等企业；提高产业化和科技研发水平，掌握医药中间体高端技术，部分单项产品拥有定价议价能力，并参与国家酶制剂制造技术标准制定。主要发展如生物酶制剂、医药中间体、化学新药、制剂、混配分装、植物医药提取、医疗器械等产业。规划将生物医药产业主要布局于扩区的团湖两侧的工业区块内。</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汽配工业：汽车配件是构成汽车整体的各单元及服务于汽车的产品。规划汽配产业重点向两大领域发展：一是以汽车模具制造和汽车钢结构研发和生产。二是重点发展以湖南百特机械、龙津机械、鑫嘉诚铸造等企业为龙头的汽车配件机械类企业，加大现有企业技改和创新的力度，提高产品科技含量。规划将汽配及机械制造产业沿津市大道向西布置，布局于调扩区的中西部工业区块内，与一期内的汽配产业连成一片，形成大的汽配工业板块。</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食品加工：依托洞庭湖区农业资源和产业基础，食品加工产业主要发展有地方特色的食品；以新中意集团、润农茶油、嘉品嘉味、创奇食品、南北特等企业为依托，积极支持食品企业技术改造和新产品开发，重点发展特色休闲食品、调味品、果蔬食品、粮油加工，打响新中意、润农、津味绿康、张老头等优势品牌。规划将食品加工产业主要布局于调扩区的东南部的工业区块内。</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建材工业：重点扶持常德市宏森钢结构、鸿科建材有限公司，加快启动调扩区二期项目建设，逐步实现新型建材的同步生产，积极引进其他在金属和非金属材料合成与加工方面具有一定实力和技术优势的企业，坚持产品多元化的发展之路。重点发展金属材质建材加工，新型墙体和屋面材料、绝热隔音材料、建筑防水和密封材料，砼结构构件制造、商品混凝土加工；高品质人工晶体材料；玻璃熔窑耐火材料；新型塑料建材。规划将建材产业布局于调扩区南部区域。</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精细化工：配套园区生物医药、汽配、食品加工、纺织等产业发展，重点发展绿色日用化学工业（如：香料、洗涤剂、化妆品、食品添加剂(含饲料添加剂)）、化学添加剂工业（如：溶剂、试剂、药剂、催化剂、胶粘剂、助剂、表面活性剂、增塑剂、其他添加剂等）、高性能化学纤维工业（如：涤纶、锦纶、腈纶、维纶、丙纶、氯纶、氨纶、纤维素、粘胶纤维、其他纤维等）、环保化学合成树脂与塑料工业（如环氧树脂、酚醛树脂、丙烯酸树脂、聚酯树脂、离子交换树脂、氨基树脂、有机硅树脂、呋喃树脂、聚氨酯树脂等），环境友好的涂料、油墨、染料。</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规划将精细化工产业布局于调扩区南部区域。配套物流业：充分发挥交通区位优势，依托二广高速和窑坡渡港区嘉山新工业区千吨级码头（湘环评[2012]174号批复），发展水陆联运的现代物流集散区；高标准建设集中区物流平台和物流中心，增强高新区商贸流通集散功能。按照大市场、大流通、高效率、低成本的要求，立足集中区企业物流吞吐量大和区位交通等综合优势，加快发展现代物流业。鼓励引导传统运输、仓储企业向现代物流企业转变；支持物流企业做大做强。根据区域交通设施分布，将物流业布置在调扩区东、西部边界处。</w:t>
            </w:r>
          </w:p>
          <w:p>
            <w:pPr>
              <w:spacing w:line="360" w:lineRule="auto"/>
              <w:ind w:firstLine="482" w:firstLineChars="200"/>
              <w:rPr>
                <w:rFonts w:hint="default" w:ascii="Times New Roman" w:hAnsi="Times New Roman" w:cs="Times New Roman"/>
                <w:b/>
                <w:bCs/>
                <w:sz w:val="24"/>
                <w:szCs w:val="22"/>
                <w:lang w:val="zh-CN" w:eastAsia="zh-CN"/>
              </w:rPr>
            </w:pPr>
            <w:bookmarkStart w:id="23" w:name="5.2.3产业功能布局"/>
            <w:bookmarkEnd w:id="23"/>
            <w:r>
              <w:rPr>
                <w:rFonts w:hint="eastAsia" w:cs="Times New Roman"/>
                <w:b/>
                <w:bCs/>
                <w:sz w:val="24"/>
                <w:szCs w:val="22"/>
                <w:lang w:val="en-US" w:eastAsia="zh-CN"/>
              </w:rPr>
              <w:t>（3）</w:t>
            </w:r>
            <w:r>
              <w:rPr>
                <w:rFonts w:hint="default" w:ascii="Times New Roman" w:hAnsi="Times New Roman" w:cs="Times New Roman"/>
                <w:b/>
                <w:bCs/>
                <w:sz w:val="24"/>
                <w:szCs w:val="22"/>
                <w:lang w:val="zh-CN" w:eastAsia="zh-CN"/>
              </w:rPr>
              <w:t>产业功能布局</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根据《津市高新技术产业开发区总体规划（2016-2025）》（湖南省建筑设计院， 2017年2月）、《津市高新技术产业开发区调扩区项目环境影响报告书》（报批稿），津市高新区产业功能区分为综合工业区、汽配工业区、生物医药区、食品加工区、建材区、精细化工区、物流区。</w:t>
            </w:r>
          </w:p>
          <w:p>
            <w:pPr>
              <w:spacing w:line="360" w:lineRule="auto"/>
              <w:ind w:firstLine="482" w:firstLineChars="200"/>
              <w:rPr>
                <w:rFonts w:hint="default" w:ascii="Times New Roman" w:hAnsi="Times New Roman" w:cs="Times New Roman"/>
                <w:b/>
                <w:bCs/>
                <w:sz w:val="24"/>
                <w:szCs w:val="22"/>
                <w:lang w:val="zh-CN" w:eastAsia="zh-CN"/>
              </w:rPr>
            </w:pPr>
            <w:bookmarkStart w:id="24" w:name="5.2.4排水现状及规划"/>
            <w:bookmarkEnd w:id="24"/>
            <w:r>
              <w:rPr>
                <w:rFonts w:hint="eastAsia" w:cs="Times New Roman"/>
                <w:b/>
                <w:bCs/>
                <w:sz w:val="24"/>
                <w:szCs w:val="22"/>
                <w:lang w:val="en-US" w:eastAsia="zh-CN"/>
              </w:rPr>
              <w:t>（4）</w:t>
            </w:r>
            <w:r>
              <w:rPr>
                <w:rFonts w:hint="default" w:ascii="Times New Roman" w:hAnsi="Times New Roman" w:cs="Times New Roman"/>
                <w:b/>
                <w:bCs/>
                <w:sz w:val="24"/>
                <w:szCs w:val="22"/>
                <w:lang w:val="zh-CN" w:eastAsia="zh-CN"/>
              </w:rPr>
              <w:t>排水现状及规划</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A、津市污水处理厂</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津市污水处理厂位于园区南部幸福闸，东临澧水，西临孟姜女大道，占地面积35.43亩。污水处理工艺采用氧化沟工艺，处理规模近期设计4万m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/d，远期规划为8万m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/d，津市污水处理厂已经于2009年底投入运行（实际2万m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津市污水处理厂目前主要收集城北区、城南区和高新区津市大道以北区域的污水。城北区污水通过汪家桥合流提升泵站提升后，采用两根DN530长440m的倒虹钢管过澧水，再通过一根DN1000长2185m的钢管接入孟姜女大道截污主干管；城南区和高新区津市大道以北区域的污水直接接入孟姜女大道截污主干管。污水经处理达到《城镇污水处理厂污染物排放标准》（GB18918-2002）中一级A标准后，经幸福闸排水泵站排入澧水。津市污水处理厂设计进水水质和出水水质见表</w:t>
            </w:r>
            <w:r>
              <w:rPr>
                <w:rFonts w:hint="eastAsia" w:cs="Times New Roman"/>
                <w:sz w:val="24"/>
                <w:szCs w:val="22"/>
                <w:lang w:val="en-US" w:eastAsia="zh-CN"/>
              </w:rPr>
              <w:t>2</w:t>
            </w:r>
            <w:r>
              <w:rPr>
                <w:rFonts w:hint="eastAsia" w:ascii="Times New Roman" w:hAnsi="Times New Roman" w:cs="Times New Roman"/>
                <w:sz w:val="24"/>
                <w:szCs w:val="22"/>
                <w:lang w:val="en-US" w:eastAsia="zh-CN"/>
              </w:rPr>
              <w:t>-1</w:t>
            </w:r>
            <w:r>
              <w:rPr>
                <w:rFonts w:hint="default" w:ascii="Times New Roman" w:hAnsi="Times New Roman" w:cs="Times New Roman"/>
                <w:sz w:val="24"/>
                <w:szCs w:val="22"/>
                <w:lang w:val="zh-CN"/>
              </w:rPr>
              <w:t>。</w:t>
            </w:r>
          </w:p>
          <w:p>
            <w:pPr>
              <w:widowControl/>
              <w:spacing w:line="360" w:lineRule="auto"/>
              <w:ind w:firstLine="422" w:firstLineChars="200"/>
              <w:jc w:val="center"/>
              <w:rPr>
                <w:rFonts w:hint="default" w:ascii="Times New Roman" w:hAnsi="Times New Roman" w:cs="Times New Roman"/>
                <w:b/>
                <w:bCs/>
              </w:rPr>
            </w:pPr>
            <w:r>
              <w:rPr>
                <w:rFonts w:hint="default" w:ascii="Times New Roman" w:hAnsi="Times New Roman" w:cs="Times New Roman"/>
                <w:b/>
                <w:bCs/>
              </w:rPr>
              <w:t>表</w:t>
            </w:r>
            <w:r>
              <w:rPr>
                <w:rFonts w:hint="eastAsia" w:cs="Times New Roman"/>
                <w:b/>
                <w:bCs/>
                <w:lang w:val="en-US" w:eastAsia="zh-CN"/>
              </w:rPr>
              <w:t>2</w:t>
            </w:r>
            <w:r>
              <w:rPr>
                <w:rFonts w:hint="default" w:ascii="Times New Roman" w:hAnsi="Times New Roman" w:cs="Times New Roman"/>
                <w:b/>
                <w:bCs/>
              </w:rPr>
              <w:t>-</w:t>
            </w:r>
            <w:r>
              <w:rPr>
                <w:rFonts w:hint="eastAsia" w:ascii="Times New Roman" w:hAnsi="Times New Roman" w:cs="Times New Roman"/>
                <w:b/>
                <w:bCs/>
                <w:lang w:val="en-US" w:eastAsia="zh-CN"/>
              </w:rPr>
              <w:t xml:space="preserve">1  </w:t>
            </w:r>
            <w:r>
              <w:rPr>
                <w:rFonts w:hint="default" w:ascii="Times New Roman" w:hAnsi="Times New Roman" w:cs="Times New Roman"/>
                <w:b/>
                <w:bCs/>
              </w:rPr>
              <w:t>津市污水处理厂设计进水和出水水质</w:t>
            </w:r>
            <w:r>
              <w:rPr>
                <w:rFonts w:hint="eastAsia" w:ascii="Times New Roman" w:hAnsi="Times New Roman" w:cs="Times New Roman"/>
                <w:b/>
                <w:bCs/>
                <w:lang w:val="en-US" w:eastAsia="zh-CN"/>
              </w:rPr>
              <w:t xml:space="preserve">  </w:t>
            </w:r>
            <w:r>
              <w:rPr>
                <w:rFonts w:hint="default" w:ascii="Times New Roman" w:hAnsi="Times New Roman" w:cs="Times New Roman"/>
                <w:b/>
                <w:bCs/>
              </w:rPr>
              <w:t>单位：mg/L</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9"/>
              <w:gridCol w:w="1424"/>
              <w:gridCol w:w="1411"/>
              <w:gridCol w:w="1483"/>
              <w:gridCol w:w="1416"/>
              <w:gridCol w:w="15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exact"/>
                <w:jc w:val="center"/>
              </w:trPr>
              <w:tc>
                <w:tcPr>
                  <w:tcW w:w="1160"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污染物</w:t>
                  </w:r>
                </w:p>
              </w:tc>
              <w:tc>
                <w:tcPr>
                  <w:tcW w:w="1225"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COD</w:t>
                  </w:r>
                </w:p>
              </w:tc>
              <w:tc>
                <w:tcPr>
                  <w:tcW w:w="1214"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BOD</w:t>
                  </w:r>
                  <w:r>
                    <w:rPr>
                      <w:rFonts w:hint="default" w:ascii="Times New Roman" w:hAnsi="Times New Roman" w:cs="Times New Roman"/>
                      <w:b/>
                      <w:bCs/>
                      <w:color w:val="000000"/>
                      <w:sz w:val="21"/>
                      <w:szCs w:val="21"/>
                      <w:vertAlign w:val="subscript"/>
                    </w:rPr>
                    <w:t>5</w:t>
                  </w:r>
                </w:p>
              </w:tc>
              <w:tc>
                <w:tcPr>
                  <w:tcW w:w="1276"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SS</w:t>
                  </w:r>
                </w:p>
              </w:tc>
              <w:tc>
                <w:tcPr>
                  <w:tcW w:w="1218"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NH</w:t>
                  </w:r>
                  <w:r>
                    <w:rPr>
                      <w:rFonts w:hint="default" w:ascii="Times New Roman" w:hAnsi="Times New Roman" w:cs="Times New Roman"/>
                      <w:b/>
                      <w:bCs/>
                      <w:color w:val="000000"/>
                      <w:sz w:val="21"/>
                      <w:szCs w:val="21"/>
                      <w:vertAlign w:val="subscript"/>
                    </w:rPr>
                    <w:t>3</w:t>
                  </w:r>
                  <w:r>
                    <w:rPr>
                      <w:rFonts w:hint="default" w:ascii="Times New Roman" w:hAnsi="Times New Roman" w:cs="Times New Roman"/>
                      <w:b/>
                      <w:bCs/>
                      <w:color w:val="000000"/>
                      <w:sz w:val="21"/>
                      <w:szCs w:val="21"/>
                    </w:rPr>
                    <w:t>-N</w:t>
                  </w:r>
                </w:p>
              </w:tc>
              <w:tc>
                <w:tcPr>
                  <w:tcW w:w="1319"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exact"/>
                <w:jc w:val="center"/>
              </w:trPr>
              <w:tc>
                <w:tcPr>
                  <w:tcW w:w="1160"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进水水质</w:t>
                  </w:r>
                </w:p>
              </w:tc>
              <w:tc>
                <w:tcPr>
                  <w:tcW w:w="1225" w:type="dxa"/>
                  <w:tcBorders>
                    <w:tl2br w:val="nil"/>
                    <w:tr2bl w:val="nil"/>
                  </w:tcBorders>
                  <w:vAlign w:val="top"/>
                </w:tcPr>
                <w:p>
                  <w:pPr>
                    <w:adjustRightInd w:val="0"/>
                    <w:snapToGrid w:val="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260</w:t>
                  </w:r>
                </w:p>
              </w:tc>
              <w:tc>
                <w:tcPr>
                  <w:tcW w:w="1214" w:type="dxa"/>
                  <w:tcBorders>
                    <w:tl2br w:val="nil"/>
                    <w:tr2bl w:val="nil"/>
                  </w:tcBorders>
                  <w:vAlign w:val="top"/>
                </w:tcPr>
                <w:p>
                  <w:pPr>
                    <w:adjustRightInd w:val="0"/>
                    <w:snapToGrid w:val="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120</w:t>
                  </w:r>
                </w:p>
              </w:tc>
              <w:tc>
                <w:tcPr>
                  <w:tcW w:w="1276" w:type="dxa"/>
                  <w:tcBorders>
                    <w:tl2br w:val="nil"/>
                    <w:tr2bl w:val="nil"/>
                  </w:tcBorders>
                  <w:vAlign w:val="top"/>
                </w:tcPr>
                <w:p>
                  <w:pPr>
                    <w:adjustRightInd w:val="0"/>
                    <w:snapToGrid w:val="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150</w:t>
                  </w:r>
                </w:p>
              </w:tc>
              <w:tc>
                <w:tcPr>
                  <w:tcW w:w="1218" w:type="dxa"/>
                  <w:tcBorders>
                    <w:tl2br w:val="nil"/>
                    <w:tr2bl w:val="nil"/>
                  </w:tcBorders>
                  <w:vAlign w:val="top"/>
                </w:tcPr>
                <w:p>
                  <w:pPr>
                    <w:adjustRightInd w:val="0"/>
                    <w:snapToGrid w:val="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30</w:t>
                  </w:r>
                </w:p>
              </w:tc>
              <w:tc>
                <w:tcPr>
                  <w:tcW w:w="1319" w:type="dxa"/>
                  <w:tcBorders>
                    <w:tl2br w:val="nil"/>
                    <w:tr2bl w:val="nil"/>
                  </w:tcBorders>
                  <w:vAlign w:val="top"/>
                </w:tcPr>
                <w:p>
                  <w:pPr>
                    <w:adjustRightInd w:val="0"/>
                    <w:snapToGrid w:val="0"/>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jc w:val="center"/>
              </w:trPr>
              <w:tc>
                <w:tcPr>
                  <w:tcW w:w="1160"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出水水质</w:t>
                  </w:r>
                </w:p>
              </w:tc>
              <w:tc>
                <w:tcPr>
                  <w:tcW w:w="1225" w:type="dxa"/>
                  <w:tcBorders>
                    <w:tl2br w:val="nil"/>
                    <w:tr2bl w:val="nil"/>
                  </w:tcBorders>
                  <w:vAlign w:val="top"/>
                </w:tcPr>
                <w:p>
                  <w:pPr>
                    <w:adjustRightInd w:val="0"/>
                    <w:snapToGrid w:val="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50</w:t>
                  </w:r>
                </w:p>
              </w:tc>
              <w:tc>
                <w:tcPr>
                  <w:tcW w:w="1214"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276"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218"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8</w:t>
                  </w:r>
                  <w:r>
                    <w:rPr>
                      <w:rFonts w:hint="default" w:ascii="Times New Roman" w:hAnsi="Times New Roman" w:cs="Times New Roman"/>
                      <w:color w:val="000000"/>
                      <w:sz w:val="21"/>
                      <w:szCs w:val="21"/>
                    </w:rPr>
                    <w:t>）</w:t>
                  </w:r>
                </w:p>
              </w:tc>
              <w:tc>
                <w:tcPr>
                  <w:tcW w:w="1319"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r>
          </w:tbl>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B、津市工业污水处理厂</w:t>
            </w:r>
          </w:p>
          <w:p>
            <w:pPr>
              <w:spacing w:line="360" w:lineRule="auto"/>
              <w:ind w:firstLine="480" w:firstLineChars="200"/>
              <w:rPr>
                <w:rFonts w:hint="default" w:ascii="Times New Roman" w:hAnsi="Times New Roman" w:cs="Times New Roman"/>
                <w:sz w:val="24"/>
                <w:szCs w:val="22"/>
                <w:lang w:val="zh-CN"/>
              </w:rPr>
            </w:pPr>
            <w:r>
              <w:rPr>
                <w:rFonts w:hint="default" w:ascii="Times New Roman" w:hAnsi="Times New Roman" w:cs="Times New Roman"/>
                <w:sz w:val="24"/>
                <w:szCs w:val="22"/>
                <w:lang w:val="zh-CN"/>
              </w:rPr>
              <w:t>津市工业污水处理厂位于孟姜女大道东侧，鸿祥路南侧，沿江路以西，距西北面津市污水处理厂750m，总占地面积约36.02亩，规划总处理规模2.0万m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/d，管网建设总长度约39.73km。津市工业污水处理厂分两期建设，其中一期建设规模为0.5万m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/d，二期建设规模为1.5万m</w:t>
            </w:r>
            <w:r>
              <w:rPr>
                <w:rFonts w:hint="default" w:ascii="Times New Roman" w:hAnsi="Times New Roman" w:cs="Times New Roman"/>
                <w:sz w:val="24"/>
                <w:szCs w:val="22"/>
                <w:vertAlign w:val="superscript"/>
                <w:lang w:val="zh-CN"/>
              </w:rPr>
              <w:t>3</w:t>
            </w:r>
            <w:r>
              <w:rPr>
                <w:rFonts w:hint="default" w:ascii="Times New Roman" w:hAnsi="Times New Roman" w:cs="Times New Roman"/>
                <w:sz w:val="24"/>
                <w:szCs w:val="22"/>
                <w:lang w:val="zh-CN"/>
              </w:rPr>
              <w:t>/d。一期投资6840.52万元，一期占地面积为17086.29m</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，一期工程已经于2017年底投入运营。津市工业污水处理厂一期纳污范围为高新区津市大道以南区域的污水，主体工艺采用A</w:t>
            </w:r>
            <w:r>
              <w:rPr>
                <w:rFonts w:hint="default" w:ascii="Times New Roman" w:hAnsi="Times New Roman" w:cs="Times New Roman"/>
                <w:sz w:val="24"/>
                <w:szCs w:val="22"/>
                <w:vertAlign w:val="superscript"/>
                <w:lang w:val="zh-CN"/>
              </w:rPr>
              <w:t>2</w:t>
            </w:r>
            <w:r>
              <w:rPr>
                <w:rFonts w:hint="default" w:ascii="Times New Roman" w:hAnsi="Times New Roman" w:cs="Times New Roman"/>
                <w:sz w:val="24"/>
                <w:szCs w:val="22"/>
                <w:lang w:val="zh-CN"/>
              </w:rPr>
              <w:t>/O（厌氧、缺氧、好氧）生物反应池+过滤器滤布滤池，污水经处理后，出水达到《城镇污水处理厂污染物排放标准》（GB18918-2002）中一级A标准，出水经城内垸排水泵站排入澧水。工业污水处理厂设计进水水质和出水水质见表</w:t>
            </w:r>
            <w:r>
              <w:rPr>
                <w:rFonts w:hint="eastAsia" w:cs="Times New Roman"/>
                <w:sz w:val="24"/>
                <w:szCs w:val="22"/>
                <w:lang w:val="en-US" w:eastAsia="zh-CN"/>
              </w:rPr>
              <w:t>2</w:t>
            </w:r>
            <w:r>
              <w:rPr>
                <w:rFonts w:hint="default" w:ascii="Times New Roman" w:hAnsi="Times New Roman" w:cs="Times New Roman"/>
                <w:sz w:val="24"/>
                <w:szCs w:val="22"/>
                <w:lang w:val="zh-CN"/>
              </w:rPr>
              <w:t>-</w:t>
            </w:r>
            <w:r>
              <w:rPr>
                <w:rFonts w:hint="eastAsia" w:ascii="Times New Roman" w:hAnsi="Times New Roman" w:cs="Times New Roman"/>
                <w:sz w:val="24"/>
                <w:szCs w:val="22"/>
                <w:lang w:val="en-US" w:eastAsia="zh-CN"/>
              </w:rPr>
              <w:t>2</w:t>
            </w:r>
            <w:r>
              <w:rPr>
                <w:rFonts w:hint="default" w:ascii="Times New Roman" w:hAnsi="Times New Roman" w:cs="Times New Roman"/>
                <w:sz w:val="24"/>
                <w:szCs w:val="22"/>
                <w:lang w:val="zh-CN"/>
              </w:rPr>
              <w:t>。</w:t>
            </w:r>
          </w:p>
          <w:p>
            <w:pPr>
              <w:widowControl/>
              <w:spacing w:line="360" w:lineRule="auto"/>
              <w:ind w:firstLine="422" w:firstLineChars="200"/>
              <w:jc w:val="center"/>
              <w:rPr>
                <w:rFonts w:hint="default" w:ascii="Times New Roman" w:hAnsi="Times New Roman" w:cs="Times New Roman"/>
                <w:b/>
                <w:bCs/>
              </w:rPr>
            </w:pPr>
            <w:r>
              <w:rPr>
                <w:rFonts w:hint="default" w:ascii="Times New Roman" w:hAnsi="Times New Roman" w:cs="Times New Roman"/>
                <w:b/>
                <w:bCs/>
              </w:rPr>
              <w:t>表</w:t>
            </w:r>
            <w:r>
              <w:rPr>
                <w:rFonts w:hint="eastAsia" w:cs="Times New Roman"/>
                <w:b/>
                <w:bCs/>
                <w:lang w:val="en-US" w:eastAsia="zh-CN"/>
              </w:rPr>
              <w:t>2</w:t>
            </w:r>
            <w:r>
              <w:rPr>
                <w:rFonts w:hint="default" w:ascii="Times New Roman" w:hAnsi="Times New Roman" w:cs="Times New Roman"/>
                <w:b/>
                <w:bCs/>
              </w:rPr>
              <w:t>-</w:t>
            </w:r>
            <w:r>
              <w:rPr>
                <w:rFonts w:hint="eastAsia" w:ascii="Times New Roman" w:hAnsi="Times New Roman" w:cs="Times New Roman"/>
                <w:b/>
                <w:bCs/>
                <w:lang w:val="en-US" w:eastAsia="zh-CN"/>
              </w:rPr>
              <w:t xml:space="preserve">2  </w:t>
            </w:r>
            <w:r>
              <w:rPr>
                <w:rFonts w:hint="default" w:ascii="Times New Roman" w:hAnsi="Times New Roman" w:cs="Times New Roman"/>
                <w:b/>
                <w:bCs/>
              </w:rPr>
              <w:t>津市工业污水处理厂设计进水和出水水质</w:t>
            </w:r>
            <w:r>
              <w:rPr>
                <w:rFonts w:hint="eastAsia" w:ascii="Times New Roman" w:hAnsi="Times New Roman" w:cs="Times New Roman"/>
                <w:b/>
                <w:bCs/>
                <w:lang w:val="en-US" w:eastAsia="zh-CN"/>
              </w:rPr>
              <w:t xml:space="preserve">  </w:t>
            </w:r>
            <w:r>
              <w:rPr>
                <w:rFonts w:hint="default" w:ascii="Times New Roman" w:hAnsi="Times New Roman" w:cs="Times New Roman"/>
                <w:b/>
                <w:bCs/>
              </w:rPr>
              <w:t>单位：mg/L</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1209"/>
              <w:gridCol w:w="1198"/>
              <w:gridCol w:w="1259"/>
              <w:gridCol w:w="1202"/>
              <w:gridCol w:w="1302"/>
              <w:gridCol w:w="13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exact"/>
                <w:jc w:val="center"/>
              </w:trPr>
              <w:tc>
                <w:tcPr>
                  <w:tcW w:w="1160"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污染物</w:t>
                  </w:r>
                </w:p>
              </w:tc>
              <w:tc>
                <w:tcPr>
                  <w:tcW w:w="1225"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COD</w:t>
                  </w:r>
                </w:p>
              </w:tc>
              <w:tc>
                <w:tcPr>
                  <w:tcW w:w="1214"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BOD</w:t>
                  </w:r>
                  <w:r>
                    <w:rPr>
                      <w:rFonts w:hint="default" w:ascii="Times New Roman" w:hAnsi="Times New Roman" w:cs="Times New Roman"/>
                      <w:b/>
                      <w:bCs/>
                      <w:color w:val="000000"/>
                      <w:sz w:val="21"/>
                      <w:szCs w:val="21"/>
                      <w:vertAlign w:val="subscript"/>
                    </w:rPr>
                    <w:t>5</w:t>
                  </w:r>
                </w:p>
              </w:tc>
              <w:tc>
                <w:tcPr>
                  <w:tcW w:w="1276"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SS</w:t>
                  </w:r>
                </w:p>
              </w:tc>
              <w:tc>
                <w:tcPr>
                  <w:tcW w:w="1218"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NH</w:t>
                  </w:r>
                  <w:r>
                    <w:rPr>
                      <w:rFonts w:hint="default" w:ascii="Times New Roman" w:hAnsi="Times New Roman" w:cs="Times New Roman"/>
                      <w:b/>
                      <w:bCs/>
                      <w:color w:val="000000"/>
                      <w:sz w:val="21"/>
                      <w:szCs w:val="21"/>
                      <w:vertAlign w:val="subscript"/>
                    </w:rPr>
                    <w:t>3</w:t>
                  </w:r>
                  <w:r>
                    <w:rPr>
                      <w:rFonts w:hint="default" w:ascii="Times New Roman" w:hAnsi="Times New Roman" w:cs="Times New Roman"/>
                      <w:b/>
                      <w:bCs/>
                      <w:color w:val="000000"/>
                      <w:sz w:val="21"/>
                      <w:szCs w:val="21"/>
                    </w:rPr>
                    <w:t>-N</w:t>
                  </w:r>
                </w:p>
              </w:tc>
              <w:tc>
                <w:tcPr>
                  <w:tcW w:w="1319"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TN</w:t>
                  </w:r>
                </w:p>
              </w:tc>
              <w:tc>
                <w:tcPr>
                  <w:tcW w:w="1319" w:type="dxa"/>
                  <w:tcBorders>
                    <w:tl2br w:val="nil"/>
                    <w:tr2bl w:val="nil"/>
                  </w:tcBorders>
                  <w:vAlign w:val="top"/>
                </w:tcPr>
                <w:p>
                  <w:pPr>
                    <w:adjustRightInd w:val="0"/>
                    <w:snapToGrid w:val="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exact"/>
                <w:jc w:val="center"/>
              </w:trPr>
              <w:tc>
                <w:tcPr>
                  <w:tcW w:w="1160"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进水水质</w:t>
                  </w:r>
                </w:p>
              </w:tc>
              <w:tc>
                <w:tcPr>
                  <w:tcW w:w="1225"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450</w:t>
                  </w:r>
                </w:p>
              </w:tc>
              <w:tc>
                <w:tcPr>
                  <w:tcW w:w="1214" w:type="dxa"/>
                  <w:tcBorders>
                    <w:tl2br w:val="nil"/>
                    <w:tr2bl w:val="nil"/>
                  </w:tcBorders>
                  <w:vAlign w:val="top"/>
                </w:tcPr>
                <w:p>
                  <w:pPr>
                    <w:adjustRightInd w:val="0"/>
                    <w:snapToGrid w:val="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70</w:t>
                  </w:r>
                </w:p>
              </w:tc>
              <w:tc>
                <w:tcPr>
                  <w:tcW w:w="1276"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300</w:t>
                  </w:r>
                </w:p>
              </w:tc>
              <w:tc>
                <w:tcPr>
                  <w:tcW w:w="1218"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35</w:t>
                  </w:r>
                </w:p>
              </w:tc>
              <w:tc>
                <w:tcPr>
                  <w:tcW w:w="1319" w:type="dxa"/>
                  <w:tcBorders>
                    <w:tl2br w:val="nil"/>
                    <w:tr2bl w:val="nil"/>
                  </w:tcBorders>
                  <w:vAlign w:val="top"/>
                </w:tcPr>
                <w:p>
                  <w:pPr>
                    <w:adjustRightInd w:val="0"/>
                    <w:snapToGrid w:val="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45</w:t>
                  </w:r>
                </w:p>
              </w:tc>
              <w:tc>
                <w:tcPr>
                  <w:tcW w:w="1319" w:type="dxa"/>
                  <w:tcBorders>
                    <w:tl2br w:val="nil"/>
                    <w:tr2bl w:val="nil"/>
                  </w:tcBorders>
                  <w:vAlign w:val="top"/>
                </w:tcPr>
                <w:p>
                  <w:pPr>
                    <w:adjustRightInd w:val="0"/>
                    <w:snapToGrid w:val="0"/>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jc w:val="center"/>
              </w:trPr>
              <w:tc>
                <w:tcPr>
                  <w:tcW w:w="1160"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出水水质</w:t>
                  </w:r>
                </w:p>
              </w:tc>
              <w:tc>
                <w:tcPr>
                  <w:tcW w:w="1225" w:type="dxa"/>
                  <w:tcBorders>
                    <w:tl2br w:val="nil"/>
                    <w:tr2bl w:val="nil"/>
                  </w:tcBorders>
                  <w:vAlign w:val="top"/>
                </w:tcPr>
                <w:p>
                  <w:pPr>
                    <w:adjustRightInd w:val="0"/>
                    <w:snapToGrid w:val="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50</w:t>
                  </w:r>
                </w:p>
              </w:tc>
              <w:tc>
                <w:tcPr>
                  <w:tcW w:w="1214"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276"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218"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8</w:t>
                  </w:r>
                  <w:r>
                    <w:rPr>
                      <w:rFonts w:hint="default" w:ascii="Times New Roman" w:hAnsi="Times New Roman" w:cs="Times New Roman"/>
                      <w:color w:val="000000"/>
                      <w:sz w:val="21"/>
                      <w:szCs w:val="21"/>
                    </w:rPr>
                    <w:t>）</w:t>
                  </w:r>
                </w:p>
              </w:tc>
              <w:tc>
                <w:tcPr>
                  <w:tcW w:w="1319"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1319" w:type="dxa"/>
                  <w:tcBorders>
                    <w:tl2br w:val="nil"/>
                    <w:tr2bl w:val="nil"/>
                  </w:tcBorders>
                  <w:vAlign w:val="top"/>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r>
          </w:tbl>
          <w:p>
            <w:pPr>
              <w:spacing w:line="360" w:lineRule="auto"/>
              <w:ind w:firstLine="480" w:firstLineChars="200"/>
              <w:rPr>
                <w:rFonts w:hint="default" w:ascii="Times New Roman" w:hAnsi="Times New Roman" w:cs="Times New Roman"/>
                <w:sz w:val="24"/>
                <w:szCs w:val="22"/>
                <w:lang w:val="en-US" w:eastAsia="zh-CN"/>
              </w:rPr>
            </w:pPr>
            <w:bookmarkStart w:id="25" w:name="5.3津市高新技术产业开发区供热规划"/>
            <w:bookmarkEnd w:id="25"/>
            <w:bookmarkStart w:id="26" w:name="_bookmark38"/>
            <w:bookmarkEnd w:id="26"/>
            <w:bookmarkStart w:id="27" w:name="_Toc11179"/>
            <w:bookmarkStart w:id="28" w:name="_Toc14024"/>
            <w:r>
              <w:rPr>
                <w:rFonts w:hint="eastAsia" w:ascii="Times New Roman" w:hAnsi="Times New Roman" w:cs="Times New Roman"/>
                <w:sz w:val="24"/>
                <w:szCs w:val="22"/>
                <w:lang w:val="en-US" w:eastAsia="zh-CN"/>
              </w:rPr>
              <w:t>本项目生活废水经隔油池+化粪池处理后排入园区市政污水管网，最终进入津市高新区工业污水处理厂处理后排入澧水。</w:t>
            </w:r>
          </w:p>
          <w:p>
            <w:pPr>
              <w:spacing w:line="360" w:lineRule="auto"/>
              <w:ind w:firstLine="482" w:firstLineChars="200"/>
              <w:outlineLvl w:val="1"/>
              <w:rPr>
                <w:rFonts w:hint="default" w:ascii="Times New Roman" w:hAnsi="Times New Roman" w:cs="Times New Roman"/>
                <w:b/>
                <w:bCs/>
                <w:sz w:val="28"/>
                <w:szCs w:val="28"/>
                <w:lang w:val="zh-CN" w:eastAsia="zh-CN"/>
              </w:rPr>
            </w:pPr>
            <w:r>
              <w:rPr>
                <w:rFonts w:hint="eastAsia" w:cs="Times New Roman"/>
                <w:b/>
                <w:bCs/>
                <w:sz w:val="24"/>
                <w:szCs w:val="22"/>
                <w:lang w:val="en-US" w:eastAsia="zh-CN"/>
              </w:rPr>
              <w:t>9、</w:t>
            </w:r>
            <w:r>
              <w:rPr>
                <w:rFonts w:hint="eastAsia" w:cs="Times New Roman"/>
                <w:b/>
                <w:bCs/>
                <w:sz w:val="24"/>
                <w:szCs w:val="22"/>
                <w:lang w:val="zh-CN" w:eastAsia="zh-CN"/>
              </w:rPr>
              <w:t>嘉山风景名胜区</w:t>
            </w:r>
            <w:bookmarkEnd w:id="27"/>
            <w:bookmarkEnd w:id="28"/>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嘉山风景名胜区位于津市南郊，澧水下游，离津市市中心7.5公里。地理坐标为东</w:t>
            </w:r>
            <w:r>
              <w:rPr>
                <w:rFonts w:hint="default" w:ascii="Times New Roman" w:hAnsi="Times New Roman" w:cs="Times New Roman"/>
                <w:sz w:val="24"/>
                <w:lang w:val="en-US" w:eastAsia="zh-CN"/>
              </w:rPr>
              <w:t>径</w:t>
            </w:r>
            <w:r>
              <w:rPr>
                <w:rFonts w:hint="default" w:ascii="Times New Roman" w:hAnsi="Times New Roman" w:cs="Times New Roman"/>
                <w:kern w:val="0"/>
                <w:sz w:val="24"/>
              </w:rPr>
              <w:t>111</w:t>
            </w:r>
            <w:r>
              <w:rPr>
                <w:rFonts w:hint="default" w:ascii="Times New Roman" w:hAnsi="Times New Roman" w:cs="Times New Roman"/>
                <w:kern w:val="0"/>
                <w:sz w:val="24"/>
                <w:vertAlign w:val="superscript"/>
              </w:rPr>
              <w:t>○</w:t>
            </w:r>
            <w:r>
              <w:rPr>
                <w:rFonts w:hint="default" w:ascii="Times New Roman" w:hAnsi="Times New Roman" w:cs="Times New Roman"/>
                <w:kern w:val="0"/>
                <w:sz w:val="24"/>
              </w:rPr>
              <w:t>50＇1.02”</w:t>
            </w:r>
            <w:r>
              <w:rPr>
                <w:rFonts w:hint="eastAsia" w:ascii="Times New Roman" w:hAnsi="Times New Roman" w:cs="Times New Roman"/>
                <w:kern w:val="0"/>
                <w:sz w:val="24"/>
                <w:lang w:val="en-US" w:eastAsia="zh-CN"/>
              </w:rPr>
              <w:t>-</w:t>
            </w:r>
            <w:r>
              <w:rPr>
                <w:rFonts w:hint="default" w:ascii="Times New Roman" w:hAnsi="Times New Roman" w:cs="Times New Roman"/>
                <w:kern w:val="0"/>
                <w:sz w:val="24"/>
              </w:rPr>
              <w:t>111</w:t>
            </w:r>
            <w:r>
              <w:rPr>
                <w:rFonts w:hint="default" w:ascii="Times New Roman" w:hAnsi="Times New Roman" w:cs="Times New Roman"/>
                <w:kern w:val="0"/>
                <w:sz w:val="24"/>
                <w:vertAlign w:val="superscript"/>
              </w:rPr>
              <w:t>○</w:t>
            </w:r>
            <w:r>
              <w:rPr>
                <w:rFonts w:hint="default" w:ascii="Times New Roman" w:hAnsi="Times New Roman" w:cs="Times New Roman"/>
                <w:kern w:val="0"/>
                <w:sz w:val="24"/>
              </w:rPr>
              <w:t>55＇5.66”，北纬29</w:t>
            </w:r>
            <w:r>
              <w:rPr>
                <w:rFonts w:hint="default" w:ascii="Times New Roman" w:hAnsi="Times New Roman" w:cs="Times New Roman"/>
                <w:kern w:val="0"/>
                <w:sz w:val="24"/>
                <w:vertAlign w:val="superscript"/>
              </w:rPr>
              <w:t>○</w:t>
            </w:r>
            <w:r>
              <w:rPr>
                <w:rFonts w:hint="default" w:ascii="Times New Roman" w:hAnsi="Times New Roman" w:cs="Times New Roman"/>
                <w:kern w:val="0"/>
                <w:sz w:val="24"/>
              </w:rPr>
              <w:t>33＇40.77”</w:t>
            </w:r>
            <w:r>
              <w:rPr>
                <w:rFonts w:hint="eastAsia" w:ascii="Times New Roman" w:hAnsi="Times New Roman" w:cs="Times New Roman"/>
                <w:kern w:val="0"/>
                <w:sz w:val="24"/>
                <w:lang w:val="en-US" w:eastAsia="zh-CN"/>
              </w:rPr>
              <w:t>-</w:t>
            </w:r>
            <w:r>
              <w:rPr>
                <w:rFonts w:hint="default" w:ascii="Times New Roman" w:hAnsi="Times New Roman" w:cs="Times New Roman"/>
                <w:kern w:val="0"/>
                <w:sz w:val="24"/>
              </w:rPr>
              <w:t>29</w:t>
            </w:r>
            <w:r>
              <w:rPr>
                <w:rFonts w:hint="default" w:ascii="Times New Roman" w:hAnsi="Times New Roman" w:cs="Times New Roman"/>
                <w:kern w:val="0"/>
                <w:sz w:val="24"/>
                <w:vertAlign w:val="superscript"/>
              </w:rPr>
              <w:t>○</w:t>
            </w:r>
            <w:r>
              <w:rPr>
                <w:rFonts w:hint="default" w:ascii="Times New Roman" w:hAnsi="Times New Roman" w:cs="Times New Roman"/>
                <w:kern w:val="0"/>
                <w:sz w:val="24"/>
              </w:rPr>
              <w:t>31＇25.47”</w:t>
            </w:r>
            <w:r>
              <w:rPr>
                <w:rFonts w:hint="default" w:ascii="Times New Roman" w:hAnsi="Times New Roman" w:cs="Times New Roman"/>
                <w:sz w:val="24"/>
                <w:lang w:val="en-US" w:eastAsia="zh-CN"/>
              </w:rPr>
              <w:t>，根据</w:t>
            </w:r>
            <w:r>
              <w:rPr>
                <w:rFonts w:hint="eastAsia" w:ascii="Times New Roman" w:hAnsi="Times New Roman" w:cs="Times New Roman"/>
                <w:sz w:val="24"/>
                <w:lang w:val="en-US" w:eastAsia="zh-CN"/>
              </w:rPr>
              <w:t>嘉山风景名胜区的历史改变及具体情况，从有利于资源的保护，满足旅游的需要和便于管理的角度出发，综合考虑自然景观、人文景观、农田、农居、山脊线、山脚、河流、公路等划定界线的因素，嘉山风景名胜区的范围在东至澧水西岸，南至嘉山良种场、豹鸣村、车渚村、白龙泉村、西至青山、北到胥家湖、荷花堰村。这样划定的嘉山风景名胜区范围包括：三湖（肖家湖、胥家湖、青山湖），六山（嘉山、青山、长山、伏牛山、豹鸣山，石子岭山）；共一镇、八村，总人口21.5万人；总面积17.35 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，其中：嘉山景区4.57km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（水面0.46km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），古城景区2.35km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，石岭一青山景区4.3km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，胥家湖景区6km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（水面1.5km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），中心广场0.13km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。嘉山风景名胜区的外围保护地带由嘉山风景名胜区范围边界线的外围延伸一定的距离所形成，面积为10km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嘉山风景名胜区位于澧水流域末端，武陵隆起的尾端，与江汉拗陷（断）两大构造单元的交接带上，因而西南端多为低山丘陵。工程地质大部岗丘地质区，属武陵山余脉向洞庭湖盆地的过渡地带，处于津市境内的潜水中段。此外，风景区内大小湖泊星罗棋布，其中肖家湖、胥家湖、漕山湖面积较大。肖家湖历年最高水位39.3m，最低水位33.20m，胥家湖/青山湖历年最高水位39.45m，最低水位33.55m。风景区内平原地带地下水位较高。风景区的地势一般西高东低，境内以岗地为主，平原次之。岗地为小丘陵，高程一般以100-200m以内，其中嘉山主峰高程为147.9m，青山主峰高程为157m，低山丘陵区都是由变质岩、风化岩组成的，发育的土壤的砂砾和碎屑适中，通透性强，三保性较好，腐殖层厚，有机质磷、钾含量高，土壤肥沃。丘陵多以混交林为主，平原以农作物为主，草和河湖水漫中以耐水淹的芦苇植被为主。</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嘉山风景名胜区人文景观与自然景色溶为一体，有关孟姜女的古迹遗址较多，以贞烈祠为重点，由望夫台、姜女镜石、澡井、碑林、孟姜古宅、刺竹园、日光殿等组成中心景区。嘉山晨景、月景、雪景、堪称三绝，并存有车渚萤辉、文华双井、观音灵池、樱花古洞、江流涌月、石岭樵歌、岩湾晚唱、菡萏薰风著名八景。嘉山南麓和西侧，还存有大片春秋战国时期古墓群，晋车胤墓、汉伏波将军马援墓均在此。</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嘉山风景名胜区内的古城新洲位于本项目南面3km处，是孟姜女、车胤的故乡，新洲镇内存有城隍庙、关帝庙、雷祖庙、大德寺、澧阳楼、囊萤书院及古城墙，千弓堤等千年以上古文化遗迹数十处。新洲镇物产丰富，尤其是与旅游业有关的特产较多。</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根据风景名胜资源美学价值、科学价值、历史价值的高低以及自然生态的完整性，将整个风景区划为四级保护区。即：</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①一级保护区：即风景游览、考古、科研的精华地带。在嘉山风景区内其综合价值最高，具有秀丽的自然景观和独特的人文景风及很高的历史价值。嘉山景区内的贞烈祠、春秋战国古墓群、武子墓等景点所在的一定区域，有较高的历史价值和美学价值，是嘉山风景名胜区的精华所在。</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②二级保护区：即风景游览主要地区，其综合价值略逊于一级保护区，以保护其景观面貌的永久性、完整性为目的。本区内以特有的滨湖自然风景观，兼有民俗风情和文物古迹。嘉山景区、青山主山体、伏牛山、胥家湖、肖家湖及所含景点构成的区域，规划为二级保护区。</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③三级保护区：即风景游览的一般地区，其综合价值逊于二级保护区，以维护整个风景名胜区的生态环境为目的，区内以大片森林植被为主，兼有文物古迹和田园风光。二级保护区以外的所有景区范围。</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④外围保护区：是三级保护区外的一定区域，它不属于风景名胜区的管辖范围，但影响着风景名胜区的建设，尤其对风景名胜区的生态有较大的影响。三级保护区以外，紧临风景名胜区界线的山脊线、农田和视域范围内的大片地区。</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外围保护地带协调：风景名胜区划定外围保护地带，面积10平方公里。禁止修建有碍环境质量的项目；现有污染源应限期治理，逐步退出；污染严重、治理不好的工厂企业应停产或搬迁。</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一级至三级保护区域均属于风景名胜区的管辖范围，它的开发建设将为风景名胜区管理按风景名胜区总体规划直接实施。外围保护区的开发建设由所辖行政管理机构按照风景名胜区规划提出的环境要求组织实施。</w:t>
            </w:r>
          </w:p>
          <w:p>
            <w:pPr>
              <w:spacing w:line="360" w:lineRule="auto"/>
              <w:ind w:firstLine="480" w:firstLineChars="200"/>
              <w:rPr>
                <w:rFonts w:hint="eastAsia" w:ascii="Times New Roman" w:hAnsi="Times New Roman" w:cs="Times New Roman"/>
                <w:b/>
                <w:bCs/>
                <w:sz w:val="28"/>
                <w:szCs w:val="28"/>
                <w:lang w:val="en-US" w:eastAsia="zh-CN"/>
              </w:rPr>
            </w:pPr>
            <w:r>
              <w:rPr>
                <w:rFonts w:hint="eastAsia" w:ascii="Times New Roman" w:hAnsi="Times New Roman" w:cs="Times New Roman"/>
                <w:sz w:val="24"/>
                <w:lang w:val="en-US" w:eastAsia="zh-CN"/>
              </w:rPr>
              <w:t>由周边环境关系图可知，本项目位于嘉山省级风景名胜区外围保护区，根据本环评提出的环境保护措施要求，施工期产生的建筑垃圾、渣土及时清理，散体材料堆放在指定的临时堆放区域，禁止占用风景名胜区用地，及时进行绿化恢复；运营期间加强交通管理，加强厂区隔离带的建设。项目的建设不会对风景名胜区环境造成影响，符合嘉山风景名胜区外围区域保护规划协调的要求。</w:t>
            </w:r>
          </w:p>
          <w:p>
            <w:pPr>
              <w:spacing w:line="360" w:lineRule="auto"/>
              <w:ind w:firstLine="482" w:firstLineChars="200"/>
              <w:outlineLvl w:val="1"/>
              <w:rPr>
                <w:rFonts w:hint="eastAsia" w:ascii="Times New Roman" w:hAnsi="Times New Roman" w:cs="Times New Roman"/>
                <w:b/>
                <w:bCs/>
                <w:sz w:val="28"/>
                <w:szCs w:val="28"/>
                <w:lang w:val="en-US" w:eastAsia="zh-CN"/>
              </w:rPr>
            </w:pPr>
            <w:bookmarkStart w:id="29" w:name="_Toc16899"/>
            <w:bookmarkStart w:id="30" w:name="_Toc6939"/>
            <w:bookmarkStart w:id="31" w:name="_Toc25604"/>
            <w:r>
              <w:rPr>
                <w:rFonts w:hint="eastAsia" w:cs="Times New Roman"/>
                <w:b/>
                <w:bCs/>
                <w:sz w:val="24"/>
                <w:szCs w:val="22"/>
                <w:lang w:val="en-US" w:eastAsia="zh-CN"/>
              </w:rPr>
              <w:t>10、湖南嘉山国家森林公园</w:t>
            </w:r>
            <w:bookmarkEnd w:id="29"/>
            <w:bookmarkEnd w:id="30"/>
            <w:bookmarkEnd w:id="31"/>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湖南嘉山国家级森林公园位于湖南省津市市境内，公园北部紧接津市市城关镇，西北部紧靠澧阳平原，距湘北重镇澧县县城仅8km；西部与被称为棉花之乡的常德临澧县接壤，距临澧县城34km，南部与常德市鼎城区交界，东部紧邻湘莲之乡安乡县，距安乡县城44km：交通非常便利。公园以津市市国有林场为主体，面积1521.4公顷，集体林包括棠华乡的白云山村、灵泉乡的鹿山村的部分山林及药山集体林场，总面积325.9公顷，并已全部签订经营管理协议。公园地理位置跨东经111°46′28″－111°55′22″</w:t>
            </w:r>
            <w:r>
              <w:rPr>
                <w:rFonts w:hint="eastAsia" w:ascii="Times New Roman" w:hAnsi="Times New Roman" w:cs="Times New Roman"/>
                <w:sz w:val="24"/>
                <w:lang w:eastAsia="zh-CN"/>
              </w:rPr>
              <w:t>，</w:t>
            </w:r>
            <w:r>
              <w:rPr>
                <w:rFonts w:hint="default" w:ascii="Times New Roman" w:hAnsi="Times New Roman" w:cs="Times New Roman"/>
                <w:sz w:val="24"/>
              </w:rPr>
              <w:t>北纬29°17′56″－29°35′57″。公园规划总面积2225.8公顷，其中林地面积1847.3公顷，水域及其他面积378.5公顷。公园由嘉山、关山和药山三个景区组成。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嘉山森林公园地带性植被属于中亚热带常绿阔叶林北部亚地带，公园内植被类型主要有常绿针阔混交林、常绿阔叶林及针叶林、竹林等，森林覆盖率达到93.3%。主要由松科，壳斗科，杉科，山茶科，樟科等组成。植被类型多是次生性的，也有地带性常绿阔叶林。典型常绿阔叶林如樟树林在嘉山有大面积分布，且具有一些落叶的成分，说明其植被具有中亚热带的基本特性，又体现了中亚热带偏北的一些特性。对嘉山国家森林公园规划区进行较详细的踏查，共调查到公园内有7个植被型组，24个群系。7个植被型组有：针叶林、针阔混交林、阔叶林、灌丛、灌草丛、沼泽型组、水生型组。</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按《国家级森林公园总体规划规范》（LY\T2005-2012）分为核心景观区、一般游憩区、管理服务区和生态保育区。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（1）核心景观区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总面积669.3公顷，其中嘉山景区10.47公顷，主要分布于孟姜女庙、嘉山禅寺及其周边；关山景区372.33公顷，包含虎爪山遗址、古大同寺、中武当等区域；药山景区286.5公顷，主要分布于药山景区的中部区域。核心景观区拥有特别珍贵的古树名木、虎爪山遗址等重点森林风景资源，除了必要的保护、解说、游览、休憩和安全、环卫、景区管护站等设施以外，在核心景观区，不规划住宿、餐饮、购物、娱乐等设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（2）一般游憩区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总面积475.4公顷，其中嘉山景区18.94公顷，主要分布于嘉山的南坡；关山景区309.76公顷，主要分布于皇姑山、关山北坡；药山景区146.7公顷，主要分布于药山寺、国有林场场部、竹林等区域。一般游憩区是拥有较好的森林风景资源，方便开展旅游活动的区域，可以规划少量旅游公路、停车场、宣教设施、娱乐设施、景区管护站及小规模的餐饮点、购物亭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（3）管理服务区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总面积39.41公顷，主要分布于各景区的主入口处。管理服务区是为满足森林公园管理和旅游接待服务需要而划定的区域，规划入口管理区、游客中心、停车场和一定数量的住宿、餐饮、购物、娱乐等接待服务设施，以及必要的管理和职工生活用房。</w:t>
            </w:r>
          </w:p>
          <w:p>
            <w:pPr>
              <w:spacing w:line="360" w:lineRule="auto"/>
              <w:ind w:firstLine="480" w:firstLineChars="200"/>
              <w:rPr>
                <w:rFonts w:hint="default" w:ascii="Times New Roman" w:hAnsi="Times New Roman" w:cs="Times New Roman"/>
                <w:sz w:val="24"/>
              </w:rPr>
            </w:pPr>
            <w:r>
              <w:rPr>
                <w:rFonts w:hint="eastAsia" w:cs="Times New Roman"/>
                <w:sz w:val="24"/>
                <w:lang w:eastAsia="zh-CN"/>
              </w:rPr>
              <w:t>（</w:t>
            </w:r>
            <w:r>
              <w:rPr>
                <w:rFonts w:hint="eastAsia" w:cs="Times New Roman"/>
                <w:sz w:val="24"/>
                <w:lang w:val="en-US" w:eastAsia="zh-CN"/>
              </w:rPr>
              <w:t>4</w:t>
            </w:r>
            <w:r>
              <w:rPr>
                <w:rFonts w:hint="eastAsia" w:cs="Times New Roman"/>
                <w:sz w:val="24"/>
                <w:lang w:eastAsia="zh-CN"/>
              </w:rPr>
              <w:t>）</w:t>
            </w:r>
            <w:r>
              <w:rPr>
                <w:rFonts w:hint="default" w:ascii="Times New Roman" w:hAnsi="Times New Roman" w:cs="Times New Roman"/>
                <w:sz w:val="24"/>
              </w:rPr>
              <w:t>生态保育区</w:t>
            </w:r>
          </w:p>
          <w:p>
            <w:pPr>
              <w:spacing w:line="360" w:lineRule="auto"/>
              <w:rPr>
                <w:sz w:val="24"/>
              </w:rPr>
            </w:pPr>
            <w:r>
              <w:rPr>
                <w:rFonts w:hint="default" w:ascii="Times New Roman" w:hAnsi="Times New Roman" w:cs="Times New Roman"/>
                <w:sz w:val="24"/>
              </w:rPr>
              <w:t>总面积1039.49公顷，其中嘉山景区21.14公顷，分布于嘉山北坡；关山景区722.65公顷，主要分布于鹿山、章观山和大旗山；药山景区297.9公顷，主要分布于药山半坡的樟树纯林及以上区域。森林公园生态环境承载力较弱，为确保森林公园的可持续发展和景观视线的完整性，把核心景观区、一般游憩区和管理服务区以外区域设为生态保育区。该功能区不仅具有涵养水源、保持水土等生态功能，又是森林公园可持续发展的重要保障，在规划期内以生态保护修复为主，基本不进行开发建设、不对游客开放。</w:t>
            </w:r>
          </w:p>
          <w:p>
            <w:pPr>
              <w:spacing w:line="360" w:lineRule="auto"/>
              <w:ind w:firstLine="482" w:firstLineChars="200"/>
              <w:rPr>
                <w:b/>
                <w:sz w:val="24"/>
              </w:rPr>
            </w:pPr>
            <w:r>
              <w:rPr>
                <w:rFonts w:hint="eastAsia" w:cs="Times New Roman"/>
                <w:b/>
                <w:bCs/>
                <w:sz w:val="24"/>
                <w:szCs w:val="22"/>
                <w:lang w:val="en-US" w:eastAsia="zh-CN"/>
              </w:rPr>
              <w:t>11、区域环境功能区划</w:t>
            </w:r>
          </w:p>
          <w:p>
            <w:pPr>
              <w:spacing w:line="360" w:lineRule="auto"/>
              <w:ind w:firstLine="480"/>
              <w:rPr>
                <w:sz w:val="24"/>
                <w:szCs w:val="22"/>
              </w:rPr>
            </w:pPr>
            <w:r>
              <w:rPr>
                <w:sz w:val="24"/>
                <w:szCs w:val="22"/>
              </w:rPr>
              <w:t>本项目所在区域环境功能区划如表</w:t>
            </w:r>
            <w:r>
              <w:rPr>
                <w:rFonts w:hint="eastAsia"/>
                <w:sz w:val="24"/>
                <w:szCs w:val="22"/>
              </w:rPr>
              <w:t>2-</w:t>
            </w:r>
            <w:r>
              <w:rPr>
                <w:rFonts w:hint="eastAsia"/>
                <w:sz w:val="24"/>
                <w:szCs w:val="22"/>
                <w:lang w:val="en-US" w:eastAsia="zh-CN"/>
              </w:rPr>
              <w:t>3</w:t>
            </w:r>
            <w:r>
              <w:rPr>
                <w:sz w:val="24"/>
                <w:szCs w:val="22"/>
              </w:rPr>
              <w:t>所示。</w:t>
            </w:r>
          </w:p>
          <w:p>
            <w:pPr>
              <w:spacing w:line="360" w:lineRule="auto"/>
              <w:jc w:val="center"/>
              <w:rPr>
                <w:b/>
                <w:bCs/>
                <w:szCs w:val="21"/>
              </w:rPr>
            </w:pPr>
            <w:r>
              <w:rPr>
                <w:b/>
                <w:bCs/>
                <w:szCs w:val="21"/>
              </w:rPr>
              <w:t>表</w:t>
            </w:r>
            <w:r>
              <w:rPr>
                <w:rFonts w:hint="eastAsia"/>
                <w:b/>
                <w:bCs/>
                <w:szCs w:val="21"/>
              </w:rPr>
              <w:t>2-</w:t>
            </w:r>
            <w:r>
              <w:rPr>
                <w:rFonts w:hint="eastAsia"/>
                <w:b/>
                <w:bCs/>
                <w:szCs w:val="21"/>
                <w:lang w:val="en-US" w:eastAsia="zh-CN"/>
              </w:rPr>
              <w:t>3</w:t>
            </w:r>
            <w:r>
              <w:rPr>
                <w:b/>
                <w:bCs/>
                <w:szCs w:val="21"/>
              </w:rPr>
              <w:t xml:space="preserve">  建设项目环境功能区划一览表</w:t>
            </w:r>
          </w:p>
          <w:tbl>
            <w:tblPr>
              <w:tblStyle w:val="23"/>
              <w:tblW w:w="861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828"/>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b/>
                      <w:szCs w:val="21"/>
                    </w:rPr>
                  </w:pPr>
                  <w:r>
                    <w:rPr>
                      <w:rFonts w:hAnsi="宋体"/>
                      <w:b/>
                      <w:szCs w:val="21"/>
                    </w:rPr>
                    <w:t>编号</w:t>
                  </w:r>
                </w:p>
              </w:tc>
              <w:tc>
                <w:tcPr>
                  <w:tcW w:w="2828" w:type="dxa"/>
                  <w:vAlign w:val="center"/>
                </w:tcPr>
                <w:p>
                  <w:pPr>
                    <w:jc w:val="center"/>
                    <w:rPr>
                      <w:b/>
                      <w:szCs w:val="21"/>
                    </w:rPr>
                  </w:pPr>
                  <w:r>
                    <w:rPr>
                      <w:rFonts w:hAnsi="宋体"/>
                      <w:b/>
                      <w:szCs w:val="21"/>
                    </w:rPr>
                    <w:t>项目</w:t>
                  </w:r>
                </w:p>
              </w:tc>
              <w:tc>
                <w:tcPr>
                  <w:tcW w:w="5090" w:type="dxa"/>
                  <w:vAlign w:val="center"/>
                </w:tcPr>
                <w:p>
                  <w:pPr>
                    <w:jc w:val="center"/>
                    <w:rPr>
                      <w:b/>
                      <w:szCs w:val="21"/>
                    </w:rPr>
                  </w:pPr>
                  <w:r>
                    <w:rPr>
                      <w:rFonts w:hAnsi="宋体"/>
                      <w:b/>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u w:val="none"/>
                    </w:rPr>
                  </w:pPr>
                  <w:r>
                    <w:rPr>
                      <w:szCs w:val="21"/>
                      <w:u w:val="none"/>
                    </w:rPr>
                    <w:t>1</w:t>
                  </w:r>
                </w:p>
              </w:tc>
              <w:tc>
                <w:tcPr>
                  <w:tcW w:w="2828" w:type="dxa"/>
                  <w:vAlign w:val="center"/>
                </w:tcPr>
                <w:p>
                  <w:pPr>
                    <w:jc w:val="center"/>
                    <w:rPr>
                      <w:szCs w:val="21"/>
                    </w:rPr>
                  </w:pPr>
                  <w:r>
                    <w:rPr>
                      <w:szCs w:val="21"/>
                    </w:rPr>
                    <w:t>水环境功能区</w:t>
                  </w:r>
                </w:p>
              </w:tc>
              <w:tc>
                <w:tcPr>
                  <w:tcW w:w="5090" w:type="dxa"/>
                  <w:vAlign w:val="center"/>
                </w:tcPr>
                <w:p>
                  <w:pPr>
                    <w:jc w:val="center"/>
                    <w:rPr>
                      <w:szCs w:val="21"/>
                    </w:rPr>
                  </w:pPr>
                  <w:r>
                    <w:rPr>
                      <w:rFonts w:hint="default"/>
                      <w:szCs w:val="21"/>
                    </w:rPr>
                    <w:t>澧水（金鱼岭水厂取水口下游200m至津市新洲段</w:t>
                  </w:r>
                  <w:r>
                    <w:rPr>
                      <w:rFonts w:hint="eastAsia"/>
                      <w:szCs w:val="21"/>
                      <w:lang w:eastAsia="zh-CN"/>
                    </w:rPr>
                    <w:t>、</w:t>
                  </w:r>
                  <w:r>
                    <w:rPr>
                      <w:rFonts w:hint="eastAsia"/>
                      <w:szCs w:val="21"/>
                      <w:lang w:val="en-US" w:eastAsia="zh-CN"/>
                    </w:rPr>
                    <w:t>澧水新洲至西毛里湖水厂取水口上游1km</w:t>
                  </w:r>
                  <w:r>
                    <w:rPr>
                      <w:rFonts w:hint="default"/>
                      <w:szCs w:val="21"/>
                    </w:rPr>
                    <w:t>）执行《地表水环境质量标准》（GB3838-2002）</w:t>
                  </w:r>
                  <w:r>
                    <w:rPr>
                      <w:rFonts w:hint="default"/>
                      <w:szCs w:val="21"/>
                      <w:lang w:val="en-US" w:eastAsia="zh-CN"/>
                    </w:rPr>
                    <w:t>中</w:t>
                  </w:r>
                  <w:r>
                    <w:rPr>
                      <w:rFonts w:hint="eastAsia"/>
                      <w:szCs w:val="21"/>
                      <w:lang w:val="en-US" w:eastAsia="zh-CN"/>
                    </w:rPr>
                    <w:t>III</w:t>
                  </w:r>
                  <w:r>
                    <w:rPr>
                      <w:rFonts w:hint="default"/>
                      <w:szCs w:val="21"/>
                      <w:lang w:val="en-US" w:eastAsia="zh-CN"/>
                    </w:rPr>
                    <w:t>类</w:t>
                  </w:r>
                  <w:r>
                    <w:rPr>
                      <w:rFonts w:hint="eastAsia"/>
                      <w:szCs w:val="21"/>
                      <w:lang w:val="en-US" w:eastAsia="zh-CN"/>
                    </w:rPr>
                    <w:t>标</w:t>
                  </w:r>
                  <w:r>
                    <w:rPr>
                      <w:rFonts w:hint="eastAsia"/>
                      <w:szCs w:val="21"/>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2</w:t>
                  </w:r>
                </w:p>
              </w:tc>
              <w:tc>
                <w:tcPr>
                  <w:tcW w:w="2828" w:type="dxa"/>
                  <w:vAlign w:val="center"/>
                </w:tcPr>
                <w:p>
                  <w:pPr>
                    <w:jc w:val="center"/>
                    <w:rPr>
                      <w:szCs w:val="21"/>
                    </w:rPr>
                  </w:pPr>
                  <w:r>
                    <w:rPr>
                      <w:rFonts w:hAnsi="宋体"/>
                      <w:szCs w:val="21"/>
                    </w:rPr>
                    <w:t>环境空气质量功能区</w:t>
                  </w:r>
                </w:p>
              </w:tc>
              <w:tc>
                <w:tcPr>
                  <w:tcW w:w="5090" w:type="dxa"/>
                  <w:vAlign w:val="center"/>
                </w:tcPr>
                <w:p>
                  <w:pPr>
                    <w:jc w:val="center"/>
                    <w:rPr>
                      <w:szCs w:val="21"/>
                    </w:rPr>
                  </w:pPr>
                  <w:r>
                    <w:rPr>
                      <w:rFonts w:hint="eastAsia"/>
                      <w:szCs w:val="21"/>
                    </w:rPr>
                    <w:t>二类区，执行《环境空气质量标准》（</w:t>
                  </w:r>
                  <w:r>
                    <w:rPr>
                      <w:szCs w:val="21"/>
                    </w:rPr>
                    <w:t>GB3095-2012</w:t>
                  </w:r>
                  <w:r>
                    <w:rPr>
                      <w:rFonts w:hint="eastAsia"/>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3</w:t>
                  </w:r>
                </w:p>
              </w:tc>
              <w:tc>
                <w:tcPr>
                  <w:tcW w:w="2828" w:type="dxa"/>
                  <w:vAlign w:val="center"/>
                </w:tcPr>
                <w:p>
                  <w:pPr>
                    <w:jc w:val="center"/>
                    <w:rPr>
                      <w:szCs w:val="21"/>
                    </w:rPr>
                  </w:pPr>
                  <w:r>
                    <w:rPr>
                      <w:rFonts w:hAnsi="宋体"/>
                      <w:szCs w:val="21"/>
                    </w:rPr>
                    <w:t>声环境功能区</w:t>
                  </w:r>
                </w:p>
              </w:tc>
              <w:tc>
                <w:tcPr>
                  <w:tcW w:w="5090" w:type="dxa"/>
                  <w:vAlign w:val="center"/>
                </w:tcPr>
                <w:p>
                  <w:pPr>
                    <w:jc w:val="center"/>
                    <w:rPr>
                      <w:szCs w:val="21"/>
                    </w:rPr>
                  </w:pPr>
                  <w:r>
                    <w:rPr>
                      <w:rFonts w:hint="eastAsia"/>
                      <w:szCs w:val="21"/>
                    </w:rPr>
                    <w:t>《声环境质量标准》（</w:t>
                  </w:r>
                  <w:r>
                    <w:rPr>
                      <w:szCs w:val="21"/>
                    </w:rPr>
                    <w:t>GB3096-2008</w:t>
                  </w:r>
                  <w:r>
                    <w:rPr>
                      <w:rFonts w:hint="eastAsia"/>
                      <w:szCs w:val="21"/>
                    </w:rPr>
                    <w:t>）</w:t>
                  </w:r>
                  <w:r>
                    <w:rPr>
                      <w:rFonts w:hint="eastAsia"/>
                      <w:szCs w:val="21"/>
                      <w:lang w:val="en-US" w:eastAsia="zh-CN"/>
                    </w:rPr>
                    <w:t>3、4a</w:t>
                  </w:r>
                  <w:r>
                    <w:rPr>
                      <w:rFonts w:hint="eastAsia"/>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4</w:t>
                  </w:r>
                </w:p>
              </w:tc>
              <w:tc>
                <w:tcPr>
                  <w:tcW w:w="2828" w:type="dxa"/>
                  <w:vAlign w:val="center"/>
                </w:tcPr>
                <w:p>
                  <w:pPr>
                    <w:snapToGrid w:val="0"/>
                    <w:jc w:val="center"/>
                    <w:rPr>
                      <w:szCs w:val="21"/>
                    </w:rPr>
                  </w:pPr>
                  <w:r>
                    <w:rPr>
                      <w:rFonts w:hAnsi="宋体"/>
                      <w:szCs w:val="21"/>
                    </w:rPr>
                    <w:t>是否基本农田保护区</w:t>
                  </w:r>
                </w:p>
              </w:tc>
              <w:tc>
                <w:tcPr>
                  <w:tcW w:w="5090" w:type="dxa"/>
                  <w:vAlign w:val="center"/>
                </w:tcPr>
                <w:p>
                  <w:pPr>
                    <w:snapToGrid w:val="0"/>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5</w:t>
                  </w:r>
                </w:p>
              </w:tc>
              <w:tc>
                <w:tcPr>
                  <w:tcW w:w="2828" w:type="dxa"/>
                  <w:vAlign w:val="center"/>
                </w:tcPr>
                <w:p>
                  <w:pPr>
                    <w:snapToGrid w:val="0"/>
                    <w:jc w:val="center"/>
                    <w:rPr>
                      <w:szCs w:val="21"/>
                    </w:rPr>
                  </w:pPr>
                  <w:r>
                    <w:rPr>
                      <w:rFonts w:hAnsi="宋体"/>
                      <w:szCs w:val="21"/>
                    </w:rPr>
                    <w:t>是否风景保护区</w:t>
                  </w:r>
                </w:p>
              </w:tc>
              <w:tc>
                <w:tcPr>
                  <w:tcW w:w="5090" w:type="dxa"/>
                  <w:vAlign w:val="center"/>
                </w:tcPr>
                <w:p>
                  <w:pPr>
                    <w:snapToGrid w:val="0"/>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6</w:t>
                  </w:r>
                </w:p>
              </w:tc>
              <w:tc>
                <w:tcPr>
                  <w:tcW w:w="2828" w:type="dxa"/>
                  <w:vAlign w:val="center"/>
                </w:tcPr>
                <w:p>
                  <w:pPr>
                    <w:jc w:val="center"/>
                    <w:rPr>
                      <w:szCs w:val="21"/>
                    </w:rPr>
                  </w:pPr>
                  <w:r>
                    <w:rPr>
                      <w:rFonts w:hAnsi="宋体"/>
                      <w:szCs w:val="21"/>
                    </w:rPr>
                    <w:t>是否水源保护区</w:t>
                  </w:r>
                </w:p>
              </w:tc>
              <w:tc>
                <w:tcPr>
                  <w:tcW w:w="5090" w:type="dxa"/>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7</w:t>
                  </w:r>
                </w:p>
              </w:tc>
              <w:tc>
                <w:tcPr>
                  <w:tcW w:w="2828" w:type="dxa"/>
                  <w:vAlign w:val="center"/>
                </w:tcPr>
                <w:p>
                  <w:pPr>
                    <w:snapToGrid w:val="0"/>
                    <w:jc w:val="center"/>
                    <w:rPr>
                      <w:szCs w:val="21"/>
                    </w:rPr>
                  </w:pPr>
                  <w:r>
                    <w:rPr>
                      <w:rFonts w:hAnsi="宋体"/>
                      <w:szCs w:val="21"/>
                    </w:rPr>
                    <w:t>是否属于环境敏感区</w:t>
                  </w:r>
                </w:p>
              </w:tc>
              <w:tc>
                <w:tcPr>
                  <w:tcW w:w="5090" w:type="dxa"/>
                  <w:vAlign w:val="center"/>
                </w:tcPr>
                <w:p>
                  <w:pPr>
                    <w:snapToGrid w:val="0"/>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szCs w:val="21"/>
                    </w:rPr>
                    <w:t>8</w:t>
                  </w:r>
                </w:p>
              </w:tc>
              <w:tc>
                <w:tcPr>
                  <w:tcW w:w="2828" w:type="dxa"/>
                  <w:vAlign w:val="center"/>
                </w:tcPr>
                <w:p>
                  <w:pPr>
                    <w:jc w:val="center"/>
                    <w:rPr>
                      <w:szCs w:val="21"/>
                    </w:rPr>
                  </w:pPr>
                  <w:r>
                    <w:rPr>
                      <w:rFonts w:hAnsi="宋体"/>
                      <w:szCs w:val="21"/>
                    </w:rPr>
                    <w:t>是否属于</w:t>
                  </w:r>
                  <w:r>
                    <w:rPr>
                      <w:rFonts w:hint="eastAsia" w:hAnsi="宋体"/>
                      <w:szCs w:val="21"/>
                      <w:lang w:eastAsia="zh-CN"/>
                    </w:rPr>
                    <w:t>津市市</w:t>
                  </w:r>
                  <w:r>
                    <w:rPr>
                      <w:rFonts w:hAnsi="宋体"/>
                      <w:szCs w:val="21"/>
                    </w:rPr>
                    <w:t>生态</w:t>
                  </w:r>
                  <w:r>
                    <w:rPr>
                      <w:rFonts w:hint="eastAsia" w:hAnsi="宋体"/>
                      <w:szCs w:val="21"/>
                      <w:lang w:eastAsia="zh-CN"/>
                    </w:rPr>
                    <w:t>红线</w:t>
                  </w:r>
                  <w:r>
                    <w:rPr>
                      <w:rFonts w:hAnsi="宋体"/>
                      <w:szCs w:val="21"/>
                    </w:rPr>
                    <w:t>控制范围内</w:t>
                  </w:r>
                </w:p>
              </w:tc>
              <w:tc>
                <w:tcPr>
                  <w:tcW w:w="5090" w:type="dxa"/>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jc w:val="center"/>
                    <w:rPr>
                      <w:szCs w:val="21"/>
                    </w:rPr>
                  </w:pPr>
                  <w:r>
                    <w:rPr>
                      <w:rFonts w:hint="eastAsia"/>
                      <w:szCs w:val="21"/>
                    </w:rPr>
                    <w:t>9</w:t>
                  </w:r>
                </w:p>
              </w:tc>
              <w:tc>
                <w:tcPr>
                  <w:tcW w:w="2828" w:type="dxa"/>
                  <w:vAlign w:val="center"/>
                </w:tcPr>
                <w:p>
                  <w:pPr>
                    <w:jc w:val="center"/>
                    <w:rPr>
                      <w:szCs w:val="21"/>
                    </w:rPr>
                  </w:pPr>
                  <w:r>
                    <w:rPr>
                      <w:rFonts w:hAnsi="宋体"/>
                      <w:szCs w:val="21"/>
                    </w:rPr>
                    <w:t>是否属于污水处理厂</w:t>
                  </w:r>
                  <w:r>
                    <w:rPr>
                      <w:rFonts w:hint="eastAsia" w:hAnsi="宋体"/>
                      <w:szCs w:val="21"/>
                      <w:lang w:eastAsia="zh-CN"/>
                    </w:rPr>
                    <w:t>纳污</w:t>
                  </w:r>
                  <w:r>
                    <w:rPr>
                      <w:rFonts w:hAnsi="宋体"/>
                      <w:szCs w:val="21"/>
                    </w:rPr>
                    <w:t>范围</w:t>
                  </w:r>
                </w:p>
              </w:tc>
              <w:tc>
                <w:tcPr>
                  <w:tcW w:w="5090" w:type="dxa"/>
                  <w:vAlign w:val="center"/>
                </w:tcPr>
                <w:p>
                  <w:pPr>
                    <w:jc w:val="center"/>
                    <w:rPr>
                      <w:rFonts w:hint="eastAsia" w:eastAsia="宋体"/>
                      <w:szCs w:val="21"/>
                      <w:lang w:eastAsia="zh-CN"/>
                    </w:rPr>
                  </w:pPr>
                  <w:r>
                    <w:rPr>
                      <w:rFonts w:hint="eastAsia"/>
                      <w:szCs w:val="21"/>
                      <w:lang w:eastAsia="zh-CN"/>
                    </w:rPr>
                    <w:t>是（津市高新区工业污水处理厂）</w:t>
                  </w:r>
                </w:p>
              </w:tc>
            </w:tr>
          </w:tbl>
          <w:p>
            <w:r>
              <w:rPr>
                <w:rFonts w:hint="eastAsia"/>
              </w:rPr>
              <w:t xml:space="preserve"> </w:t>
            </w:r>
          </w:p>
          <w:p/>
          <w:p/>
          <w:p/>
          <w:p>
            <w:pPr>
              <w:pStyle w:val="21"/>
            </w:pPr>
          </w:p>
          <w:p>
            <w:pPr>
              <w:pStyle w:val="21"/>
            </w:pPr>
          </w:p>
          <w:p>
            <w:pPr>
              <w:pStyle w:val="21"/>
            </w:pPr>
          </w:p>
          <w:p/>
          <w:p/>
          <w:p/>
          <w:p/>
          <w:p/>
          <w:p/>
          <w:p/>
        </w:tc>
      </w:tr>
    </w:tbl>
    <w:p>
      <w:pPr>
        <w:tabs>
          <w:tab w:val="left" w:pos="1680"/>
        </w:tabs>
        <w:spacing w:line="240" w:lineRule="atLeast"/>
        <w:outlineLvl w:val="0"/>
        <w:rPr>
          <w:b/>
          <w:bCs/>
          <w:sz w:val="32"/>
          <w:szCs w:val="32"/>
        </w:rPr>
      </w:pPr>
      <w:r>
        <w:rPr>
          <w:b/>
          <w:bCs/>
          <w:sz w:val="32"/>
          <w:szCs w:val="32"/>
        </w:rPr>
        <w:t>3</w:t>
      </w:r>
      <w:r>
        <w:rPr>
          <w:rFonts w:hint="eastAsia"/>
          <w:b/>
          <w:bCs/>
          <w:sz w:val="32"/>
          <w:szCs w:val="32"/>
        </w:rPr>
        <w:t>区域环境质量状况</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jc w:val="left"/>
              <w:rPr>
                <w:b/>
                <w:sz w:val="28"/>
                <w:szCs w:val="28"/>
              </w:rPr>
            </w:pPr>
            <w:r>
              <w:rPr>
                <w:rFonts w:hint="eastAsia"/>
                <w:b/>
                <w:sz w:val="28"/>
                <w:szCs w:val="28"/>
              </w:rPr>
              <w:t>建设项目所在地区域环境质量现状及主要环境问题（环境空气、地表水、声环境、生态环境等）</w:t>
            </w:r>
          </w:p>
          <w:p>
            <w:pPr>
              <w:spacing w:line="360" w:lineRule="auto"/>
              <w:ind w:firstLine="480" w:firstLineChars="200"/>
              <w:rPr>
                <w:rFonts w:hint="eastAsia"/>
                <w:b/>
                <w:sz w:val="24"/>
              </w:rPr>
            </w:pPr>
            <w:r>
              <w:rPr>
                <w:rFonts w:hint="eastAsia" w:ascii="Times New Roman" w:hAnsi="Times New Roman"/>
                <w:kern w:val="0"/>
                <w:sz w:val="24"/>
                <w:szCs w:val="24"/>
                <w:lang w:val="en-US" w:eastAsia="zh-CN"/>
              </w:rPr>
              <w:t>为了解项目拟建地所在区域的环境质量现状，本次环评收集了</w:t>
            </w:r>
            <w:r>
              <w:rPr>
                <w:rFonts w:hint="eastAsia" w:ascii="Times New Roman" w:hAnsi="Times New Roman"/>
                <w:kern w:val="0"/>
                <w:sz w:val="24"/>
                <w:szCs w:val="24"/>
                <w:u w:val="none"/>
                <w:lang w:val="en-US" w:eastAsia="zh-CN"/>
              </w:rPr>
              <w:t>《湖南科益新生物医药有限公司荷尔蒙、皮质激素系列产品及中间体项目环境影响报告书》、</w:t>
            </w:r>
            <w:r>
              <w:rPr>
                <w:rFonts w:hint="eastAsia" w:ascii="Times New Roman" w:hAnsi="Times New Roman" w:cs="Times New Roman"/>
                <w:color w:val="000000"/>
                <w:sz w:val="24"/>
                <w:lang w:val="en-US" w:eastAsia="zh-CN"/>
              </w:rPr>
              <w:t>《常德市津市工业园污水处理厂及配套管网工程竣工环境保护验收监测报告书》、</w:t>
            </w:r>
            <w:r>
              <w:rPr>
                <w:rFonts w:hint="eastAsia" w:ascii="Times New Roman" w:hAnsi="Times New Roman" w:cs="Times New Roman"/>
                <w:sz w:val="24"/>
              </w:rPr>
              <w:t>《津市高新技术产业开发区热电联产项目环境影响报告书》</w:t>
            </w:r>
            <w:r>
              <w:rPr>
                <w:rFonts w:hint="eastAsia" w:ascii="Times New Roman" w:hAnsi="Times New Roman"/>
                <w:kern w:val="0"/>
                <w:sz w:val="24"/>
                <w:szCs w:val="24"/>
                <w:lang w:val="en-US" w:eastAsia="zh-CN"/>
              </w:rPr>
              <w:t>中大气、地表水监测数据。项目所引用数据的监测点位均在本项目评价范围内，且为近三年内的数据，本次引用数据是可行的，具体情况如下。</w:t>
            </w:r>
          </w:p>
          <w:p>
            <w:pPr>
              <w:spacing w:line="360" w:lineRule="auto"/>
              <w:ind w:firstLine="482" w:firstLineChars="200"/>
              <w:rPr>
                <w:b/>
                <w:sz w:val="24"/>
              </w:rPr>
            </w:pPr>
            <w:r>
              <w:rPr>
                <w:rFonts w:hint="eastAsia"/>
                <w:b/>
                <w:sz w:val="24"/>
              </w:rPr>
              <w:t>一、空气环境质量现状及评价</w:t>
            </w:r>
          </w:p>
          <w:p>
            <w:pPr>
              <w:pStyle w:val="10"/>
              <w:spacing w:line="360" w:lineRule="auto"/>
              <w:ind w:firstLine="482" w:firstLineChars="200"/>
              <w:rPr>
                <w:rFonts w:hint="eastAsia" w:ascii="Times New Roman" w:hAnsi="Times New Roman" w:cs="Times New Roman"/>
                <w:sz w:val="24"/>
                <w:szCs w:val="24"/>
                <w:lang w:val="en-US" w:eastAsia="zh-CN"/>
              </w:rPr>
            </w:pPr>
            <w:r>
              <w:rPr>
                <w:rFonts w:hint="eastAsia" w:ascii="Times New Roman" w:hAnsi="Times New Roman" w:cs="Times New Roman"/>
                <w:b/>
                <w:bCs/>
                <w:sz w:val="24"/>
                <w:u w:val="none"/>
                <w:lang w:val="en-US" w:eastAsia="zh-CN"/>
              </w:rPr>
              <w:t>1、空气质量达标区判定</w:t>
            </w:r>
          </w:p>
          <w:p>
            <w:pPr>
              <w:pStyle w:val="10"/>
              <w:spacing w:line="360" w:lineRule="auto"/>
              <w:ind w:firstLine="480" w:firstLineChars="200"/>
              <w:rPr>
                <w:kern w:val="0"/>
                <w:sz w:val="24"/>
              </w:rPr>
            </w:pPr>
            <w:r>
              <w:rPr>
                <w:rFonts w:hint="eastAsia" w:ascii="Times New Roman" w:hAnsi="Times New Roman" w:cs="Times New Roman"/>
                <w:sz w:val="24"/>
                <w:szCs w:val="24"/>
                <w:lang w:val="en-US" w:eastAsia="zh-CN"/>
              </w:rPr>
              <w:t>根据《环境影响评价技术导则—大气环境》（HJ2.2-2018），项目所在区域达标判定，优先采用国家或地方生态环境主管部门公开发布的评价基准年环境质量公告或环境质量报告中的数据或结论，本次环评收集了《常德市生态环境局关于2018年12月及全年全市环境质量状况的通报》（常环函[2019]4号）。根据其结论，2018年，津市市环境空气质量有效监测天数为365天，环境空气质量优良天数为319天，与去年同期（303天）相比，增加了16天，优良天数比例为87.4%，与去年同期（83.0%）相比，优良天数比例上升了4.4%。评价结果见表3-1。</w:t>
            </w:r>
          </w:p>
          <w:p>
            <w:pPr>
              <w:spacing w:line="360" w:lineRule="auto"/>
              <w:contextualSpacing/>
              <w:jc w:val="center"/>
              <w:rPr>
                <w:b/>
              </w:rPr>
            </w:pPr>
            <w:r>
              <w:rPr>
                <w:rFonts w:hint="eastAsia"/>
                <w:b/>
              </w:rPr>
              <w:t>表</w:t>
            </w:r>
            <w:r>
              <w:rPr>
                <w:b/>
              </w:rPr>
              <w:t xml:space="preserve">3-1  </w:t>
            </w:r>
            <w:r>
              <w:rPr>
                <w:rFonts w:hint="eastAsia"/>
                <w:b/>
              </w:rPr>
              <w:t>区域空气质量现状评价表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37"/>
              <w:gridCol w:w="992"/>
              <w:gridCol w:w="2406"/>
              <w:gridCol w:w="1134"/>
              <w:gridCol w:w="1112"/>
              <w:gridCol w:w="893"/>
              <w:gridCol w:w="11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污染物</w:t>
                  </w:r>
                </w:p>
              </w:tc>
              <w:tc>
                <w:tcPr>
                  <w:tcW w:w="1005"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点位</w:t>
                  </w: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年评价指标</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现状浓度（μg/m</w:t>
                  </w:r>
                  <w:r>
                    <w:rPr>
                      <w:rFonts w:hint="default" w:ascii="Times New Roman" w:hAnsi="Times New Roman" w:cs="Times New Roman"/>
                      <w:b/>
                      <w:kern w:val="0"/>
                      <w:sz w:val="21"/>
                      <w:szCs w:val="20"/>
                      <w:vertAlign w:val="superscript"/>
                    </w:rPr>
                    <w:t>3</w:t>
                  </w:r>
                  <w:r>
                    <w:rPr>
                      <w:rFonts w:hint="default" w:ascii="Times New Roman" w:hAnsi="Times New Roman" w:cs="Times New Roman"/>
                      <w:b/>
                      <w:kern w:val="0"/>
                      <w:sz w:val="21"/>
                      <w:szCs w:val="20"/>
                    </w:rPr>
                    <w:t>）</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标准值（μg/m</w:t>
                  </w:r>
                  <w:r>
                    <w:rPr>
                      <w:rFonts w:hint="default" w:ascii="Times New Roman" w:hAnsi="Times New Roman" w:cs="Times New Roman"/>
                      <w:b/>
                      <w:kern w:val="0"/>
                      <w:sz w:val="21"/>
                      <w:szCs w:val="20"/>
                      <w:vertAlign w:val="superscript"/>
                    </w:rPr>
                    <w:t>3</w:t>
                  </w:r>
                  <w:r>
                    <w:rPr>
                      <w:rFonts w:hint="default" w:ascii="Times New Roman" w:hAnsi="Times New Roman" w:cs="Times New Roman"/>
                      <w:b/>
                      <w:kern w:val="0"/>
                      <w:sz w:val="21"/>
                      <w:szCs w:val="20"/>
                    </w:rPr>
                    <w:t>）</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占标率（%）</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0"/>
                    </w:rPr>
                  </w:pPr>
                  <w:r>
                    <w:rPr>
                      <w:rFonts w:hint="default" w:ascii="Times New Roman" w:hAnsi="Times New Roman" w:cs="Times New Roman"/>
                      <w:b/>
                      <w:kern w:val="0"/>
                      <w:sz w:val="21"/>
                      <w:szCs w:val="20"/>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vertAlign w:val="subscript"/>
                    </w:rPr>
                  </w:pPr>
                  <w:r>
                    <w:rPr>
                      <w:rFonts w:hint="default" w:ascii="Times New Roman" w:hAnsi="Times New Roman" w:cs="Times New Roman"/>
                      <w:kern w:val="0"/>
                      <w:sz w:val="21"/>
                      <w:szCs w:val="20"/>
                    </w:rPr>
                    <w:t>PM</w:t>
                  </w:r>
                  <w:r>
                    <w:rPr>
                      <w:rFonts w:hint="default" w:ascii="Times New Roman" w:hAnsi="Times New Roman" w:cs="Times New Roman"/>
                      <w:kern w:val="0"/>
                      <w:sz w:val="21"/>
                      <w:szCs w:val="20"/>
                      <w:vertAlign w:val="subscript"/>
                    </w:rPr>
                    <w:t>10</w:t>
                  </w:r>
                </w:p>
              </w:tc>
              <w:tc>
                <w:tcPr>
                  <w:tcW w:w="100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津市市</w:t>
                  </w: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年平均质量浓度</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63</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70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90</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日平均第95百分位数</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142.6</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150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95</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PM</w:t>
                  </w:r>
                  <w:r>
                    <w:rPr>
                      <w:rFonts w:hint="default" w:ascii="Times New Roman" w:hAnsi="Times New Roman" w:cs="Times New Roman"/>
                      <w:kern w:val="0"/>
                      <w:sz w:val="21"/>
                      <w:szCs w:val="20"/>
                      <w:vertAlign w:val="subscript"/>
                    </w:rPr>
                    <w:t>2.5</w:t>
                  </w: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年平均质量浓度</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39</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35</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111</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日平均第95百分位数</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86.6</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75</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115</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超标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vertAlign w:val="subscript"/>
                    </w:rPr>
                  </w:pPr>
                  <w:r>
                    <w:rPr>
                      <w:rFonts w:hint="default" w:ascii="Times New Roman" w:hAnsi="Times New Roman" w:cs="Times New Roman"/>
                      <w:kern w:val="0"/>
                      <w:sz w:val="21"/>
                      <w:szCs w:val="20"/>
                    </w:rPr>
                    <w:t>SO</w:t>
                  </w:r>
                  <w:r>
                    <w:rPr>
                      <w:rFonts w:hint="default" w:ascii="Times New Roman" w:hAnsi="Times New Roman" w:cs="Times New Roman"/>
                      <w:kern w:val="0"/>
                      <w:sz w:val="21"/>
                      <w:szCs w:val="20"/>
                      <w:vertAlign w:val="subscript"/>
                    </w:rPr>
                    <w:t>2</w:t>
                  </w: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年平均质量浓度</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11</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60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48</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日平均第98百分位数</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36.4</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150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24</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vertAlign w:val="subscript"/>
                    </w:rPr>
                  </w:pPr>
                  <w:r>
                    <w:rPr>
                      <w:rFonts w:hint="default" w:ascii="Times New Roman" w:hAnsi="Times New Roman" w:cs="Times New Roman"/>
                      <w:kern w:val="0"/>
                      <w:sz w:val="21"/>
                      <w:szCs w:val="20"/>
                    </w:rPr>
                    <w:t>NO</w:t>
                  </w:r>
                  <w:r>
                    <w:rPr>
                      <w:rFonts w:hint="default" w:ascii="Times New Roman" w:hAnsi="Times New Roman" w:cs="Times New Roman"/>
                      <w:kern w:val="0"/>
                      <w:sz w:val="21"/>
                      <w:szCs w:val="20"/>
                      <w:vertAlign w:val="subscript"/>
                    </w:rPr>
                    <w:t>2</w:t>
                  </w: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年平均质量浓度</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21</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40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53</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日平均第98百分位数</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17</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80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21</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CO</w:t>
                  </w: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日平均第95百分位数</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1.3mg/m</w:t>
                  </w:r>
                  <w:r>
                    <w:rPr>
                      <w:rFonts w:hint="default" w:ascii="Times New Roman" w:hAnsi="Times New Roman" w:cs="Times New Roman"/>
                      <w:kern w:val="0"/>
                      <w:sz w:val="21"/>
                      <w:szCs w:val="20"/>
                      <w:vertAlign w:val="superscript"/>
                    </w:rPr>
                    <w:t>3</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4 mg/m</w:t>
                  </w:r>
                  <w:r>
                    <w:rPr>
                      <w:rFonts w:hint="default" w:ascii="Times New Roman" w:hAnsi="Times New Roman" w:cs="Times New Roman"/>
                      <w:kern w:val="0"/>
                      <w:sz w:val="21"/>
                      <w:szCs w:val="20"/>
                      <w:vertAlign w:val="superscript"/>
                    </w:rPr>
                    <w:t>3</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33</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O</w:t>
                  </w:r>
                  <w:r>
                    <w:rPr>
                      <w:rFonts w:hint="default" w:ascii="Times New Roman" w:hAnsi="Times New Roman" w:cs="Times New Roman"/>
                      <w:kern w:val="0"/>
                      <w:sz w:val="21"/>
                      <w:szCs w:val="20"/>
                      <w:vertAlign w:val="subscript"/>
                    </w:rPr>
                    <w:t>3</w:t>
                  </w:r>
                </w:p>
              </w:tc>
              <w:tc>
                <w:tcPr>
                  <w:tcW w:w="10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p>
              </w:tc>
              <w:tc>
                <w:tcPr>
                  <w:tcW w:w="2442"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日最大8小时滑动平均值的第90百分位数</w:t>
                  </w:r>
                </w:p>
              </w:tc>
              <w:tc>
                <w:tcPr>
                  <w:tcW w:w="114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145</w:t>
                  </w:r>
                </w:p>
              </w:tc>
              <w:tc>
                <w:tcPr>
                  <w:tcW w:w="1126"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160</w:t>
                  </w:r>
                </w:p>
              </w:tc>
              <w:tc>
                <w:tcPr>
                  <w:tcW w:w="90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0"/>
                      <w:lang w:val="en-US" w:eastAsia="zh-CN"/>
                    </w:rPr>
                  </w:pPr>
                  <w:r>
                    <w:rPr>
                      <w:rFonts w:hint="eastAsia" w:ascii="Times New Roman" w:hAnsi="Times New Roman" w:cs="Times New Roman"/>
                      <w:kern w:val="0"/>
                      <w:sz w:val="21"/>
                      <w:szCs w:val="20"/>
                      <w:lang w:val="en-US" w:eastAsia="zh-CN"/>
                    </w:rPr>
                    <w:t>91</w:t>
                  </w:r>
                </w:p>
              </w:tc>
              <w:tc>
                <w:tcPr>
                  <w:tcW w:w="1157"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0"/>
                    </w:rPr>
                  </w:pPr>
                  <w:r>
                    <w:rPr>
                      <w:rFonts w:hint="default" w:ascii="Times New Roman" w:hAnsi="Times New Roman" w:cs="Times New Roman"/>
                      <w:kern w:val="0"/>
                      <w:sz w:val="21"/>
                      <w:szCs w:val="20"/>
                    </w:rPr>
                    <w:t>达标</w:t>
                  </w:r>
                </w:p>
              </w:tc>
            </w:tr>
          </w:tbl>
          <w:p>
            <w:pPr>
              <w:pStyle w:val="1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根据上表数据显示，津市市PM</w:t>
            </w:r>
            <w:r>
              <w:rPr>
                <w:rFonts w:hint="eastAsia" w:ascii="Times New Roman" w:hAnsi="Times New Roman" w:cs="Times New Roman"/>
                <w:sz w:val="24"/>
                <w:szCs w:val="24"/>
                <w:vertAlign w:val="subscript"/>
                <w:lang w:val="en-US" w:eastAsia="zh-CN"/>
              </w:rPr>
              <w:t>2.5</w:t>
            </w:r>
            <w:r>
              <w:rPr>
                <w:rFonts w:hint="eastAsia" w:ascii="Times New Roman" w:hAnsi="Times New Roman" w:cs="Times New Roman"/>
                <w:sz w:val="24"/>
                <w:szCs w:val="24"/>
                <w:lang w:val="en-US" w:eastAsia="zh-CN"/>
              </w:rPr>
              <w:t>年平均浓度和日平均第95百分位数均超过《环境空气质量标准》（GB3095-2012）中二级标准，其他各监测因子均符合《环境空气质量标准》（GB3095-2012）中二级标准，本项目所在区域环境空气质量不达标。</w:t>
            </w:r>
          </w:p>
          <w:p>
            <w:pPr>
              <w:spacing w:line="360" w:lineRule="auto"/>
              <w:ind w:firstLine="480"/>
              <w:contextualSpacing/>
              <w:rPr>
                <w:sz w:val="24"/>
              </w:rPr>
            </w:pPr>
            <w:r>
              <w:rPr>
                <w:rFonts w:hint="eastAsia" w:ascii="Times New Roman" w:hAnsi="Times New Roman" w:cs="Times New Roman"/>
                <w:sz w:val="24"/>
                <w:szCs w:val="24"/>
                <w:lang w:val="en-US" w:eastAsia="zh-CN"/>
              </w:rPr>
              <w:t>由于项目所在区域为环境空气不达标区，常德市人民政府已陆续开展《常德市污染防治攻坚战三年行动计划（2018-2020年）》，用以作为限期达标规划。区域环境空气质量有望得到改善，能够限期达标。</w:t>
            </w:r>
          </w:p>
          <w:p>
            <w:pPr>
              <w:spacing w:line="360" w:lineRule="auto"/>
              <w:ind w:firstLine="482" w:firstLineChars="200"/>
              <w:rPr>
                <w:rFonts w:hint="default" w:ascii="Times New Roman" w:hAnsi="Times New Roman" w:cs="Times New Roman"/>
                <w:b/>
                <w:bCs/>
                <w:sz w:val="24"/>
                <w:u w:val="none"/>
                <w:lang w:val="en-US" w:eastAsia="zh-CN"/>
              </w:rPr>
            </w:pPr>
            <w:r>
              <w:rPr>
                <w:rFonts w:hint="eastAsia" w:ascii="Times New Roman" w:hAnsi="Times New Roman" w:cs="Times New Roman"/>
                <w:b/>
                <w:bCs/>
                <w:sz w:val="24"/>
                <w:u w:val="none"/>
                <w:lang w:val="en-US" w:eastAsia="zh-CN"/>
              </w:rPr>
              <w:t>2、其他污染物环境质量现状</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（1）评价因子的确定</w:t>
            </w:r>
          </w:p>
          <w:p>
            <w:pPr>
              <w:pStyle w:val="1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rPr>
              <w:t>根据项目区域环境特征和项目的工程建设内容，选择</w:t>
            </w:r>
            <w:r>
              <w:rPr>
                <w:rFonts w:hint="eastAsia" w:ascii="Times New Roman" w:hAnsi="Times New Roman" w:cs="Times New Roman"/>
                <w:sz w:val="24"/>
                <w:szCs w:val="24"/>
                <w:lang w:val="en-US" w:eastAsia="zh-CN"/>
              </w:rPr>
              <w:t>NH</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eastAsia="zh-CN"/>
              </w:rPr>
              <w:t>、</w:t>
            </w:r>
            <w:r>
              <w:rPr>
                <w:rFonts w:hint="eastAsia" w:ascii="Times New Roman" w:hAnsi="Times New Roman" w:cs="Times New Roman"/>
                <w:sz w:val="24"/>
                <w:lang w:val="en-US" w:eastAsia="zh-CN"/>
              </w:rPr>
              <w:t>H</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S</w:t>
            </w:r>
            <w:r>
              <w:rPr>
                <w:rFonts w:hint="default" w:ascii="Times New Roman" w:hAnsi="Times New Roman" w:cs="Times New Roman"/>
                <w:sz w:val="24"/>
                <w:szCs w:val="24"/>
              </w:rPr>
              <w:t>作为大气环境质量特征评价因子。</w:t>
            </w:r>
          </w:p>
          <w:p>
            <w:pPr>
              <w:pStyle w:val="10"/>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本次</w:t>
            </w:r>
            <w:r>
              <w:rPr>
                <w:rFonts w:hint="default" w:ascii="Times New Roman" w:hAnsi="Times New Roman" w:cs="Times New Roman"/>
                <w:sz w:val="24"/>
                <w:szCs w:val="24"/>
                <w:lang w:val="en-US" w:eastAsia="zh-CN"/>
              </w:rPr>
              <w:t>环评引用</w:t>
            </w:r>
            <w:r>
              <w:rPr>
                <w:rFonts w:hint="eastAsia" w:ascii="Times New Roman" w:hAnsi="Times New Roman" w:cs="Times New Roman"/>
                <w:color w:val="000000"/>
                <w:sz w:val="24"/>
                <w:lang w:val="en-US" w:eastAsia="zh-CN"/>
              </w:rPr>
              <w:t>2019年1月湖南德环检测中心编制的《常德市津市工业园污水处理厂及配套管网工程竣工环境保护验收监测报告书》</w:t>
            </w:r>
            <w:r>
              <w:rPr>
                <w:rFonts w:hint="default" w:ascii="Times New Roman" w:hAnsi="Times New Roman" w:cs="Times New Roman"/>
                <w:sz w:val="24"/>
                <w:szCs w:val="24"/>
                <w:lang w:val="en-US" w:eastAsia="zh-CN"/>
              </w:rPr>
              <w:t>中</w:t>
            </w:r>
            <w:r>
              <w:rPr>
                <w:rFonts w:hint="eastAsia" w:ascii="Times New Roman" w:hAnsi="Times New Roman" w:cs="Times New Roman"/>
                <w:sz w:val="24"/>
                <w:szCs w:val="24"/>
                <w:lang w:val="en-US" w:eastAsia="zh-CN"/>
              </w:rPr>
              <w:t>现有工程厂界无组织废气监测数据</w:t>
            </w:r>
            <w:r>
              <w:rPr>
                <w:rFonts w:hint="default" w:ascii="Times New Roman" w:hAnsi="Times New Roman" w:cs="Times New Roman"/>
                <w:sz w:val="24"/>
                <w:szCs w:val="24"/>
                <w:lang w:val="en-US" w:eastAsia="zh-CN"/>
              </w:rPr>
              <w:t>。</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（2）监测点布设</w:t>
            </w:r>
          </w:p>
          <w:p>
            <w:pPr>
              <w:pStyle w:val="10"/>
              <w:spacing w:line="36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3-2  其他污染物补充监测点位基本信息</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0"/>
              <w:gridCol w:w="1267"/>
              <w:gridCol w:w="1240"/>
              <w:gridCol w:w="1342"/>
              <w:gridCol w:w="1358"/>
              <w:gridCol w:w="972"/>
              <w:gridCol w:w="11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10" w:type="dxa"/>
                  <w:vMerge w:val="restart"/>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监测点名称</w:t>
                  </w:r>
                </w:p>
              </w:tc>
              <w:tc>
                <w:tcPr>
                  <w:tcW w:w="2507" w:type="dxa"/>
                  <w:gridSpan w:val="2"/>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监测点坐标/m</w:t>
                  </w:r>
                </w:p>
              </w:tc>
              <w:tc>
                <w:tcPr>
                  <w:tcW w:w="1342" w:type="dxa"/>
                  <w:vMerge w:val="restart"/>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监测因子</w:t>
                  </w:r>
                </w:p>
              </w:tc>
              <w:tc>
                <w:tcPr>
                  <w:tcW w:w="1358" w:type="dxa"/>
                  <w:vMerge w:val="restart"/>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监测时段</w:t>
                  </w:r>
                </w:p>
              </w:tc>
              <w:tc>
                <w:tcPr>
                  <w:tcW w:w="972" w:type="dxa"/>
                  <w:vMerge w:val="restart"/>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相对厂址方位</w:t>
                  </w:r>
                </w:p>
              </w:tc>
              <w:tc>
                <w:tcPr>
                  <w:tcW w:w="1128" w:type="dxa"/>
                  <w:vMerge w:val="restart"/>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10" w:type="dxa"/>
                  <w:vMerge w:val="continue"/>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p>
              </w:tc>
              <w:tc>
                <w:tcPr>
                  <w:tcW w:w="1267" w:type="dxa"/>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X</w:t>
                  </w:r>
                </w:p>
              </w:tc>
              <w:tc>
                <w:tcPr>
                  <w:tcW w:w="1240" w:type="dxa"/>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Y</w:t>
                  </w:r>
                </w:p>
              </w:tc>
              <w:tc>
                <w:tcPr>
                  <w:tcW w:w="1342" w:type="dxa"/>
                  <w:vMerge w:val="continue"/>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p>
              </w:tc>
              <w:tc>
                <w:tcPr>
                  <w:tcW w:w="1358" w:type="dxa"/>
                  <w:vMerge w:val="continue"/>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p>
              </w:tc>
              <w:tc>
                <w:tcPr>
                  <w:tcW w:w="972" w:type="dxa"/>
                  <w:vMerge w:val="continue"/>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p>
              </w:tc>
              <w:tc>
                <w:tcPr>
                  <w:tcW w:w="1128" w:type="dxa"/>
                  <w:vMerge w:val="continue"/>
                  <w:tcBorders>
                    <w:tl2br w:val="nil"/>
                    <w:tr2bl w:val="nil"/>
                  </w:tcBorders>
                  <w:vAlign w:val="center"/>
                </w:tcPr>
                <w:p>
                  <w:pPr>
                    <w:pStyle w:val="10"/>
                    <w:spacing w:line="240" w:lineRule="auto"/>
                    <w:jc w:val="center"/>
                    <w:rPr>
                      <w:rFonts w:hint="eastAsia" w:ascii="Times New Roman" w:hAnsi="Times New Roman" w:cs="Times New Roman"/>
                      <w:b/>
                      <w:bCs/>
                      <w:sz w:val="21"/>
                      <w:szCs w:val="21"/>
                      <w:vertAlign w:val="baseli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1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0"/>
                      <w:szCs w:val="21"/>
                      <w:lang w:val="en-US" w:eastAsia="zh-CN"/>
                    </w:rPr>
                    <w:t>G1</w:t>
                  </w:r>
                </w:p>
              </w:tc>
              <w:tc>
                <w:tcPr>
                  <w:tcW w:w="1267" w:type="dxa"/>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111.711034</w:t>
                  </w:r>
                </w:p>
              </w:tc>
              <w:tc>
                <w:tcPr>
                  <w:tcW w:w="1240" w:type="dxa"/>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28.979246</w:t>
                  </w:r>
                </w:p>
              </w:tc>
              <w:tc>
                <w:tcPr>
                  <w:tcW w:w="1342" w:type="dxa"/>
                  <w:vMerge w:val="restart"/>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NH</w:t>
                  </w:r>
                  <w:r>
                    <w:rPr>
                      <w:rFonts w:hint="eastAsia" w:ascii="Times New Roman" w:hAnsi="Times New Roman" w:cs="Times New Roman"/>
                      <w:b w:val="0"/>
                      <w:bCs w:val="0"/>
                      <w:sz w:val="21"/>
                      <w:szCs w:val="21"/>
                      <w:vertAlign w:val="subscript"/>
                      <w:lang w:val="en-US" w:eastAsia="zh-CN"/>
                    </w:rPr>
                    <w:t>3</w:t>
                  </w:r>
                  <w:r>
                    <w:rPr>
                      <w:rFonts w:hint="eastAsia" w:ascii="Times New Roman" w:hAnsi="Times New Roman" w:cs="Times New Roman"/>
                      <w:b w:val="0"/>
                      <w:bCs w:val="0"/>
                      <w:sz w:val="21"/>
                      <w:szCs w:val="21"/>
                      <w:vertAlign w:val="baseline"/>
                      <w:lang w:val="en-US" w:eastAsia="zh-CN"/>
                    </w:rPr>
                    <w:t>、H</w:t>
                  </w:r>
                  <w:r>
                    <w:rPr>
                      <w:rFonts w:hint="eastAsia" w:ascii="Times New Roman" w:hAnsi="Times New Roman" w:cs="Times New Roman"/>
                      <w:b w:val="0"/>
                      <w:bCs w:val="0"/>
                      <w:sz w:val="21"/>
                      <w:szCs w:val="21"/>
                      <w:vertAlign w:val="subscript"/>
                      <w:lang w:val="en-US" w:eastAsia="zh-CN"/>
                    </w:rPr>
                    <w:t>2</w:t>
                  </w:r>
                  <w:r>
                    <w:rPr>
                      <w:rFonts w:hint="eastAsia" w:ascii="Times New Roman" w:hAnsi="Times New Roman" w:cs="Times New Roman"/>
                      <w:b w:val="0"/>
                      <w:bCs w:val="0"/>
                      <w:sz w:val="21"/>
                      <w:szCs w:val="21"/>
                      <w:vertAlign w:val="baseline"/>
                      <w:lang w:val="en-US" w:eastAsia="zh-CN"/>
                    </w:rPr>
                    <w:t>S</w:t>
                  </w:r>
                </w:p>
              </w:tc>
              <w:tc>
                <w:tcPr>
                  <w:tcW w:w="1358" w:type="dxa"/>
                  <w:vMerge w:val="restart"/>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2019年1月1日至2日</w:t>
                  </w:r>
                </w:p>
              </w:tc>
              <w:tc>
                <w:tcPr>
                  <w:tcW w:w="972" w:type="dxa"/>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东南</w:t>
                  </w:r>
                </w:p>
              </w:tc>
              <w:tc>
                <w:tcPr>
                  <w:tcW w:w="1128" w:type="dxa"/>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31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kern w:val="0"/>
                      <w:szCs w:val="21"/>
                      <w:lang w:val="en-US" w:eastAsia="zh-CN"/>
                    </w:rPr>
                    <w:t>G2</w:t>
                  </w:r>
                </w:p>
              </w:tc>
              <w:tc>
                <w:tcPr>
                  <w:tcW w:w="1267" w:type="dxa"/>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111.709585</w:t>
                  </w:r>
                </w:p>
              </w:tc>
              <w:tc>
                <w:tcPr>
                  <w:tcW w:w="1240" w:type="dxa"/>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28.982578</w:t>
                  </w:r>
                </w:p>
              </w:tc>
              <w:tc>
                <w:tcPr>
                  <w:tcW w:w="1342" w:type="dxa"/>
                  <w:vMerge w:val="continue"/>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p>
              </w:tc>
              <w:tc>
                <w:tcPr>
                  <w:tcW w:w="1358" w:type="dxa"/>
                  <w:vMerge w:val="continue"/>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p>
              </w:tc>
              <w:tc>
                <w:tcPr>
                  <w:tcW w:w="972" w:type="dxa"/>
                  <w:tcBorders>
                    <w:tl2br w:val="nil"/>
                    <w:tr2bl w:val="nil"/>
                  </w:tcBorders>
                  <w:vAlign w:val="center"/>
                </w:tcPr>
                <w:p>
                  <w:pPr>
                    <w:pStyle w:val="10"/>
                    <w:spacing w:line="240" w:lineRule="auto"/>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东南</w:t>
                  </w:r>
                </w:p>
              </w:tc>
              <w:tc>
                <w:tcPr>
                  <w:tcW w:w="1128" w:type="dxa"/>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1977</w:t>
                  </w:r>
                </w:p>
              </w:tc>
            </w:tr>
          </w:tbl>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（3）评价标准</w:t>
            </w:r>
          </w:p>
          <w:p>
            <w:pPr>
              <w:pStyle w:val="10"/>
              <w:spacing w:line="360" w:lineRule="auto"/>
              <w:ind w:firstLine="480" w:firstLineChars="200"/>
              <w:rPr>
                <w:rFonts w:hint="eastAsia" w:ascii="Times New Roman" w:hAnsi="Times New Roman" w:cs="Times New Roman" w:eastAsiaTheme="minorEastAsia"/>
                <w:sz w:val="24"/>
                <w:szCs w:val="24"/>
                <w:lang w:eastAsia="zh-CN"/>
              </w:rPr>
            </w:pPr>
            <w:r>
              <w:rPr>
                <w:rFonts w:hint="eastAsia" w:ascii="Times New Roman" w:hAnsi="Times New Roman" w:cs="Times New Roman"/>
                <w:sz w:val="24"/>
                <w:lang w:val="en-US" w:eastAsia="zh-CN"/>
              </w:rPr>
              <w:t>NH</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、H</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S</w:t>
            </w:r>
            <w:r>
              <w:rPr>
                <w:rFonts w:hint="default" w:ascii="Times New Roman" w:hAnsi="Times New Roman" w:cs="Times New Roman"/>
                <w:sz w:val="24"/>
                <w:lang w:val="en-US" w:eastAsia="zh-CN"/>
              </w:rPr>
              <w:t>执行</w:t>
            </w:r>
            <w:r>
              <w:rPr>
                <w:rFonts w:hint="default" w:ascii="Times New Roman" w:hAnsi="Times New Roman" w:cs="Times New Roman"/>
                <w:sz w:val="24"/>
              </w:rPr>
              <w:t>《环境影响评价技术导则</w:t>
            </w:r>
            <w:r>
              <w:rPr>
                <w:rFonts w:hint="eastAsia" w:ascii="Times New Roman" w:hAnsi="Times New Roman" w:cs="Times New Roman"/>
                <w:sz w:val="24"/>
                <w:lang w:eastAsia="zh-CN"/>
              </w:rPr>
              <w:t>—</w:t>
            </w:r>
            <w:r>
              <w:rPr>
                <w:rFonts w:hint="default" w:ascii="Times New Roman" w:hAnsi="Times New Roman" w:cs="Times New Roman"/>
                <w:sz w:val="24"/>
              </w:rPr>
              <w:t>大气环境》（HJ2.2-2018）附录D</w:t>
            </w:r>
            <w:r>
              <w:rPr>
                <w:rFonts w:hint="eastAsia" w:ascii="Times New Roman" w:hAnsi="Times New Roman" w:cs="Times New Roman"/>
                <w:sz w:val="24"/>
              </w:rPr>
              <w:t>中的标准限值</w:t>
            </w:r>
            <w:r>
              <w:rPr>
                <w:rFonts w:hint="eastAsia" w:ascii="Times New Roman" w:hAnsi="Times New Roman" w:cs="Times New Roman"/>
                <w:sz w:val="24"/>
                <w:lang w:eastAsia="zh-CN"/>
              </w:rPr>
              <w:t>。</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（4）监测及评价结果</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本次监测结果如下表所示。</w:t>
            </w:r>
          </w:p>
          <w:p>
            <w:pPr>
              <w:pStyle w:val="10"/>
              <w:spacing w:line="360" w:lineRule="auto"/>
              <w:ind w:firstLine="442" w:firstLineChars="200"/>
              <w:jc w:val="center"/>
              <w:rPr>
                <w:rFonts w:hint="eastAsia" w:ascii="Times New Roman" w:hAnsi="Times New Roman" w:cs="Times New Roman" w:eastAsiaTheme="minorEastAsia"/>
                <w:b/>
                <w:sz w:val="22"/>
                <w:szCs w:val="24"/>
                <w:lang w:val="en-US" w:eastAsia="zh-CN"/>
              </w:rPr>
            </w:pPr>
            <w:r>
              <w:rPr>
                <w:rFonts w:hint="default" w:ascii="Times New Roman" w:hAnsi="Times New Roman" w:cs="Times New Roman"/>
                <w:b/>
                <w:sz w:val="22"/>
                <w:szCs w:val="24"/>
              </w:rPr>
              <w:t>表</w:t>
            </w:r>
            <w:r>
              <w:rPr>
                <w:rFonts w:hint="eastAsia" w:ascii="Times New Roman" w:hAnsi="Times New Roman" w:cs="Times New Roman"/>
                <w:b/>
                <w:sz w:val="22"/>
                <w:szCs w:val="24"/>
                <w:lang w:val="en-US" w:eastAsia="zh-CN"/>
              </w:rPr>
              <w:t>3-3</w:t>
            </w:r>
            <w:r>
              <w:rPr>
                <w:rFonts w:hint="default" w:ascii="Times New Roman" w:hAnsi="Times New Roman" w:cs="Times New Roman"/>
                <w:b/>
                <w:sz w:val="22"/>
                <w:szCs w:val="24"/>
              </w:rPr>
              <w:t xml:space="preserve">  环境空气特征因子现状监测结果及评价</w:t>
            </w:r>
            <w:r>
              <w:rPr>
                <w:rFonts w:hint="eastAsia" w:ascii="Times New Roman" w:hAnsi="Times New Roman" w:cs="Times New Roman"/>
                <w:b/>
                <w:sz w:val="22"/>
                <w:szCs w:val="24"/>
                <w:lang w:val="en-US" w:eastAsia="zh-CN"/>
              </w:rPr>
              <w:t xml:space="preserve">  单位：ug/m</w:t>
            </w:r>
            <w:r>
              <w:rPr>
                <w:rFonts w:hint="eastAsia" w:ascii="Times New Roman" w:hAnsi="Times New Roman" w:cs="Times New Roman"/>
                <w:b/>
                <w:sz w:val="22"/>
                <w:szCs w:val="24"/>
                <w:vertAlign w:val="superscript"/>
                <w:lang w:val="en-US" w:eastAsia="zh-CN"/>
              </w:rPr>
              <w:t>3</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8"/>
              <w:gridCol w:w="1223"/>
              <w:gridCol w:w="681"/>
              <w:gridCol w:w="722"/>
              <w:gridCol w:w="680"/>
              <w:gridCol w:w="731"/>
              <w:gridCol w:w="722"/>
              <w:gridCol w:w="715"/>
              <w:gridCol w:w="688"/>
              <w:gridCol w:w="731"/>
              <w:gridCol w:w="619"/>
              <w:gridCol w:w="3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1970" w:type="dxa"/>
                  <w:gridSpan w:val="2"/>
                  <w:vMerge w:val="restart"/>
                  <w:tcBorders>
                    <w:tl2br w:val="nil"/>
                    <w:tr2bl w:val="nil"/>
                  </w:tcBorders>
                  <w:vAlign w:val="center"/>
                  <mc:AlternateContent>
                    <mc:Choice Requires="wpsCustomData">
                      <wpsCustomData:diagonals>
                        <wpsCustomData:diagonal from="14400" to="30000">
                          <wpsCustomData:border w:val="single" w:color="auto" w:sz="2" w:space="0"/>
                        </wpsCustomData:diagonal>
                        <wpsCustomData:diagonal from="5300" to="30000">
                          <wpsCustomData:border w:val="single" w:color="auto" w:sz="2" w:space="0"/>
                        </wpsCustomData:diagonal>
                      </wpsCustomData:diagonals>
                    </mc:Choice>
                  </mc:AlternateContent>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p>
                <w:p>
                  <w:pPr>
                    <w:tabs>
                      <w:tab w:val="left" w:pos="1021"/>
                    </w:tabs>
                    <w:adjustRightInd w:val="0"/>
                    <w:snapToGrid w:val="0"/>
                    <w:spacing w:line="240" w:lineRule="auto"/>
                    <w:ind w:firstLine="0" w:firstLineChars="0"/>
                    <w:jc w:val="both"/>
                    <mc:AlternateContent>
                      <mc:Choice Requires="wpsCustomData">
                        <wpsCustomData:diagonalParaType/>
                      </mc:Choice>
                    </mc:AlternateContent>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项目</w:t>
                  </w:r>
                </w:p>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p>
                <w:p>
                  <w:pPr>
                    <w:tabs>
                      <w:tab w:val="left" w:pos="1021"/>
                    </w:tabs>
                    <w:adjustRightInd w:val="0"/>
                    <w:snapToGrid w:val="0"/>
                    <w:spacing w:line="240" w:lineRule="auto"/>
                    <w:ind w:firstLine="0" w:firstLineChars="0"/>
                    <w:jc w:val="center"/>
                    <mc:AlternateContent>
                      <mc:Choice Requires="wpsCustomData">
                        <wpsCustomData:diagonalParaType/>
                      </mc:Choice>
                    </mc:AlternateContent>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数据</w:t>
                  </w:r>
                </w:p>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时间</w:t>
                  </w:r>
                </w:p>
              </w:tc>
              <w:tc>
                <w:tcPr>
                  <w:tcW w:w="2852" w:type="dxa"/>
                  <w:gridSpan w:val="4"/>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2019 年1月1日（小时均值）</w:t>
                  </w:r>
                </w:p>
              </w:tc>
              <w:tc>
                <w:tcPr>
                  <w:tcW w:w="2894" w:type="dxa"/>
                  <w:gridSpan w:val="4"/>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2019 年1月2日（小时均值）</w:t>
                  </w:r>
                </w:p>
              </w:tc>
              <w:tc>
                <w:tcPr>
                  <w:tcW w:w="626"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标准限值</w:t>
                  </w:r>
                </w:p>
              </w:tc>
              <w:tc>
                <w:tcPr>
                  <w:tcW w:w="389"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是否达标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3" w:hRule="atLeast"/>
                <w:jc w:val="center"/>
              </w:trPr>
              <w:tc>
                <w:tcPr>
                  <w:tcW w:w="1970" w:type="dxa"/>
                  <w:gridSpan w:val="2"/>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p>
              </w:tc>
              <w:tc>
                <w:tcPr>
                  <w:tcW w:w="69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第一次</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第二次</w:t>
                  </w:r>
                </w:p>
              </w:tc>
              <w:tc>
                <w:tcPr>
                  <w:tcW w:w="6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第三次</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均值</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第一次</w:t>
                  </w:r>
                </w:p>
              </w:tc>
              <w:tc>
                <w:tcPr>
                  <w:tcW w:w="724"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第二次</w:t>
                  </w:r>
                </w:p>
              </w:tc>
              <w:tc>
                <w:tcPr>
                  <w:tcW w:w="69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第三次</w:t>
                  </w:r>
                </w:p>
              </w:tc>
              <w:tc>
                <w:tcPr>
                  <w:tcW w:w="741" w:type="dxa"/>
                  <w:tcBorders>
                    <w:tl2br w:val="nil"/>
                    <w:tr2bl w:val="nil"/>
                  </w:tcBorders>
                  <w:vAlign w:val="center"/>
                </w:tcPr>
                <w:p>
                  <w:pPr>
                    <w:tabs>
                      <w:tab w:val="left" w:pos="1021"/>
                    </w:tabs>
                    <w:adjustRightInd w:val="0"/>
                    <w:snapToGrid w:val="0"/>
                    <w:spacing w:line="240" w:lineRule="auto"/>
                    <w:ind w:firstLine="0" w:firstLineChars="0"/>
                    <w:jc w:val="both"/>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均值</w:t>
                  </w:r>
                </w:p>
              </w:tc>
              <w:tc>
                <w:tcPr>
                  <w:tcW w:w="626"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p>
              </w:tc>
              <w:tc>
                <w:tcPr>
                  <w:tcW w:w="389"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b/>
                      <w:bCs/>
                      <w:kern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4" w:hRule="atLeast"/>
                <w:jc w:val="center"/>
              </w:trPr>
              <w:tc>
                <w:tcPr>
                  <w:tcW w:w="728"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G1</w:t>
                  </w:r>
                </w:p>
              </w:tc>
              <w:tc>
                <w:tcPr>
                  <w:tcW w:w="124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氨</w:t>
                  </w:r>
                </w:p>
              </w:tc>
              <w:tc>
                <w:tcPr>
                  <w:tcW w:w="69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36.8</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38.6</w:t>
                  </w:r>
                </w:p>
              </w:tc>
              <w:tc>
                <w:tcPr>
                  <w:tcW w:w="6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35.9</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37.1</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39.9</w:t>
                  </w:r>
                </w:p>
              </w:tc>
              <w:tc>
                <w:tcPr>
                  <w:tcW w:w="724"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38.7</w:t>
                  </w:r>
                </w:p>
              </w:tc>
              <w:tc>
                <w:tcPr>
                  <w:tcW w:w="69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39.4</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39.3</w:t>
                  </w:r>
                </w:p>
              </w:tc>
              <w:tc>
                <w:tcPr>
                  <w:tcW w:w="6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200</w:t>
                  </w:r>
                </w:p>
              </w:tc>
              <w:tc>
                <w:tcPr>
                  <w:tcW w:w="3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1" w:hRule="atLeast"/>
                <w:jc w:val="center"/>
              </w:trPr>
              <w:tc>
                <w:tcPr>
                  <w:tcW w:w="72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p>
              </w:tc>
              <w:tc>
                <w:tcPr>
                  <w:tcW w:w="124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硫化氢</w:t>
                  </w:r>
                </w:p>
              </w:tc>
              <w:tc>
                <w:tcPr>
                  <w:tcW w:w="69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w:t>
                  </w:r>
                </w:p>
              </w:tc>
              <w:tc>
                <w:tcPr>
                  <w:tcW w:w="6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w:t>
                  </w:r>
                </w:p>
              </w:tc>
              <w:tc>
                <w:tcPr>
                  <w:tcW w:w="724"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w:t>
                  </w:r>
                </w:p>
              </w:tc>
              <w:tc>
                <w:tcPr>
                  <w:tcW w:w="697"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w:t>
                  </w:r>
                </w:p>
              </w:tc>
              <w:tc>
                <w:tcPr>
                  <w:tcW w:w="74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0.9</w:t>
                  </w:r>
                </w:p>
              </w:tc>
              <w:tc>
                <w:tcPr>
                  <w:tcW w:w="6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w:t>
                  </w:r>
                </w:p>
              </w:tc>
              <w:tc>
                <w:tcPr>
                  <w:tcW w:w="3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1" w:hRule="atLeast"/>
                <w:jc w:val="center"/>
              </w:trPr>
              <w:tc>
                <w:tcPr>
                  <w:tcW w:w="728"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G2</w:t>
                  </w:r>
                </w:p>
              </w:tc>
              <w:tc>
                <w:tcPr>
                  <w:tcW w:w="124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氨</w:t>
                  </w:r>
                </w:p>
              </w:tc>
              <w:tc>
                <w:tcPr>
                  <w:tcW w:w="69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38.3</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39.3</w:t>
                  </w:r>
                </w:p>
              </w:tc>
              <w:tc>
                <w:tcPr>
                  <w:tcW w:w="6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40.3</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39.3</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41.1</w:t>
                  </w:r>
                </w:p>
              </w:tc>
              <w:tc>
                <w:tcPr>
                  <w:tcW w:w="724"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41.5</w:t>
                  </w:r>
                </w:p>
              </w:tc>
              <w:tc>
                <w:tcPr>
                  <w:tcW w:w="69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40.3</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41.0</w:t>
                  </w:r>
                </w:p>
              </w:tc>
              <w:tc>
                <w:tcPr>
                  <w:tcW w:w="6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200</w:t>
                  </w:r>
                </w:p>
              </w:tc>
              <w:tc>
                <w:tcPr>
                  <w:tcW w:w="3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p>
              </w:tc>
              <w:tc>
                <w:tcPr>
                  <w:tcW w:w="124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硫化氢</w:t>
                  </w:r>
                </w:p>
              </w:tc>
              <w:tc>
                <w:tcPr>
                  <w:tcW w:w="69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w:t>
                  </w:r>
                </w:p>
              </w:tc>
              <w:tc>
                <w:tcPr>
                  <w:tcW w:w="6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732"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724"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1.2</w:t>
                  </w:r>
                </w:p>
              </w:tc>
              <w:tc>
                <w:tcPr>
                  <w:tcW w:w="697"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741"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6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10</w:t>
                  </w:r>
                </w:p>
              </w:tc>
              <w:tc>
                <w:tcPr>
                  <w:tcW w:w="38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是</w:t>
                  </w:r>
                </w:p>
              </w:tc>
            </w:tr>
          </w:tbl>
          <w:p>
            <w:pPr>
              <w:spacing w:line="360" w:lineRule="auto"/>
              <w:ind w:firstLine="480" w:firstLineChars="200"/>
              <w:rPr>
                <w:rFonts w:hint="eastAsia"/>
                <w:b/>
                <w:bCs/>
                <w:sz w:val="24"/>
                <w:lang w:eastAsia="zh-CN"/>
              </w:rPr>
            </w:pPr>
            <w:r>
              <w:rPr>
                <w:rFonts w:hint="eastAsia" w:ascii="Times New Roman" w:hAnsi="Times New Roman" w:cs="Times New Roman"/>
                <w:color w:val="000000"/>
                <w:sz w:val="24"/>
                <w:lang w:val="en-US" w:eastAsia="zh-CN"/>
              </w:rPr>
              <w:t>根据验收监测结果，</w:t>
            </w:r>
            <w:r>
              <w:rPr>
                <w:rFonts w:hint="eastAsia" w:ascii="Times New Roman" w:hAnsi="Times New Roman" w:cs="Times New Roman"/>
                <w:sz w:val="24"/>
                <w:lang w:val="en-US" w:eastAsia="zh-CN"/>
              </w:rPr>
              <w:t>NH</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、H</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S符合</w:t>
            </w:r>
            <w:r>
              <w:rPr>
                <w:rFonts w:hint="default" w:ascii="Times New Roman" w:hAnsi="Times New Roman" w:cs="Times New Roman"/>
                <w:sz w:val="24"/>
              </w:rPr>
              <w:t>《环境影响评价技术导则</w:t>
            </w:r>
            <w:r>
              <w:rPr>
                <w:rFonts w:hint="eastAsia" w:ascii="Times New Roman" w:hAnsi="Times New Roman" w:cs="Times New Roman"/>
                <w:sz w:val="24"/>
                <w:lang w:eastAsia="zh-CN"/>
              </w:rPr>
              <w:t>—</w:t>
            </w:r>
            <w:r>
              <w:rPr>
                <w:rFonts w:hint="default" w:ascii="Times New Roman" w:hAnsi="Times New Roman" w:cs="Times New Roman"/>
                <w:sz w:val="24"/>
              </w:rPr>
              <w:t>大气环境》（HJ2.2-2018）附录D</w:t>
            </w:r>
            <w:r>
              <w:rPr>
                <w:rFonts w:hint="eastAsia" w:ascii="Times New Roman" w:hAnsi="Times New Roman" w:cs="Times New Roman"/>
                <w:sz w:val="24"/>
              </w:rPr>
              <w:t>中的标准限值</w:t>
            </w:r>
            <w:r>
              <w:rPr>
                <w:rFonts w:hint="eastAsia" w:ascii="Times New Roman" w:hAnsi="Times New Roman" w:cs="Times New Roman"/>
                <w:sz w:val="24"/>
                <w:lang w:eastAsia="zh-CN"/>
              </w:rPr>
              <w:t>要求。</w:t>
            </w:r>
          </w:p>
          <w:p>
            <w:pPr>
              <w:spacing w:line="360" w:lineRule="auto"/>
              <w:ind w:firstLine="482" w:firstLineChars="200"/>
              <w:outlineLvl w:val="9"/>
              <w:rPr>
                <w:rFonts w:hint="default" w:ascii="Times New Roman" w:hAnsi="Times New Roman" w:cs="Times New Roman"/>
                <w:b/>
                <w:bCs/>
                <w:sz w:val="24"/>
                <w:szCs w:val="24"/>
                <w:lang w:val="en-US" w:eastAsia="zh-CN"/>
              </w:rPr>
            </w:pPr>
            <w:r>
              <w:rPr>
                <w:rFonts w:hint="eastAsia" w:cs="Times New Roman"/>
                <w:b/>
                <w:bCs/>
                <w:sz w:val="24"/>
                <w:szCs w:val="24"/>
                <w:lang w:val="en-US" w:eastAsia="zh-CN"/>
              </w:rPr>
              <w:t>二、</w:t>
            </w:r>
            <w:r>
              <w:rPr>
                <w:rFonts w:hint="default" w:ascii="Times New Roman" w:hAnsi="Times New Roman" w:cs="Times New Roman"/>
                <w:b/>
                <w:bCs/>
                <w:sz w:val="24"/>
                <w:szCs w:val="24"/>
                <w:lang w:val="en-US" w:eastAsia="zh-CN"/>
              </w:rPr>
              <w:t xml:space="preserve"> 地表水环境质量现状调查与评价</w:t>
            </w:r>
          </w:p>
          <w:p>
            <w:pPr>
              <w:pStyle w:val="38"/>
              <w:ind w:firstLine="482" w:firstLineChars="200"/>
              <w:outlineLvl w:val="9"/>
              <w:rPr>
                <w:rFonts w:hint="default" w:ascii="Times New Roman" w:hAnsi="Times New Roman" w:cs="Times New Roman"/>
                <w:b/>
                <w:bCs/>
              </w:rPr>
            </w:pPr>
            <w:r>
              <w:rPr>
                <w:rFonts w:hint="eastAsia" w:ascii="Times New Roman" w:hAnsi="Times New Roman" w:cs="Times New Roman"/>
                <w:b/>
                <w:bCs/>
                <w:lang w:val="en-US" w:eastAsia="zh-CN"/>
              </w:rPr>
              <w:t>1、</w:t>
            </w:r>
            <w:r>
              <w:rPr>
                <w:rFonts w:hint="default" w:ascii="Times New Roman" w:hAnsi="Times New Roman" w:cs="Times New Roman"/>
                <w:b/>
                <w:bCs/>
              </w:rPr>
              <w:t>监测断面的设置</w:t>
            </w:r>
          </w:p>
          <w:p>
            <w:pPr>
              <w:pStyle w:val="1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本环评</w:t>
            </w:r>
            <w:r>
              <w:rPr>
                <w:rFonts w:hint="eastAsia" w:ascii="Times New Roman" w:hAnsi="Times New Roman" w:cs="Times New Roman"/>
                <w:sz w:val="24"/>
              </w:rPr>
              <w:t>引用《津市高新技术产业开发区热电联产项目环境影响报告书》中湖南华科环境检测技术服务有限公司</w:t>
            </w:r>
            <w:r>
              <w:rPr>
                <w:rFonts w:hint="default" w:ascii="Times New Roman" w:hAnsi="Times New Roman" w:cs="Times New Roman"/>
                <w:sz w:val="24"/>
              </w:rPr>
              <w:t>于201</w:t>
            </w:r>
            <w:r>
              <w:rPr>
                <w:rFonts w:hint="eastAsia" w:ascii="Times New Roman" w:hAnsi="Times New Roman" w:cs="Times New Roman"/>
                <w:sz w:val="24"/>
              </w:rPr>
              <w:t>8</w:t>
            </w:r>
            <w:r>
              <w:rPr>
                <w:rFonts w:hint="default" w:ascii="Times New Roman" w:hAnsi="Times New Roman" w:cs="Times New Roman"/>
                <w:sz w:val="24"/>
              </w:rPr>
              <w:t>年</w:t>
            </w:r>
            <w:r>
              <w:rPr>
                <w:rFonts w:hint="eastAsia" w:ascii="Times New Roman" w:hAnsi="Times New Roman" w:cs="Times New Roman"/>
                <w:sz w:val="24"/>
              </w:rPr>
              <w:t>10月16日-18日对澧水</w:t>
            </w:r>
            <w:r>
              <w:rPr>
                <w:rFonts w:hint="default" w:ascii="Times New Roman" w:hAnsi="Times New Roman" w:cs="Times New Roman"/>
                <w:sz w:val="24"/>
              </w:rPr>
              <w:t>的监测数据。水质监测断面设置及执行标准见下表。</w:t>
            </w:r>
          </w:p>
          <w:p>
            <w:pPr>
              <w:adjustRightInd w:val="0"/>
              <w:snapToGrid w:val="0"/>
              <w:spacing w:line="360" w:lineRule="auto"/>
              <w:jc w:val="center"/>
              <w:rPr>
                <w:rFonts w:hint="default" w:ascii="Times New Roman" w:hAnsi="Times New Roman" w:cs="Times New Roman" w:eastAsiaTheme="minorEastAsia"/>
                <w:b/>
                <w:kern w:val="0"/>
                <w:sz w:val="22"/>
                <w:szCs w:val="24"/>
                <w:lang w:val="en-US" w:eastAsia="zh-CN" w:bidi="ar-SA"/>
              </w:rPr>
            </w:pPr>
            <w:r>
              <w:rPr>
                <w:rFonts w:hint="default" w:ascii="Times New Roman" w:hAnsi="Times New Roman" w:cs="Times New Roman" w:eastAsiaTheme="minorEastAsia"/>
                <w:b/>
                <w:kern w:val="0"/>
                <w:sz w:val="22"/>
                <w:szCs w:val="24"/>
                <w:lang w:val="en-US" w:eastAsia="zh-CN" w:bidi="ar-SA"/>
              </w:rPr>
              <w:t>表</w:t>
            </w:r>
            <w:r>
              <w:rPr>
                <w:rFonts w:hint="eastAsia" w:cs="Times New Roman"/>
                <w:b/>
                <w:kern w:val="0"/>
                <w:sz w:val="22"/>
                <w:szCs w:val="24"/>
                <w:lang w:val="en-US" w:eastAsia="zh-CN" w:bidi="ar-SA"/>
              </w:rPr>
              <w:t>3-4</w:t>
            </w:r>
            <w:r>
              <w:rPr>
                <w:rFonts w:hint="default" w:ascii="Times New Roman" w:hAnsi="Times New Roman" w:cs="Times New Roman" w:eastAsiaTheme="minorEastAsia"/>
                <w:b/>
                <w:kern w:val="0"/>
                <w:sz w:val="22"/>
                <w:szCs w:val="24"/>
                <w:lang w:val="en-US" w:eastAsia="zh-CN" w:bidi="ar-SA"/>
              </w:rPr>
              <w:t xml:space="preserve">  水质监测断面</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90"/>
              <w:gridCol w:w="3593"/>
              <w:gridCol w:w="2073"/>
              <w:gridCol w:w="2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900" w:type="dxa"/>
                  <w:tcBorders>
                    <w:tl2br w:val="nil"/>
                    <w:tr2bl w:val="nil"/>
                  </w:tcBorders>
                  <w:vAlign w:val="center"/>
                </w:tcPr>
                <w:p>
                  <w:pPr>
                    <w:pStyle w:val="10"/>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序号</w:t>
                  </w:r>
                </w:p>
              </w:tc>
              <w:tc>
                <w:tcPr>
                  <w:tcW w:w="3643" w:type="dxa"/>
                  <w:tcBorders>
                    <w:tl2br w:val="nil"/>
                    <w:tr2bl w:val="nil"/>
                  </w:tcBorders>
                  <w:vAlign w:val="center"/>
                </w:tcPr>
                <w:p>
                  <w:pPr>
                    <w:pStyle w:val="10"/>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监测断面</w:t>
                  </w:r>
                </w:p>
              </w:tc>
              <w:tc>
                <w:tcPr>
                  <w:tcW w:w="2100" w:type="dxa"/>
                  <w:tcBorders>
                    <w:tl2br w:val="nil"/>
                    <w:tr2bl w:val="nil"/>
                  </w:tcBorders>
                  <w:vAlign w:val="center"/>
                </w:tcPr>
                <w:p>
                  <w:pPr>
                    <w:pStyle w:val="10"/>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监测项目</w:t>
                  </w:r>
                </w:p>
              </w:tc>
              <w:tc>
                <w:tcPr>
                  <w:tcW w:w="2088" w:type="dxa"/>
                  <w:tcBorders>
                    <w:tl2br w:val="nil"/>
                    <w:tr2bl w:val="nil"/>
                  </w:tcBorders>
                  <w:vAlign w:val="center"/>
                </w:tcPr>
                <w:p>
                  <w:pPr>
                    <w:pStyle w:val="10"/>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监测频次、时间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jc w:val="center"/>
              </w:trPr>
              <w:tc>
                <w:tcPr>
                  <w:tcW w:w="900" w:type="dxa"/>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W1</w:t>
                  </w:r>
                </w:p>
              </w:tc>
              <w:tc>
                <w:tcPr>
                  <w:tcW w:w="3643" w:type="dxa"/>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工业园区污水处理厂排口上游 500m</w:t>
                  </w:r>
                </w:p>
              </w:tc>
              <w:tc>
                <w:tcPr>
                  <w:tcW w:w="2100" w:type="dxa"/>
                  <w:vMerge w:val="restart"/>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ascii="Times New Roman" w:hAnsi="Times New Roman"/>
                    </w:rPr>
                    <w:t>pH、COD</w:t>
                  </w:r>
                  <w:r>
                    <w:rPr>
                      <w:rFonts w:hint="eastAsia" w:ascii="Times New Roman" w:hAnsi="Times New Roman"/>
                      <w:vertAlign w:val="subscript"/>
                      <w:lang w:val="en-US" w:eastAsia="zh-CN"/>
                    </w:rPr>
                    <w:t>Cr</w:t>
                  </w:r>
                  <w:r>
                    <w:rPr>
                      <w:rFonts w:ascii="Times New Roman" w:hAnsi="Times New Roman"/>
                    </w:rPr>
                    <w:t>、BOD</w:t>
                  </w:r>
                  <w:r>
                    <w:rPr>
                      <w:rFonts w:ascii="Times New Roman" w:hAnsi="Times New Roman"/>
                      <w:vertAlign w:val="subscript"/>
                    </w:rPr>
                    <w:t>5</w:t>
                  </w:r>
                  <w:r>
                    <w:rPr>
                      <w:rFonts w:ascii="Times New Roman" w:hAnsi="Times New Roman"/>
                    </w:rPr>
                    <w:t>、NH</w:t>
                  </w:r>
                  <w:r>
                    <w:rPr>
                      <w:rFonts w:ascii="Times New Roman" w:hAnsi="Times New Roman"/>
                      <w:vertAlign w:val="subscript"/>
                    </w:rPr>
                    <w:t>3</w:t>
                  </w:r>
                  <w:r>
                    <w:rPr>
                      <w:rFonts w:ascii="Times New Roman" w:hAnsi="Times New Roman"/>
                    </w:rPr>
                    <w:t>–N、TP、石油类、阴离子表面活性剂</w:t>
                  </w:r>
                </w:p>
              </w:tc>
              <w:tc>
                <w:tcPr>
                  <w:tcW w:w="2088" w:type="dxa"/>
                  <w:vMerge w:val="restart"/>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2018年10月16-18日，连续三天，每天采样一次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00" w:type="dxa"/>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W2</w:t>
                  </w:r>
                </w:p>
              </w:tc>
              <w:tc>
                <w:tcPr>
                  <w:tcW w:w="3643" w:type="dxa"/>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工业园区污水处理厂排口下游1500m</w:t>
                  </w:r>
                </w:p>
              </w:tc>
              <w:tc>
                <w:tcPr>
                  <w:tcW w:w="2100" w:type="dxa"/>
                  <w:vMerge w:val="continue"/>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p>
              </w:tc>
              <w:tc>
                <w:tcPr>
                  <w:tcW w:w="2088" w:type="dxa"/>
                  <w:vMerge w:val="continue"/>
                  <w:tcBorders>
                    <w:tl2br w:val="nil"/>
                    <w:tr2bl w:val="nil"/>
                  </w:tcBorders>
                  <w:vAlign w:val="center"/>
                </w:tcPr>
                <w:p>
                  <w:pPr>
                    <w:pStyle w:val="10"/>
                    <w:spacing w:line="240" w:lineRule="auto"/>
                    <w:jc w:val="center"/>
                    <w:rPr>
                      <w:rFonts w:hint="default" w:ascii="Times New Roman" w:hAnsi="Times New Roman" w:cs="Times New Roman"/>
                      <w:b w:val="0"/>
                      <w:bCs w:val="0"/>
                      <w:sz w:val="21"/>
                      <w:szCs w:val="21"/>
                      <w:vertAlign w:val="baseline"/>
                      <w:lang w:val="en-US" w:eastAsia="zh-CN"/>
                    </w:rPr>
                  </w:pPr>
                </w:p>
              </w:tc>
            </w:tr>
          </w:tbl>
          <w:p>
            <w:pPr>
              <w:pStyle w:val="21"/>
              <w:ind w:firstLine="482" w:firstLineChars="200"/>
              <w:outlineLvl w:val="9"/>
              <w:rPr>
                <w:rFonts w:hint="default" w:ascii="Times New Roman" w:hAnsi="Times New Roman" w:cs="Times New Roman"/>
                <w:b/>
              </w:rPr>
            </w:pPr>
            <w:r>
              <w:rPr>
                <w:rFonts w:hint="eastAsia" w:ascii="Times New Roman" w:hAnsi="Times New Roman" w:eastAsia="宋体" w:cs="Times New Roman"/>
                <w:b/>
                <w:bCs/>
                <w:kern w:val="2"/>
                <w:sz w:val="24"/>
                <w:szCs w:val="24"/>
                <w:lang w:val="en-US" w:eastAsia="zh-CN" w:bidi="ar-SA"/>
              </w:rPr>
              <w:t>2、</w:t>
            </w:r>
            <w:r>
              <w:rPr>
                <w:rFonts w:hint="default" w:ascii="Times New Roman" w:hAnsi="Times New Roman" w:eastAsia="宋体" w:cs="Times New Roman"/>
                <w:b/>
                <w:bCs/>
                <w:kern w:val="2"/>
                <w:sz w:val="24"/>
                <w:szCs w:val="24"/>
                <w:lang w:val="en-US" w:eastAsia="zh-CN" w:bidi="ar-SA"/>
              </w:rPr>
              <w:t>评价标准</w:t>
            </w:r>
          </w:p>
          <w:p>
            <w:pPr>
              <w:pStyle w:val="21"/>
              <w:spacing w:line="360" w:lineRule="auto"/>
              <w:ind w:firstLine="480" w:firstLineChars="200"/>
              <w:outlineLvl w:val="9"/>
              <w:rPr>
                <w:rFonts w:hint="default" w:ascii="Times New Roman" w:hAnsi="Times New Roman" w:cs="Times New Roman"/>
                <w:sz w:val="24"/>
              </w:rPr>
            </w:pPr>
            <w:r>
              <w:rPr>
                <w:rFonts w:hint="default" w:ascii="Times New Roman" w:hAnsi="Times New Roman" w:cs="Times New Roman"/>
                <w:sz w:val="24"/>
              </w:rPr>
              <w:t>评价标准采用《地表水环境质量标准》（GB3838-2002）中</w:t>
            </w:r>
            <w:r>
              <w:rPr>
                <w:rFonts w:hint="eastAsia" w:ascii="Times New Roman" w:hAnsi="Times New Roman" w:cs="Times New Roman"/>
                <w:sz w:val="24"/>
                <w:lang w:eastAsia="zh-CN"/>
              </w:rPr>
              <w:fldChar w:fldCharType="begin"/>
            </w:r>
            <w:r>
              <w:rPr>
                <w:rFonts w:hint="eastAsia" w:ascii="Times New Roman" w:hAnsi="Times New Roman" w:cs="Times New Roman"/>
                <w:sz w:val="24"/>
                <w:lang w:eastAsia="zh-CN"/>
              </w:rPr>
              <w:instrText xml:space="preserve"> = 3 \* ROMAN \* MERGEFORMAT </w:instrText>
            </w:r>
            <w:r>
              <w:rPr>
                <w:rFonts w:hint="eastAsia" w:ascii="Times New Roman" w:hAnsi="Times New Roman" w:cs="Times New Roman"/>
                <w:sz w:val="24"/>
                <w:lang w:eastAsia="zh-CN"/>
              </w:rPr>
              <w:fldChar w:fldCharType="separate"/>
            </w:r>
            <w:r>
              <w:rPr>
                <w:rFonts w:hint="default" w:ascii="Times New Roman" w:hAnsi="Times New Roman" w:cs="Times New Roman"/>
                <w:sz w:val="24"/>
              </w:rPr>
              <w:t>III</w:t>
            </w:r>
            <w:r>
              <w:rPr>
                <w:rFonts w:hint="eastAsia" w:ascii="Times New Roman" w:hAnsi="Times New Roman" w:cs="Times New Roman"/>
                <w:sz w:val="24"/>
                <w:lang w:eastAsia="zh-CN"/>
              </w:rPr>
              <w:fldChar w:fldCharType="end"/>
            </w:r>
            <w:r>
              <w:rPr>
                <w:rFonts w:hint="default" w:ascii="Times New Roman" w:hAnsi="Times New Roman" w:cs="Times New Roman"/>
                <w:sz w:val="24"/>
              </w:rPr>
              <w:t>类标准。各项评价标准的限值见表</w:t>
            </w:r>
            <w:r>
              <w:rPr>
                <w:rFonts w:hint="eastAsia" w:cs="Times New Roman"/>
                <w:sz w:val="24"/>
                <w:lang w:val="en-US" w:eastAsia="zh-CN"/>
              </w:rPr>
              <w:t>3-5</w:t>
            </w:r>
            <w:r>
              <w:rPr>
                <w:rFonts w:hint="default" w:ascii="Times New Roman" w:hAnsi="Times New Roman" w:cs="Times New Roman"/>
                <w:sz w:val="24"/>
              </w:rPr>
              <w:t>。</w:t>
            </w:r>
          </w:p>
          <w:p>
            <w:pPr>
              <w:pStyle w:val="21"/>
              <w:spacing w:line="360" w:lineRule="auto"/>
              <w:ind w:left="0" w:leftChars="0" w:firstLine="0" w:firstLineChars="0"/>
              <w:jc w:val="center"/>
              <w:outlineLvl w:val="9"/>
              <w:rPr>
                <w:rFonts w:hint="default" w:ascii="Times New Roman" w:hAnsi="Times New Roman" w:cs="Times New Roman"/>
                <w:b/>
                <w:kern w:val="0"/>
                <w:szCs w:val="21"/>
              </w:rPr>
            </w:pPr>
            <w:r>
              <w:rPr>
                <w:rFonts w:hint="default" w:ascii="Times New Roman" w:hAnsi="Times New Roman" w:cs="Times New Roman"/>
                <w:b/>
                <w:kern w:val="0"/>
                <w:szCs w:val="21"/>
              </w:rPr>
              <w:t>表</w:t>
            </w:r>
            <w:r>
              <w:rPr>
                <w:rFonts w:hint="eastAsia" w:cs="Times New Roman"/>
                <w:b/>
                <w:kern w:val="0"/>
                <w:szCs w:val="21"/>
                <w:lang w:val="en-US" w:eastAsia="zh-CN"/>
              </w:rPr>
              <w:t>3-5</w:t>
            </w:r>
            <w:r>
              <w:rPr>
                <w:rFonts w:hint="default" w:ascii="Times New Roman" w:hAnsi="Times New Roman" w:cs="Times New Roman"/>
                <w:b/>
                <w:kern w:val="0"/>
                <w:szCs w:val="21"/>
              </w:rPr>
              <w:t xml:space="preserve">  地表水环境质量主要指标  单位：mg/L，pH值除外</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9"/>
              <w:gridCol w:w="2000"/>
              <w:gridCol w:w="4740"/>
              <w:gridCol w:w="10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序号</w:t>
                  </w:r>
                </w:p>
              </w:tc>
              <w:tc>
                <w:tcPr>
                  <w:tcW w:w="2000"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项目</w:t>
                  </w:r>
                </w:p>
              </w:tc>
              <w:tc>
                <w:tcPr>
                  <w:tcW w:w="4740"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eastAsia" w:ascii="Times New Roman" w:hAnsi="Times New Roman" w:cs="Times New Roman"/>
                      <w:b/>
                      <w:bCs/>
                      <w:lang w:eastAsia="zh-CN"/>
                    </w:rPr>
                    <w:t>《地表水环境质量标准》</w:t>
                  </w:r>
                  <w:r>
                    <w:rPr>
                      <w:rFonts w:hint="default" w:ascii="Times New Roman" w:hAnsi="Times New Roman" w:cs="Times New Roman"/>
                      <w:b/>
                      <w:bCs/>
                    </w:rPr>
                    <w:t>GB3838-2002中</w:t>
                  </w:r>
                  <w:r>
                    <w:rPr>
                      <w:rFonts w:hint="eastAsia" w:ascii="Times New Roman" w:hAnsi="Times New Roman" w:cs="Times New Roman"/>
                      <w:b/>
                      <w:bCs/>
                    </w:rPr>
                    <w:fldChar w:fldCharType="begin"/>
                  </w:r>
                  <w:r>
                    <w:rPr>
                      <w:rFonts w:hint="eastAsia" w:ascii="Times New Roman" w:hAnsi="Times New Roman" w:cs="Times New Roman"/>
                      <w:b/>
                      <w:bCs/>
                    </w:rPr>
                    <w:instrText xml:space="preserve"> = 3 \* ROMAN \* MERGEFORMAT </w:instrText>
                  </w:r>
                  <w:r>
                    <w:rPr>
                      <w:rFonts w:hint="eastAsia" w:ascii="Times New Roman" w:hAnsi="Times New Roman" w:cs="Times New Roman"/>
                      <w:b/>
                      <w:bCs/>
                    </w:rPr>
                    <w:fldChar w:fldCharType="separate"/>
                  </w:r>
                  <w:r>
                    <w:rPr>
                      <w:rFonts w:hint="default" w:ascii="Times New Roman" w:hAnsi="Times New Roman" w:cs="Times New Roman"/>
                      <w:b/>
                      <w:bCs/>
                    </w:rPr>
                    <w:t>III</w:t>
                  </w:r>
                  <w:r>
                    <w:rPr>
                      <w:rFonts w:hint="eastAsia" w:ascii="Times New Roman" w:hAnsi="Times New Roman" w:cs="Times New Roman"/>
                      <w:b/>
                      <w:bCs/>
                    </w:rPr>
                    <w:fldChar w:fldCharType="end"/>
                  </w:r>
                  <w:r>
                    <w:rPr>
                      <w:rFonts w:hint="default" w:ascii="Times New Roman" w:hAnsi="Times New Roman" w:cs="Times New Roman"/>
                      <w:b/>
                      <w:bCs/>
                    </w:rPr>
                    <w:t>类</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w:t>
                  </w:r>
                </w:p>
              </w:tc>
              <w:tc>
                <w:tcPr>
                  <w:tcW w:w="200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pH</w:t>
                  </w:r>
                </w:p>
              </w:tc>
              <w:tc>
                <w:tcPr>
                  <w:tcW w:w="474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6-9</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w:t>
                  </w:r>
                </w:p>
              </w:tc>
              <w:tc>
                <w:tcPr>
                  <w:tcW w:w="200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vertAlign w:val="subscript"/>
                    </w:rPr>
                    <w:t>Cr</w:t>
                  </w:r>
                </w:p>
              </w:tc>
              <w:tc>
                <w:tcPr>
                  <w:tcW w:w="474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20</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3</w:t>
                  </w:r>
                </w:p>
              </w:tc>
              <w:tc>
                <w:tcPr>
                  <w:tcW w:w="200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BOD</w:t>
                  </w:r>
                  <w:r>
                    <w:rPr>
                      <w:rFonts w:hint="eastAsia" w:ascii="Times New Roman" w:hAnsi="Times New Roman" w:cs="Times New Roman"/>
                      <w:vertAlign w:val="subscript"/>
                      <w:lang w:val="en-US" w:eastAsia="zh-CN"/>
                    </w:rPr>
                    <w:t>5</w:t>
                  </w:r>
                </w:p>
              </w:tc>
              <w:tc>
                <w:tcPr>
                  <w:tcW w:w="474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4</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4</w:t>
                  </w:r>
                </w:p>
              </w:tc>
              <w:tc>
                <w:tcPr>
                  <w:tcW w:w="200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474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1.0</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5</w:t>
                  </w:r>
                </w:p>
              </w:tc>
              <w:tc>
                <w:tcPr>
                  <w:tcW w:w="200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TP</w:t>
                  </w:r>
                </w:p>
              </w:tc>
              <w:tc>
                <w:tcPr>
                  <w:tcW w:w="474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0.2</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6</w:t>
                  </w:r>
                </w:p>
              </w:tc>
              <w:tc>
                <w:tcPr>
                  <w:tcW w:w="200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石油类</w:t>
                  </w:r>
                </w:p>
              </w:tc>
              <w:tc>
                <w:tcPr>
                  <w:tcW w:w="474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w:t>
                  </w:r>
                  <w:r>
                    <w:rPr>
                      <w:rFonts w:hint="eastAsia" w:ascii="Times New Roman" w:hAnsi="Times New Roman" w:cs="Times New Roman"/>
                      <w:lang w:val="en-US" w:eastAsia="zh-CN"/>
                    </w:rPr>
                    <w:t>0</w:t>
                  </w:r>
                  <w:r>
                    <w:rPr>
                      <w:rFonts w:hint="default" w:ascii="Times New Roman" w:hAnsi="Times New Roman" w:cs="Times New Roman"/>
                    </w:rPr>
                    <w:t>5</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19"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7</w:t>
                  </w:r>
                </w:p>
              </w:tc>
              <w:tc>
                <w:tcPr>
                  <w:tcW w:w="200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阴离子表面活性剂</w:t>
                  </w:r>
                </w:p>
              </w:tc>
              <w:tc>
                <w:tcPr>
                  <w:tcW w:w="4740"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0.2</w:t>
                  </w:r>
                </w:p>
              </w:tc>
              <w:tc>
                <w:tcPr>
                  <w:tcW w:w="1058"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w:t>
                  </w:r>
                </w:p>
              </w:tc>
            </w:tr>
          </w:tbl>
          <w:p>
            <w:pPr>
              <w:pStyle w:val="10"/>
              <w:spacing w:line="360" w:lineRule="auto"/>
              <w:ind w:firstLine="482" w:firstLineChars="200"/>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3、</w:t>
            </w:r>
            <w:r>
              <w:rPr>
                <w:rFonts w:hint="default" w:ascii="Times New Roman" w:hAnsi="Times New Roman" w:cs="Times New Roman"/>
                <w:b/>
                <w:bCs/>
                <w:sz w:val="24"/>
                <w:lang w:val="en-US" w:eastAsia="zh-CN"/>
              </w:rPr>
              <w:t>评价方法</w:t>
            </w:r>
          </w:p>
          <w:p>
            <w:pPr>
              <w:pStyle w:val="1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评价方法采用单项水质指数评价法，水质参数的标准指数大于1，表明该水质参数超过了规定的水质标准，水质参数的标准指数小于1，表明该水质参数符合规定的水质标准。单项水质指数评价计算公式如下：</w:t>
            </w:r>
          </w:p>
          <w:p>
            <w:pPr>
              <w:pStyle w:val="1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（1）一般水质因子</w:t>
            </w:r>
          </w:p>
          <w:p>
            <w:pPr>
              <w:pStyle w:val="1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object>
                <v:shape id="_x0000_i1025" o:spt="75" type="#_x0000_t75" style="height:22.35pt;width:78.65pt;" o:ole="t" fillcolor="#6D6D6D" filled="f" o:preferrelative="t" stroked="f" coordsize="21600,21600">
                  <v:path/>
                  <v:fill on="f" alignshape="1" focussize="0,0"/>
                  <v:stroke on="f"/>
                  <v:imagedata r:id="rId10" o:title=""/>
                  <o:lock v:ext="edit" aspectratio="t"/>
                  <w10:wrap type="none"/>
                  <w10:anchorlock/>
                </v:shape>
                <o:OLEObject Type="Embed" ProgID="Equation.3" ShapeID="_x0000_i1025" DrawAspect="Content" ObjectID="_1468075725" r:id="rId9">
                  <o:LockedField>false</o:LockedField>
                </o:OLEObject>
              </w:object>
            </w:r>
          </w:p>
          <w:p>
            <w:pPr>
              <w:pStyle w:val="1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式中：S</w:t>
            </w:r>
            <w:r>
              <w:rPr>
                <w:rFonts w:hint="default" w:ascii="Times New Roman" w:hAnsi="Times New Roman" w:cs="Times New Roman"/>
                <w:sz w:val="24"/>
                <w:vertAlign w:val="subscript"/>
              </w:rPr>
              <w:t>i</w:t>
            </w:r>
            <w:r>
              <w:rPr>
                <w:rFonts w:hint="default" w:ascii="Times New Roman" w:hAnsi="Times New Roman" w:cs="Times New Roman"/>
                <w:sz w:val="24"/>
              </w:rPr>
              <w:t>，j——单项水质因子在j点的标准指数；</w:t>
            </w:r>
          </w:p>
          <w:p>
            <w:pPr>
              <w:pStyle w:val="1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w:t>
            </w:r>
            <w:r>
              <w:rPr>
                <w:rFonts w:hint="default" w:ascii="Times New Roman" w:hAnsi="Times New Roman" w:cs="Times New Roman"/>
                <w:sz w:val="24"/>
                <w:vertAlign w:val="subscript"/>
              </w:rPr>
              <w:t>i</w:t>
            </w:r>
            <w:r>
              <w:rPr>
                <w:rFonts w:hint="default" w:ascii="Times New Roman" w:hAnsi="Times New Roman" w:cs="Times New Roman"/>
                <w:sz w:val="24"/>
              </w:rPr>
              <w:t>，j——（i，j）点的评价因子水质因子水质浓度或水质因子在i监测点（或预测点）j的水质浓度，mg/L；</w:t>
            </w:r>
          </w:p>
          <w:p>
            <w:pPr>
              <w:pStyle w:val="21"/>
              <w:spacing w:line="360" w:lineRule="auto"/>
              <w:ind w:firstLine="480" w:firstLineChars="200"/>
              <w:outlineLvl w:val="9"/>
              <w:rPr>
                <w:rFonts w:hint="default" w:ascii="Times New Roman" w:hAnsi="Times New Roman" w:cs="Times New Roman"/>
                <w:sz w:val="24"/>
              </w:rPr>
            </w:pPr>
            <w:r>
              <w:rPr>
                <w:rFonts w:hint="default" w:ascii="Times New Roman" w:hAnsi="Times New Roman" w:cs="Times New Roman"/>
                <w:sz w:val="24"/>
              </w:rPr>
              <w:t>C</w:t>
            </w:r>
            <w:r>
              <w:rPr>
                <w:rFonts w:hint="default" w:ascii="Times New Roman" w:hAnsi="Times New Roman" w:cs="Times New Roman"/>
                <w:sz w:val="24"/>
                <w:vertAlign w:val="subscript"/>
              </w:rPr>
              <w:t>si</w:t>
            </w:r>
            <w:r>
              <w:rPr>
                <w:rFonts w:hint="default" w:ascii="Times New Roman" w:hAnsi="Times New Roman" w:cs="Times New Roman"/>
                <w:sz w:val="24"/>
              </w:rPr>
              <w:t>——水质评价因子i的水质评价标准限值，mg/L。</w:t>
            </w:r>
          </w:p>
          <w:p>
            <w:pPr>
              <w:pStyle w:val="21"/>
              <w:spacing w:line="360" w:lineRule="auto"/>
              <w:ind w:firstLine="480" w:firstLineChars="200"/>
              <w:outlineLvl w:val="9"/>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w:t>
            </w:r>
            <w:r>
              <w:rPr>
                <w:rFonts w:hint="default" w:ascii="Times New Roman" w:hAnsi="Times New Roman" w:cs="Times New Roman"/>
                <w:sz w:val="24"/>
              </w:rPr>
              <w:t>特殊水质因子</w:t>
            </w:r>
          </w:p>
          <w:p>
            <w:pPr>
              <w:autoSpaceDE w:val="0"/>
              <w:autoSpaceDN w:val="0"/>
              <w:adjustRightInd w:val="0"/>
              <w:snapToGrid w:val="0"/>
              <w:spacing w:line="360" w:lineRule="auto"/>
              <w:ind w:firstLine="480" w:firstLineChars="200"/>
              <w:jc w:val="left"/>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pH的标准指数</w:t>
            </w:r>
          </w:p>
          <w:p>
            <w:pPr>
              <w:autoSpaceDE w:val="0"/>
              <w:autoSpaceDN w:val="0"/>
              <w:adjustRightInd w:val="0"/>
              <w:snapToGrid w:val="0"/>
              <w:spacing w:line="360" w:lineRule="auto"/>
              <w:jc w:val="center"/>
              <w:rPr>
                <w:rFonts w:hint="default" w:ascii="Times New Roman" w:hAnsi="Times New Roman" w:cs="Times New Roman"/>
                <w:sz w:val="24"/>
              </w:rPr>
            </w:pPr>
            <w:r>
              <w:rPr>
                <w:rFonts w:hint="default" w:ascii="Times New Roman" w:hAnsi="Times New Roman" w:cs="Times New Roman"/>
                <w:position w:val="-66"/>
                <w:sz w:val="24"/>
              </w:rPr>
              <w:object>
                <v:shape id="_x0000_i1026" o:spt="75" type="#_x0000_t75" style="height:75.6pt;width:176.9pt;" o:ole="t" fillcolor="#6D6D6D" filled="f" o:preferrelative="t" stroked="f" coordsize="21600,21600">
                  <v:path/>
                  <v:fill on="f" alignshape="1" focussize="0,0"/>
                  <v:stroke on="f"/>
                  <v:imagedata r:id="rId12" o:title=""/>
                  <o:lock v:ext="edit" aspectratio="t"/>
                  <w10:wrap type="none"/>
                  <w10:anchorlock/>
                </v:shape>
                <o:OLEObject Type="Embed" ProgID="Equation.3" ShapeID="_x0000_i1026" DrawAspect="Content" ObjectID="_1468075726" r:id="rId11">
                  <o:LockedField>false</o:LockedField>
                </o:OLEObject>
              </w:object>
            </w:r>
          </w:p>
          <w:p>
            <w:pPr>
              <w:autoSpaceDE w:val="0"/>
              <w:autoSpaceDN w:val="0"/>
              <w:adjustRightInd w:val="0"/>
              <w:snapToGrid w:val="0"/>
              <w:spacing w:line="360" w:lineRule="auto"/>
              <w:jc w:val="left"/>
              <w:rPr>
                <w:rFonts w:hint="default" w:ascii="Times New Roman" w:hAnsi="Times New Roman" w:cs="Times New Roman"/>
                <w:sz w:val="24"/>
              </w:rPr>
            </w:pPr>
            <w:r>
              <w:rPr>
                <w:rFonts w:hint="default" w:ascii="Times New Roman" w:hAnsi="Times New Roman" w:cs="Times New Roman"/>
                <w:sz w:val="24"/>
              </w:rPr>
              <w:t xml:space="preserve">    式中：</w:t>
            </w:r>
            <w:r>
              <w:rPr>
                <w:rFonts w:hint="default" w:ascii="Times New Roman" w:hAnsi="Times New Roman" w:cs="Times New Roman"/>
                <w:i/>
                <w:sz w:val="24"/>
              </w:rPr>
              <w:t>C</w:t>
            </w:r>
            <w:r>
              <w:rPr>
                <w:rFonts w:hint="default" w:ascii="Times New Roman" w:hAnsi="Times New Roman" w:cs="Times New Roman"/>
                <w:i/>
                <w:sz w:val="24"/>
                <w:vertAlign w:val="subscript"/>
              </w:rPr>
              <w:t>i,,j</w:t>
            </w:r>
            <w:r>
              <w:rPr>
                <w:rFonts w:hint="default" w:ascii="Times New Roman" w:hAnsi="Times New Roman" w:cs="Times New Roman"/>
                <w:i/>
                <w:sz w:val="24"/>
              </w:rPr>
              <w:t xml:space="preserve"> </w:t>
            </w:r>
            <w:r>
              <w:rPr>
                <w:rFonts w:hint="default" w:ascii="Times New Roman" w:hAnsi="Times New Roman" w:cs="Times New Roman"/>
                <w:sz w:val="24"/>
              </w:rPr>
              <w:t>――水质参数</w:t>
            </w:r>
            <w:r>
              <w:rPr>
                <w:rFonts w:hint="default" w:ascii="Times New Roman" w:hAnsi="Times New Roman" w:cs="Times New Roman"/>
                <w:i/>
                <w:sz w:val="24"/>
              </w:rPr>
              <w:t>i</w:t>
            </w:r>
            <w:r>
              <w:rPr>
                <w:rFonts w:hint="default" w:ascii="Times New Roman" w:hAnsi="Times New Roman" w:cs="Times New Roman"/>
                <w:sz w:val="24"/>
              </w:rPr>
              <w:t>在监测j点的浓度值（mg/L）；</w:t>
            </w:r>
          </w:p>
          <w:p>
            <w:pPr>
              <w:autoSpaceDE w:val="0"/>
              <w:autoSpaceDN w:val="0"/>
              <w:adjustRightInd w:val="0"/>
              <w:snapToGrid w:val="0"/>
              <w:spacing w:line="360" w:lineRule="auto"/>
              <w:jc w:val="lef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i/>
                <w:sz w:val="24"/>
              </w:rPr>
              <w:t>C</w:t>
            </w:r>
            <w:r>
              <w:rPr>
                <w:rFonts w:hint="default" w:ascii="Times New Roman" w:hAnsi="Times New Roman" w:cs="Times New Roman"/>
                <w:i/>
                <w:sz w:val="24"/>
                <w:vertAlign w:val="subscript"/>
              </w:rPr>
              <w:t>si</w:t>
            </w:r>
            <w:r>
              <w:rPr>
                <w:rFonts w:hint="default" w:ascii="Times New Roman" w:hAnsi="Times New Roman" w:cs="Times New Roman"/>
                <w:sz w:val="24"/>
              </w:rPr>
              <w:t xml:space="preserve"> ――水质参数</w:t>
            </w:r>
            <w:r>
              <w:rPr>
                <w:rFonts w:hint="default" w:ascii="Times New Roman" w:hAnsi="Times New Roman" w:cs="Times New Roman"/>
                <w:i/>
                <w:sz w:val="24"/>
              </w:rPr>
              <w:t>i</w:t>
            </w:r>
            <w:r>
              <w:rPr>
                <w:rFonts w:hint="default" w:ascii="Times New Roman" w:hAnsi="Times New Roman" w:cs="Times New Roman"/>
                <w:sz w:val="24"/>
              </w:rPr>
              <w:t>地表水水质标准值（mg/L）；</w:t>
            </w:r>
          </w:p>
          <w:p>
            <w:pPr>
              <w:autoSpaceDE w:val="0"/>
              <w:autoSpaceDN w:val="0"/>
              <w:adjustRightInd w:val="0"/>
              <w:snapToGrid w:val="0"/>
              <w:spacing w:line="360" w:lineRule="auto"/>
              <w:jc w:val="lef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i/>
                <w:sz w:val="24"/>
              </w:rPr>
              <w:t>S</w:t>
            </w:r>
            <w:r>
              <w:rPr>
                <w:rFonts w:hint="default" w:ascii="Times New Roman" w:hAnsi="Times New Roman" w:cs="Times New Roman"/>
                <w:i/>
                <w:sz w:val="24"/>
                <w:vertAlign w:val="subscript"/>
              </w:rPr>
              <w:t>pH,j</w:t>
            </w:r>
            <w:r>
              <w:rPr>
                <w:rFonts w:hint="default" w:ascii="Times New Roman" w:hAnsi="Times New Roman" w:cs="Times New Roman"/>
                <w:i/>
                <w:sz w:val="24"/>
              </w:rPr>
              <w:t xml:space="preserve"> </w:t>
            </w:r>
            <w:r>
              <w:rPr>
                <w:rFonts w:hint="default" w:ascii="Times New Roman" w:hAnsi="Times New Roman" w:cs="Times New Roman"/>
                <w:sz w:val="24"/>
              </w:rPr>
              <w:t>――水质参数pH在</w:t>
            </w:r>
            <w:r>
              <w:rPr>
                <w:rFonts w:hint="default" w:ascii="Times New Roman" w:hAnsi="Times New Roman" w:cs="Times New Roman"/>
                <w:i/>
                <w:sz w:val="24"/>
              </w:rPr>
              <w:t>j</w:t>
            </w:r>
            <w:r>
              <w:rPr>
                <w:rFonts w:hint="default" w:ascii="Times New Roman" w:hAnsi="Times New Roman" w:cs="Times New Roman"/>
                <w:sz w:val="24"/>
              </w:rPr>
              <w:t>点的标准指数；</w:t>
            </w:r>
          </w:p>
          <w:p>
            <w:pPr>
              <w:autoSpaceDE w:val="0"/>
              <w:autoSpaceDN w:val="0"/>
              <w:adjustRightInd w:val="0"/>
              <w:snapToGrid w:val="0"/>
              <w:spacing w:line="360" w:lineRule="auto"/>
              <w:jc w:val="lef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i/>
                <w:sz w:val="24"/>
              </w:rPr>
              <w:t>pH</w:t>
            </w:r>
            <w:r>
              <w:rPr>
                <w:rFonts w:hint="default" w:ascii="Times New Roman" w:hAnsi="Times New Roman" w:cs="Times New Roman"/>
                <w:i/>
                <w:sz w:val="24"/>
                <w:vertAlign w:val="subscript"/>
              </w:rPr>
              <w:t>j</w:t>
            </w:r>
            <w:r>
              <w:rPr>
                <w:rFonts w:hint="default" w:ascii="Times New Roman" w:hAnsi="Times New Roman" w:cs="Times New Roman"/>
                <w:i/>
                <w:sz w:val="24"/>
              </w:rPr>
              <w:t xml:space="preserve"> </w:t>
            </w:r>
            <w:r>
              <w:rPr>
                <w:rFonts w:hint="default" w:ascii="Times New Roman" w:hAnsi="Times New Roman" w:cs="Times New Roman"/>
                <w:sz w:val="24"/>
              </w:rPr>
              <w:t>――</w:t>
            </w:r>
            <w:r>
              <w:rPr>
                <w:rFonts w:hint="default" w:ascii="Times New Roman" w:hAnsi="Times New Roman" w:cs="Times New Roman"/>
                <w:i/>
                <w:sz w:val="24"/>
              </w:rPr>
              <w:t>j</w:t>
            </w:r>
            <w:r>
              <w:rPr>
                <w:rFonts w:hint="default" w:ascii="Times New Roman" w:hAnsi="Times New Roman" w:cs="Times New Roman"/>
                <w:sz w:val="24"/>
              </w:rPr>
              <w:t>点的pH值；</w:t>
            </w:r>
          </w:p>
          <w:p>
            <w:pPr>
              <w:autoSpaceDE w:val="0"/>
              <w:autoSpaceDN w:val="0"/>
              <w:adjustRightInd w:val="0"/>
              <w:snapToGrid w:val="0"/>
              <w:spacing w:line="360" w:lineRule="auto"/>
              <w:jc w:val="lef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i/>
                <w:sz w:val="24"/>
              </w:rPr>
              <w:t>pH</w:t>
            </w:r>
            <w:r>
              <w:rPr>
                <w:rFonts w:hint="default" w:ascii="Times New Roman" w:hAnsi="Times New Roman" w:cs="Times New Roman"/>
                <w:i/>
                <w:sz w:val="24"/>
                <w:vertAlign w:val="subscript"/>
              </w:rPr>
              <w:t>sd</w:t>
            </w:r>
            <w:r>
              <w:rPr>
                <w:rFonts w:hint="default" w:ascii="Times New Roman" w:hAnsi="Times New Roman" w:cs="Times New Roman"/>
                <w:sz w:val="24"/>
              </w:rPr>
              <w:t>――地表水水质标准中规定的pH值下限；</w:t>
            </w:r>
          </w:p>
          <w:p>
            <w:pPr>
              <w:autoSpaceDE w:val="0"/>
              <w:autoSpaceDN w:val="0"/>
              <w:adjustRightInd w:val="0"/>
              <w:snapToGrid w:val="0"/>
              <w:spacing w:line="360" w:lineRule="auto"/>
              <w:jc w:val="lef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i/>
                <w:sz w:val="24"/>
              </w:rPr>
              <w:t>pH</w:t>
            </w:r>
            <w:r>
              <w:rPr>
                <w:rFonts w:hint="default" w:ascii="Times New Roman" w:hAnsi="Times New Roman" w:cs="Times New Roman"/>
                <w:i/>
                <w:sz w:val="24"/>
                <w:vertAlign w:val="subscript"/>
              </w:rPr>
              <w:t>su</w:t>
            </w:r>
            <w:r>
              <w:rPr>
                <w:rFonts w:hint="default" w:ascii="Times New Roman" w:hAnsi="Times New Roman" w:cs="Times New Roman"/>
                <w:sz w:val="24"/>
              </w:rPr>
              <w:t>――地表水水质标准中规定的pH值上限。</w:t>
            </w:r>
          </w:p>
          <w:p>
            <w:pPr>
              <w:pStyle w:val="38"/>
              <w:ind w:firstLine="482" w:firstLineChars="200"/>
              <w:outlineLvl w:val="9"/>
              <w:rPr>
                <w:rFonts w:hint="default" w:ascii="Times New Roman" w:hAnsi="Times New Roman" w:cs="Times New Roman"/>
                <w:b/>
                <w:bCs/>
              </w:rPr>
            </w:pPr>
            <w:r>
              <w:rPr>
                <w:rFonts w:hint="eastAsia" w:ascii="Times New Roman" w:hAnsi="Times New Roman" w:cs="Times New Roman"/>
                <w:b/>
                <w:bCs/>
                <w:lang w:val="en-US" w:eastAsia="zh-CN"/>
              </w:rPr>
              <w:t>4、</w:t>
            </w:r>
            <w:r>
              <w:rPr>
                <w:rFonts w:hint="default" w:ascii="Times New Roman" w:hAnsi="Times New Roman" w:cs="Times New Roman"/>
                <w:b/>
                <w:bCs/>
              </w:rPr>
              <w:t>监测结果与评价</w:t>
            </w:r>
          </w:p>
          <w:p>
            <w:pPr>
              <w:pStyle w:val="1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项目所在区域地表水监测数据及评价结果见表</w:t>
            </w:r>
            <w:r>
              <w:rPr>
                <w:rFonts w:hint="eastAsia" w:ascii="Times New Roman" w:hAnsi="Times New Roman" w:cs="Times New Roman"/>
                <w:bCs/>
                <w:sz w:val="24"/>
                <w:lang w:val="en-US" w:eastAsia="zh-CN"/>
              </w:rPr>
              <w:t>3-6</w:t>
            </w:r>
            <w:r>
              <w:rPr>
                <w:rFonts w:hint="default" w:ascii="Times New Roman" w:hAnsi="Times New Roman" w:cs="Times New Roman"/>
                <w:bCs/>
                <w:sz w:val="24"/>
              </w:rPr>
              <w:t>。</w:t>
            </w:r>
          </w:p>
          <w:p>
            <w:pPr>
              <w:widowControl/>
              <w:autoSpaceDE w:val="0"/>
              <w:autoSpaceDN w:val="0"/>
              <w:spacing w:line="360" w:lineRule="auto"/>
              <w:ind w:firstLine="422" w:firstLineChars="200"/>
              <w:jc w:val="center"/>
              <w:rPr>
                <w:rFonts w:hint="default" w:ascii="Times New Roman" w:hAnsi="Times New Roman" w:cs="Times New Roman"/>
                <w:b/>
                <w:kern w:val="0"/>
                <w:szCs w:val="21"/>
                <w:lang w:val="en-US" w:eastAsia="zh-CN"/>
              </w:rPr>
            </w:pPr>
            <w:r>
              <w:rPr>
                <w:rFonts w:hint="default" w:ascii="Times New Roman" w:hAnsi="Times New Roman" w:cs="Times New Roman"/>
                <w:b/>
                <w:kern w:val="0"/>
                <w:szCs w:val="21"/>
                <w:lang w:val="en-US" w:eastAsia="zh-CN"/>
              </w:rPr>
              <w:t>表</w:t>
            </w:r>
            <w:r>
              <w:rPr>
                <w:rFonts w:hint="eastAsia" w:cs="Times New Roman"/>
                <w:b/>
                <w:kern w:val="0"/>
                <w:szCs w:val="21"/>
                <w:lang w:val="en-US" w:eastAsia="zh-CN"/>
              </w:rPr>
              <w:t>3-6</w:t>
            </w:r>
            <w:r>
              <w:rPr>
                <w:rFonts w:hint="eastAsia" w:ascii="Times New Roman" w:hAnsi="Times New Roman" w:cs="Times New Roman"/>
                <w:b/>
                <w:kern w:val="0"/>
                <w:szCs w:val="21"/>
                <w:lang w:val="en-US" w:eastAsia="zh-CN"/>
              </w:rPr>
              <w:t xml:space="preserve"> </w:t>
            </w:r>
            <w:r>
              <w:rPr>
                <w:rFonts w:hint="default" w:ascii="Times New Roman" w:hAnsi="Times New Roman" w:cs="Times New Roman"/>
                <w:b/>
                <w:kern w:val="0"/>
                <w:szCs w:val="21"/>
                <w:lang w:val="en-US" w:eastAsia="zh-CN"/>
              </w:rPr>
              <w:t xml:space="preserve"> 地表水水质监测统计表   单位：mg/L，pH无量纲</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22"/>
              <w:gridCol w:w="1725"/>
              <w:gridCol w:w="1723"/>
              <w:gridCol w:w="1723"/>
              <w:gridCol w:w="17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tcBorders>
                    <w:tl2br w:val="nil"/>
                    <w:tr2bl w:val="nil"/>
                  </w:tcBorders>
                  <w:vAlign w:val="top"/>
                </w:tcPr>
                <w:p>
                  <w:pPr>
                    <w:pStyle w:val="76"/>
                    <w:spacing w:line="240" w:lineRule="auto"/>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监测因子</w:t>
                  </w:r>
                </w:p>
              </w:tc>
              <w:tc>
                <w:tcPr>
                  <w:tcW w:w="1456" w:type="dxa"/>
                  <w:tcBorders>
                    <w:tl2br w:val="nil"/>
                    <w:tr2bl w:val="nil"/>
                  </w:tcBorders>
                  <w:vAlign w:val="top"/>
                </w:tcPr>
                <w:p>
                  <w:pPr>
                    <w:pStyle w:val="76"/>
                    <w:spacing w:line="240" w:lineRule="auto"/>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评价指标</w:t>
                  </w:r>
                </w:p>
              </w:tc>
              <w:tc>
                <w:tcPr>
                  <w:tcW w:w="1455" w:type="dxa"/>
                  <w:tcBorders>
                    <w:tl2br w:val="nil"/>
                    <w:tr2bl w:val="nil"/>
                  </w:tcBorders>
                  <w:vAlign w:val="top"/>
                </w:tcPr>
                <w:p>
                  <w:pPr>
                    <w:pStyle w:val="76"/>
                    <w:spacing w:line="240" w:lineRule="auto"/>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W1</w:t>
                  </w:r>
                </w:p>
              </w:tc>
              <w:tc>
                <w:tcPr>
                  <w:tcW w:w="1455" w:type="dxa"/>
                  <w:tcBorders>
                    <w:tl2br w:val="nil"/>
                    <w:tr2bl w:val="nil"/>
                  </w:tcBorders>
                  <w:vAlign w:val="top"/>
                </w:tcPr>
                <w:p>
                  <w:pPr>
                    <w:pStyle w:val="76"/>
                    <w:spacing w:line="240" w:lineRule="auto"/>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W2</w:t>
                  </w:r>
                </w:p>
              </w:tc>
              <w:tc>
                <w:tcPr>
                  <w:tcW w:w="1455" w:type="dxa"/>
                  <w:tcBorders>
                    <w:tl2br w:val="nil"/>
                    <w:tr2bl w:val="nil"/>
                  </w:tcBorders>
                  <w:vAlign w:val="top"/>
                </w:tcPr>
                <w:p>
                  <w:pPr>
                    <w:pStyle w:val="76"/>
                    <w:spacing w:line="240" w:lineRule="auto"/>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评价标准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pH</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7.58-7.60</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7.33-7.36</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default" w:ascii="Times New Roman" w:hAnsi="Times New Roman" w:cs="Times New Roma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0.29-0.3</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0.165-0.18</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COD</w:t>
                  </w:r>
                  <w:r>
                    <w:rPr>
                      <w:rFonts w:hint="default" w:ascii="Times New Roman" w:hAnsi="Times New Roman" w:cs="Times New Roman"/>
                      <w:vertAlign w:val="subscript"/>
                    </w:rPr>
                    <w:t>Cr</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10ND-15.6</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10ND-16</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default" w:ascii="Times New Roman" w:hAnsi="Times New Roman" w:cs="Times New Roma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0.33-0.52</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0.33-0.53</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BOD</w:t>
                  </w:r>
                  <w:r>
                    <w:rPr>
                      <w:rFonts w:hint="eastAsia" w:ascii="Times New Roman" w:hAnsi="Times New Roman" w:cs="Times New Roman"/>
                      <w:vertAlign w:val="subscript"/>
                      <w:lang w:val="en-US" w:eastAsia="zh-CN"/>
                    </w:rPr>
                    <w:t>5</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2ND-2.40</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2ND-2.6</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eastAsia" w:ascii="Times New Roman" w:hAnsi="Times New Roman" w:cs="Times New Roman"/>
                      <w:lang w:val="en-US" w:eastAsia="zh-C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0.33-0.4</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0.33-0.433</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0.113-0.124</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0.13-0.138</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default" w:ascii="Times New Roman" w:hAnsi="Times New Roman" w:cs="Times New Roma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0.075-0.0827</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0.087-0.092</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TP</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0.129-0.152</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0.14-0.15</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default" w:ascii="Times New Roman" w:hAnsi="Times New Roman" w:cs="Times New Roma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0.43-0.507</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0.47-0.5</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石油类</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0.01ND</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0.017-0.021</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w:t>
                  </w:r>
                  <w:r>
                    <w:rPr>
                      <w:rFonts w:hint="eastAsia" w:ascii="Times New Roman" w:hAnsi="Times New Roman" w:cs="Times New Roman"/>
                      <w:lang w:val="en-US" w:eastAsia="zh-CN"/>
                    </w:rPr>
                    <w:t>0</w:t>
                  </w:r>
                  <w:r>
                    <w:rPr>
                      <w:rFonts w:hint="default" w:ascii="Times New Roman" w:hAnsi="Times New Roman" w:cs="Times New Roma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default" w:ascii="Times New Roman" w:hAnsi="Times New Roman" w:cs="Times New Roma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0.02</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0.034-0.042</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阴离子表面活性剂</w:t>
                  </w: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浓度范围</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0.057-0.059</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0.059-0.065</w:t>
                  </w:r>
                </w:p>
              </w:tc>
              <w:tc>
                <w:tcPr>
                  <w:tcW w:w="1455" w:type="dxa"/>
                  <w:vMerge w:val="restart"/>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4" w:type="dxa"/>
                  <w:vMerge w:val="continue"/>
                  <w:tcBorders>
                    <w:tl2br w:val="nil"/>
                    <w:tr2bl w:val="nil"/>
                  </w:tcBorders>
                  <w:vAlign w:val="center"/>
                </w:tcPr>
                <w:p>
                  <w:pPr>
                    <w:pStyle w:val="76"/>
                    <w:spacing w:line="240" w:lineRule="auto"/>
                    <w:jc w:val="center"/>
                    <w:rPr>
                      <w:rFonts w:hint="eastAsia" w:ascii="Times New Roman" w:hAnsi="Times New Roman" w:cs="Times New Roman"/>
                      <w:lang w:val="en-US" w:eastAsia="zh-CN"/>
                    </w:rPr>
                  </w:pPr>
                </w:p>
              </w:tc>
              <w:tc>
                <w:tcPr>
                  <w:tcW w:w="1456" w:type="dxa"/>
                  <w:tcBorders>
                    <w:tl2br w:val="nil"/>
                    <w:tr2bl w:val="nil"/>
                  </w:tcBorders>
                  <w:vAlign w:val="top"/>
                </w:tcPr>
                <w:p>
                  <w:pPr>
                    <w:pStyle w:val="7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标准指数</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0.19-0.197</w:t>
                  </w:r>
                </w:p>
              </w:tc>
              <w:tc>
                <w:tcPr>
                  <w:tcW w:w="1455" w:type="dxa"/>
                  <w:tcBorders>
                    <w:tl2br w:val="nil"/>
                    <w:tr2bl w:val="nil"/>
                  </w:tcBorders>
                  <w:vAlign w:val="center"/>
                </w:tcPr>
                <w:p>
                  <w:pPr>
                    <w:pStyle w:val="76"/>
                    <w:spacing w:line="240" w:lineRule="auto"/>
                    <w:jc w:val="center"/>
                    <w:rPr>
                      <w:rFonts w:hint="default" w:ascii="Times New Roman" w:hAnsi="Times New Roman" w:cs="Times New Roman"/>
                      <w:lang w:val="en-US" w:eastAsia="zh-CN"/>
                    </w:rPr>
                  </w:pPr>
                  <w:r>
                    <w:rPr>
                      <w:rFonts w:hint="default" w:ascii="Times New Roman" w:hAnsi="Times New Roman" w:cs="Times New Roman"/>
                    </w:rPr>
                    <w:t>0.197-0.217</w:t>
                  </w:r>
                </w:p>
              </w:tc>
              <w:tc>
                <w:tcPr>
                  <w:tcW w:w="1455" w:type="dxa"/>
                  <w:vMerge w:val="continue"/>
                  <w:tcBorders>
                    <w:tl2br w:val="nil"/>
                    <w:tr2bl w:val="nil"/>
                  </w:tcBorders>
                  <w:vAlign w:val="top"/>
                </w:tcPr>
                <w:p>
                  <w:pPr>
                    <w:pStyle w:val="76"/>
                    <w:spacing w:line="240" w:lineRule="auto"/>
                    <w:jc w:val="center"/>
                    <w:rPr>
                      <w:rFonts w:hint="default" w:ascii="Times New Roman" w:hAnsi="Times New Roman" w:cs="Times New Roman"/>
                      <w:lang w:val="en-US" w:eastAsia="zh-CN"/>
                    </w:rPr>
                  </w:pPr>
                </w:p>
              </w:tc>
            </w:tr>
          </w:tbl>
          <w:p>
            <w:pPr>
              <w:pStyle w:val="1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根据表</w:t>
            </w:r>
            <w:r>
              <w:rPr>
                <w:rFonts w:hint="eastAsia" w:ascii="Times New Roman" w:hAnsi="Times New Roman" w:cs="Times New Roman"/>
                <w:sz w:val="24"/>
                <w:szCs w:val="24"/>
                <w:lang w:val="en-US" w:eastAsia="zh-CN"/>
              </w:rPr>
              <w:t>3-6，澧水各监测断面</w:t>
            </w:r>
            <w:r>
              <w:rPr>
                <w:rFonts w:hint="default" w:ascii="Times New Roman" w:hAnsi="Times New Roman" w:cs="Times New Roman"/>
                <w:sz w:val="24"/>
                <w:szCs w:val="24"/>
              </w:rPr>
              <w:t>所有监测指标</w:t>
            </w:r>
            <w:r>
              <w:rPr>
                <w:rFonts w:hint="eastAsia" w:ascii="Times New Roman" w:hAnsi="Times New Roman" w:cs="Times New Roman"/>
                <w:sz w:val="24"/>
                <w:szCs w:val="24"/>
                <w:lang w:eastAsia="zh-CN"/>
              </w:rPr>
              <w:t>均</w:t>
            </w:r>
            <w:r>
              <w:rPr>
                <w:rFonts w:hint="default" w:ascii="Times New Roman" w:hAnsi="Times New Roman" w:cs="Times New Roman"/>
                <w:sz w:val="24"/>
                <w:szCs w:val="24"/>
              </w:rPr>
              <w:t>符合《地表水环境质量标准》（GB3838-2002）表1中的Ⅲ类水质标准要求。</w:t>
            </w:r>
          </w:p>
          <w:p>
            <w:pPr>
              <w:spacing w:line="360" w:lineRule="auto"/>
              <w:ind w:firstLine="482" w:firstLineChars="200"/>
              <w:outlineLvl w:val="9"/>
              <w:rPr>
                <w:rFonts w:hint="default" w:ascii="Times New Roman" w:hAnsi="Times New Roman" w:cs="Times New Roman"/>
                <w:b/>
                <w:bCs/>
                <w:sz w:val="24"/>
                <w:szCs w:val="24"/>
                <w:u w:val="none"/>
                <w:lang w:val="en-US" w:eastAsia="zh-CN"/>
              </w:rPr>
            </w:pPr>
            <w:r>
              <w:rPr>
                <w:rFonts w:hint="eastAsia" w:cs="Times New Roman"/>
                <w:b/>
                <w:bCs/>
                <w:sz w:val="24"/>
                <w:szCs w:val="24"/>
                <w:u w:val="none"/>
                <w:lang w:val="en-US" w:eastAsia="zh-CN"/>
              </w:rPr>
              <w:t>三、</w:t>
            </w:r>
            <w:r>
              <w:rPr>
                <w:rFonts w:hint="default" w:ascii="Times New Roman" w:hAnsi="Times New Roman" w:cs="Times New Roman"/>
                <w:b/>
                <w:bCs/>
                <w:sz w:val="24"/>
                <w:szCs w:val="24"/>
                <w:u w:val="none"/>
                <w:lang w:val="en-US" w:eastAsia="zh-CN"/>
              </w:rPr>
              <w:t>地下水环境质量现状监测及评价</w:t>
            </w:r>
          </w:p>
          <w:p>
            <w:pPr>
              <w:pStyle w:val="38"/>
              <w:ind w:firstLine="482" w:firstLineChars="200"/>
              <w:outlineLvl w:val="9"/>
              <w:rPr>
                <w:rFonts w:hint="default" w:ascii="Times New Roman" w:hAnsi="Times New Roman" w:cs="Times New Roman"/>
                <w:b/>
                <w:bCs/>
                <w:u w:val="none"/>
              </w:rPr>
            </w:pPr>
            <w:r>
              <w:rPr>
                <w:rFonts w:hint="eastAsia" w:ascii="Times New Roman" w:hAnsi="Times New Roman" w:cs="Times New Roman"/>
                <w:b/>
                <w:bCs/>
                <w:u w:val="none"/>
                <w:lang w:val="en-US" w:eastAsia="zh-CN"/>
              </w:rPr>
              <w:t>1、</w:t>
            </w:r>
            <w:r>
              <w:rPr>
                <w:rFonts w:hint="default" w:ascii="Times New Roman" w:hAnsi="Times New Roman" w:cs="Times New Roman"/>
                <w:b/>
                <w:bCs/>
                <w:u w:val="none"/>
              </w:rPr>
              <w:t>监测布点</w:t>
            </w:r>
          </w:p>
          <w:p>
            <w:pPr>
              <w:pStyle w:val="10"/>
              <w:spacing w:line="360" w:lineRule="auto"/>
              <w:ind w:firstLine="480" w:firstLineChars="200"/>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本</w:t>
            </w:r>
            <w:r>
              <w:rPr>
                <w:rFonts w:hint="default" w:ascii="Times New Roman" w:hAnsi="Times New Roman" w:cs="Times New Roman"/>
                <w:sz w:val="24"/>
                <w:szCs w:val="24"/>
                <w:u w:val="none"/>
              </w:rPr>
              <w:t>环评引用</w:t>
            </w:r>
            <w:r>
              <w:rPr>
                <w:rFonts w:hint="eastAsia" w:ascii="Times New Roman" w:hAnsi="Times New Roman"/>
                <w:kern w:val="0"/>
                <w:sz w:val="24"/>
                <w:szCs w:val="24"/>
                <w:u w:val="none"/>
                <w:lang w:val="en-US" w:eastAsia="zh-CN"/>
              </w:rPr>
              <w:t>《湖南科益新生物医药有限公司荷尔蒙、皮质激素系列产品及中间体项目环境影响报告书》</w:t>
            </w:r>
            <w:r>
              <w:rPr>
                <w:rFonts w:hint="default" w:ascii="Times New Roman" w:hAnsi="Times New Roman" w:cs="Times New Roman"/>
                <w:sz w:val="24"/>
                <w:u w:val="none"/>
              </w:rPr>
              <w:t>中的监测数据，</w:t>
            </w:r>
            <w:r>
              <w:rPr>
                <w:rFonts w:hint="default" w:ascii="Times New Roman" w:hAnsi="Times New Roman" w:cs="Times New Roman"/>
                <w:sz w:val="24"/>
                <w:szCs w:val="24"/>
                <w:u w:val="none"/>
              </w:rPr>
              <w:t>监测点位见表</w:t>
            </w:r>
            <w:r>
              <w:rPr>
                <w:rFonts w:hint="eastAsia" w:ascii="Times New Roman" w:hAnsi="Times New Roman" w:cs="Times New Roman"/>
                <w:sz w:val="24"/>
                <w:szCs w:val="24"/>
                <w:u w:val="none"/>
                <w:lang w:val="en-US" w:eastAsia="zh-CN"/>
              </w:rPr>
              <w:t>3-7</w:t>
            </w:r>
            <w:r>
              <w:rPr>
                <w:rFonts w:hint="default" w:ascii="Times New Roman" w:hAnsi="Times New Roman" w:cs="Times New Roman"/>
                <w:sz w:val="24"/>
                <w:szCs w:val="24"/>
                <w:u w:val="none"/>
              </w:rPr>
              <w:t>。</w:t>
            </w:r>
          </w:p>
          <w:p>
            <w:pPr>
              <w:pStyle w:val="10"/>
              <w:spacing w:line="360" w:lineRule="auto"/>
              <w:ind w:firstLine="442" w:firstLineChars="200"/>
              <w:jc w:val="center"/>
              <w:rPr>
                <w:rFonts w:hint="default" w:ascii="Times New Roman" w:hAnsi="Times New Roman" w:cs="Times New Roman"/>
                <w:b/>
                <w:sz w:val="22"/>
                <w:szCs w:val="24"/>
                <w:u w:val="none"/>
              </w:rPr>
            </w:pPr>
          </w:p>
          <w:p>
            <w:pPr>
              <w:pStyle w:val="10"/>
              <w:spacing w:line="360" w:lineRule="auto"/>
              <w:ind w:firstLine="442" w:firstLineChars="200"/>
              <w:jc w:val="center"/>
              <w:rPr>
                <w:rFonts w:hint="default" w:ascii="Times New Roman" w:hAnsi="Times New Roman" w:cs="Times New Roman"/>
                <w:b/>
                <w:sz w:val="22"/>
                <w:szCs w:val="24"/>
                <w:u w:val="none"/>
              </w:rPr>
            </w:pPr>
            <w:r>
              <w:rPr>
                <w:rFonts w:hint="default" w:ascii="Times New Roman" w:hAnsi="Times New Roman" w:cs="Times New Roman"/>
                <w:b/>
                <w:sz w:val="22"/>
                <w:szCs w:val="24"/>
                <w:u w:val="none"/>
              </w:rPr>
              <w:t>表</w:t>
            </w:r>
            <w:r>
              <w:rPr>
                <w:rFonts w:hint="eastAsia" w:ascii="Times New Roman" w:hAnsi="Times New Roman" w:cs="Times New Roman"/>
                <w:b/>
                <w:sz w:val="22"/>
                <w:szCs w:val="24"/>
                <w:u w:val="none"/>
                <w:lang w:val="en-US" w:eastAsia="zh-CN"/>
              </w:rPr>
              <w:t>3-7</w:t>
            </w:r>
            <w:r>
              <w:rPr>
                <w:rFonts w:hint="default" w:ascii="Times New Roman" w:hAnsi="Times New Roman" w:cs="Times New Roman"/>
                <w:b/>
                <w:sz w:val="22"/>
                <w:szCs w:val="24"/>
                <w:u w:val="none"/>
              </w:rPr>
              <w:t xml:space="preserve">  地下水监测点位</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54"/>
              <w:gridCol w:w="56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2992" w:type="dxa"/>
                  <w:tcBorders>
                    <w:tl2br w:val="nil"/>
                    <w:tr2bl w:val="nil"/>
                  </w:tcBorders>
                  <w:vAlign w:val="top"/>
                </w:tcPr>
                <w:p>
                  <w:pPr>
                    <w:adjustRightInd w:val="0"/>
                    <w:snapToGrid w:val="0"/>
                    <w:spacing w:line="240" w:lineRule="auto"/>
                    <w:jc w:val="center"/>
                    <w:rPr>
                      <w:rFonts w:hint="default" w:ascii="Times New Roman" w:hAnsi="Times New Roman" w:cs="Times New Roman"/>
                      <w:b/>
                      <w:kern w:val="0"/>
                      <w:szCs w:val="21"/>
                      <w:u w:val="none"/>
                    </w:rPr>
                  </w:pPr>
                  <w:r>
                    <w:rPr>
                      <w:rFonts w:hint="default" w:ascii="Times New Roman" w:hAnsi="Times New Roman" w:cs="Times New Roman"/>
                      <w:b/>
                      <w:kern w:val="0"/>
                      <w:szCs w:val="21"/>
                      <w:u w:val="none"/>
                    </w:rPr>
                    <w:t>序号</w:t>
                  </w:r>
                </w:p>
              </w:tc>
              <w:tc>
                <w:tcPr>
                  <w:tcW w:w="5739" w:type="dxa"/>
                  <w:tcBorders>
                    <w:tl2br w:val="nil"/>
                    <w:tr2bl w:val="nil"/>
                  </w:tcBorders>
                  <w:vAlign w:val="top"/>
                </w:tcPr>
                <w:p>
                  <w:pPr>
                    <w:adjustRightInd w:val="0"/>
                    <w:snapToGrid w:val="0"/>
                    <w:spacing w:line="240" w:lineRule="auto"/>
                    <w:jc w:val="center"/>
                    <w:rPr>
                      <w:rFonts w:hint="eastAsia" w:ascii="Times New Roman" w:hAnsi="Times New Roman" w:cs="Times New Roman" w:eastAsiaTheme="minorEastAsia"/>
                      <w:b/>
                      <w:kern w:val="0"/>
                      <w:szCs w:val="21"/>
                      <w:u w:val="none"/>
                      <w:lang w:eastAsia="zh-CN"/>
                    </w:rPr>
                  </w:pPr>
                  <w:r>
                    <w:rPr>
                      <w:rFonts w:hint="default" w:ascii="Times New Roman" w:hAnsi="Times New Roman" w:cs="Times New Roman"/>
                      <w:b/>
                      <w:kern w:val="0"/>
                      <w:szCs w:val="21"/>
                      <w:u w:val="none"/>
                    </w:rPr>
                    <w:t>监测井位置</w:t>
                  </w:r>
                  <w:r>
                    <w:rPr>
                      <w:rFonts w:hint="eastAsia" w:ascii="Times New Roman" w:hAnsi="Times New Roman" w:cs="Times New Roman"/>
                      <w:b/>
                      <w:kern w:val="0"/>
                      <w:szCs w:val="21"/>
                      <w:u w:val="none"/>
                      <w:lang w:eastAsia="zh-CN"/>
                    </w:rPr>
                    <w:t>（相对本项目）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92" w:type="dxa"/>
                  <w:tcBorders>
                    <w:tl2br w:val="nil"/>
                    <w:tr2bl w:val="nil"/>
                  </w:tcBorders>
                  <w:vAlign w:val="top"/>
                </w:tcPr>
                <w:p>
                  <w:pPr>
                    <w:adjustRightInd w:val="0"/>
                    <w:snapToGrid w:val="0"/>
                    <w:spacing w:line="240" w:lineRule="auto"/>
                    <w:jc w:val="center"/>
                    <w:rPr>
                      <w:rFonts w:hint="eastAsia" w:ascii="Times New Roman" w:hAnsi="Times New Roman" w:cs="Times New Roman" w:eastAsiaTheme="minorEastAsia"/>
                      <w:kern w:val="0"/>
                      <w:szCs w:val="21"/>
                      <w:u w:val="none"/>
                      <w:lang w:eastAsia="zh-CN"/>
                    </w:rPr>
                  </w:pPr>
                  <w:r>
                    <w:rPr>
                      <w:rFonts w:hint="default" w:ascii="Times New Roman" w:hAnsi="Times New Roman" w:cs="Times New Roman"/>
                      <w:kern w:val="0"/>
                      <w:szCs w:val="21"/>
                      <w:u w:val="none"/>
                    </w:rPr>
                    <w:t>D</w:t>
                  </w:r>
                  <w:r>
                    <w:rPr>
                      <w:rFonts w:hint="eastAsia" w:ascii="Times New Roman" w:hAnsi="Times New Roman" w:cs="Times New Roman"/>
                      <w:kern w:val="0"/>
                      <w:szCs w:val="21"/>
                      <w:u w:val="none"/>
                      <w:lang w:val="en-US" w:eastAsia="zh-CN"/>
                    </w:rPr>
                    <w:t>1</w:t>
                  </w:r>
                </w:p>
              </w:tc>
              <w:tc>
                <w:tcPr>
                  <w:tcW w:w="5739" w:type="dxa"/>
                  <w:tcBorders>
                    <w:tl2br w:val="nil"/>
                    <w:tr2bl w:val="nil"/>
                  </w:tcBorders>
                  <w:vAlign w:val="center"/>
                </w:tcPr>
                <w:p>
                  <w:pPr>
                    <w:adjustRightInd w:val="0"/>
                    <w:snapToGrid w:val="0"/>
                    <w:spacing w:line="240" w:lineRule="auto"/>
                    <w:jc w:val="center"/>
                    <w:rPr>
                      <w:rFonts w:hint="default" w:ascii="Times New Roman" w:hAnsi="Times New Roman" w:cs="Times New Roman"/>
                      <w:szCs w:val="21"/>
                      <w:u w:val="none"/>
                    </w:rPr>
                  </w:pPr>
                  <w:r>
                    <w:rPr>
                      <w:rFonts w:hint="default" w:ascii="Times New Roman" w:hAnsi="Times New Roman" w:cs="Times New Roman"/>
                      <w:szCs w:val="21"/>
                      <w:u w:val="none"/>
                    </w:rPr>
                    <w:t>新洲镇中学附近水井</w:t>
                  </w:r>
                  <w:r>
                    <w:rPr>
                      <w:rFonts w:hint="eastAsia" w:ascii="Times New Roman" w:hAnsi="Times New Roman" w:cs="Times New Roman"/>
                      <w:szCs w:val="21"/>
                      <w:u w:val="none"/>
                      <w:lang w:eastAsia="zh-CN"/>
                    </w:rPr>
                    <w:t>（</w:t>
                  </w:r>
                  <w:r>
                    <w:rPr>
                      <w:rFonts w:hint="default" w:ascii="Times New Roman" w:hAnsi="Times New Roman" w:cs="Times New Roman"/>
                      <w:szCs w:val="21"/>
                      <w:u w:val="none"/>
                    </w:rPr>
                    <w:t>项目</w:t>
                  </w:r>
                  <w:r>
                    <w:rPr>
                      <w:rFonts w:hint="eastAsia" w:ascii="Times New Roman" w:hAnsi="Times New Roman" w:cs="Times New Roman"/>
                      <w:szCs w:val="21"/>
                      <w:u w:val="none"/>
                      <w:lang w:eastAsia="zh-CN"/>
                    </w:rPr>
                    <w:t>东</w:t>
                  </w:r>
                  <w:r>
                    <w:rPr>
                      <w:rFonts w:hint="default" w:ascii="Times New Roman" w:hAnsi="Times New Roman" w:cs="Times New Roman"/>
                      <w:szCs w:val="21"/>
                      <w:u w:val="none"/>
                    </w:rPr>
                    <w:t>南侧</w:t>
                  </w:r>
                  <w:r>
                    <w:rPr>
                      <w:rFonts w:hint="eastAsia" w:ascii="Times New Roman" w:hAnsi="Times New Roman" w:cs="Times New Roman"/>
                      <w:szCs w:val="21"/>
                      <w:u w:val="none"/>
                      <w:lang w:val="en-US" w:eastAsia="zh-CN"/>
                    </w:rPr>
                    <w:t>2.1</w:t>
                  </w:r>
                  <w:r>
                    <w:rPr>
                      <w:rFonts w:hint="default" w:ascii="Times New Roman" w:hAnsi="Times New Roman" w:cs="Times New Roman"/>
                      <w:szCs w:val="21"/>
                      <w:u w:val="none"/>
                    </w:rPr>
                    <w:t>km</w:t>
                  </w:r>
                  <w:r>
                    <w:rPr>
                      <w:rFonts w:hint="eastAsia" w:ascii="Times New Roman" w:hAnsi="Times New Roman" w:cs="Times New Roman"/>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92" w:type="dxa"/>
                  <w:tcBorders>
                    <w:tl2br w:val="nil"/>
                    <w:tr2bl w:val="nil"/>
                  </w:tcBorders>
                  <w:vAlign w:val="top"/>
                </w:tcPr>
                <w:p>
                  <w:pPr>
                    <w:adjustRightInd w:val="0"/>
                    <w:snapToGrid w:val="0"/>
                    <w:spacing w:line="240" w:lineRule="auto"/>
                    <w:jc w:val="center"/>
                    <w:rPr>
                      <w:rFonts w:hint="eastAsia" w:ascii="Times New Roman" w:hAnsi="Times New Roman" w:cs="Times New Roman" w:eastAsiaTheme="minorEastAsia"/>
                      <w:kern w:val="0"/>
                      <w:szCs w:val="21"/>
                      <w:u w:val="none"/>
                      <w:lang w:eastAsia="zh-CN"/>
                    </w:rPr>
                  </w:pPr>
                  <w:r>
                    <w:rPr>
                      <w:rFonts w:hint="default" w:ascii="Times New Roman" w:hAnsi="Times New Roman" w:cs="Times New Roman"/>
                      <w:kern w:val="0"/>
                      <w:szCs w:val="21"/>
                      <w:u w:val="none"/>
                    </w:rPr>
                    <w:t>D</w:t>
                  </w:r>
                  <w:r>
                    <w:rPr>
                      <w:rFonts w:hint="eastAsia" w:ascii="Times New Roman" w:hAnsi="Times New Roman" w:cs="Times New Roman"/>
                      <w:kern w:val="0"/>
                      <w:szCs w:val="21"/>
                      <w:u w:val="none"/>
                      <w:lang w:val="en-US" w:eastAsia="zh-CN"/>
                    </w:rPr>
                    <w:t>2</w:t>
                  </w:r>
                </w:p>
              </w:tc>
              <w:tc>
                <w:tcPr>
                  <w:tcW w:w="5739" w:type="dxa"/>
                  <w:tcBorders>
                    <w:tl2br w:val="nil"/>
                    <w:tr2bl w:val="nil"/>
                  </w:tcBorders>
                  <w:vAlign w:val="center"/>
                </w:tcPr>
                <w:p>
                  <w:pPr>
                    <w:adjustRightInd w:val="0"/>
                    <w:snapToGrid w:val="0"/>
                    <w:spacing w:line="240" w:lineRule="auto"/>
                    <w:jc w:val="center"/>
                    <w:rPr>
                      <w:rFonts w:hint="default" w:ascii="Times New Roman" w:hAnsi="Times New Roman" w:cs="Times New Roman"/>
                      <w:szCs w:val="21"/>
                      <w:u w:val="none"/>
                    </w:rPr>
                  </w:pPr>
                  <w:r>
                    <w:rPr>
                      <w:rFonts w:hint="default" w:ascii="Times New Roman" w:hAnsi="Times New Roman" w:cs="Times New Roman"/>
                      <w:szCs w:val="21"/>
                      <w:u w:val="none"/>
                    </w:rPr>
                    <w:t>董家村</w:t>
                  </w:r>
                  <w:r>
                    <w:rPr>
                      <w:rFonts w:hint="eastAsia" w:ascii="Times New Roman" w:hAnsi="Times New Roman" w:cs="Times New Roman"/>
                      <w:szCs w:val="21"/>
                      <w:u w:val="none"/>
                      <w:lang w:eastAsia="zh-CN"/>
                    </w:rPr>
                    <w:t>（项目</w:t>
                  </w:r>
                  <w:r>
                    <w:rPr>
                      <w:rFonts w:hint="default" w:ascii="Times New Roman" w:hAnsi="Times New Roman" w:cs="Times New Roman"/>
                      <w:szCs w:val="21"/>
                      <w:u w:val="none"/>
                    </w:rPr>
                    <w:t>北面</w:t>
                  </w:r>
                  <w:r>
                    <w:rPr>
                      <w:rFonts w:hint="eastAsia" w:ascii="Times New Roman" w:hAnsi="Times New Roman" w:cs="Times New Roman"/>
                      <w:szCs w:val="21"/>
                      <w:u w:val="none"/>
                      <w:lang w:val="en-US" w:eastAsia="zh-CN"/>
                    </w:rPr>
                    <w:t>2.4</w:t>
                  </w:r>
                  <w:r>
                    <w:rPr>
                      <w:rFonts w:hint="default" w:ascii="Times New Roman" w:hAnsi="Times New Roman" w:cs="Times New Roman"/>
                      <w:szCs w:val="21"/>
                      <w:u w:val="none"/>
                    </w:rPr>
                    <w:t>km</w:t>
                  </w:r>
                  <w:r>
                    <w:rPr>
                      <w:rFonts w:hint="eastAsia" w:ascii="Times New Roman" w:hAnsi="Times New Roman" w:cs="Times New Roman"/>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92" w:type="dxa"/>
                  <w:tcBorders>
                    <w:tl2br w:val="nil"/>
                    <w:tr2bl w:val="nil"/>
                  </w:tcBorders>
                  <w:vAlign w:val="top"/>
                </w:tcPr>
                <w:p>
                  <w:pPr>
                    <w:adjustRightInd w:val="0"/>
                    <w:snapToGrid w:val="0"/>
                    <w:spacing w:line="240" w:lineRule="auto"/>
                    <w:jc w:val="center"/>
                    <w:rPr>
                      <w:rFonts w:hint="eastAsia" w:ascii="Times New Roman" w:hAnsi="Times New Roman" w:cs="Times New Roman" w:eastAsiaTheme="minorEastAsia"/>
                      <w:kern w:val="0"/>
                      <w:szCs w:val="21"/>
                      <w:u w:val="none"/>
                      <w:lang w:val="en-US" w:eastAsia="zh-CN"/>
                    </w:rPr>
                  </w:pPr>
                  <w:r>
                    <w:rPr>
                      <w:rFonts w:hint="eastAsia" w:ascii="Times New Roman" w:hAnsi="Times New Roman" w:cs="Times New Roman"/>
                      <w:kern w:val="0"/>
                      <w:szCs w:val="21"/>
                      <w:u w:val="none"/>
                      <w:lang w:val="en-US" w:eastAsia="zh-CN"/>
                    </w:rPr>
                    <w:t>D3</w:t>
                  </w:r>
                </w:p>
              </w:tc>
              <w:tc>
                <w:tcPr>
                  <w:tcW w:w="5739"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szCs w:val="21"/>
                      <w:u w:val="none"/>
                      <w:lang w:eastAsia="zh-CN"/>
                    </w:rPr>
                  </w:pPr>
                  <w:r>
                    <w:rPr>
                      <w:rFonts w:hint="default" w:ascii="Times New Roman" w:hAnsi="Times New Roman" w:cs="Times New Roman"/>
                      <w:szCs w:val="21"/>
                      <w:u w:val="none"/>
                    </w:rPr>
                    <w:t>关桥村</w:t>
                  </w:r>
                  <w:r>
                    <w:rPr>
                      <w:rFonts w:hint="eastAsia" w:ascii="Times New Roman" w:hAnsi="Times New Roman" w:cs="Times New Roman"/>
                      <w:szCs w:val="21"/>
                      <w:u w:val="none"/>
                      <w:lang w:eastAsia="zh-CN"/>
                    </w:rPr>
                    <w:t>（项目西侧</w:t>
                  </w:r>
                  <w:r>
                    <w:rPr>
                      <w:rFonts w:hint="eastAsia" w:ascii="Times New Roman" w:hAnsi="Times New Roman" w:cs="Times New Roman"/>
                      <w:szCs w:val="21"/>
                      <w:u w:val="none"/>
                      <w:lang w:val="en-US" w:eastAsia="zh-CN"/>
                    </w:rPr>
                    <w:t>4.1</w:t>
                  </w:r>
                  <w:r>
                    <w:rPr>
                      <w:rFonts w:hint="eastAsia" w:ascii="Times New Roman" w:hAnsi="Times New Roman" w:cs="Times New Roman"/>
                      <w:szCs w:val="21"/>
                      <w:u w:val="none"/>
                      <w:lang w:eastAsia="zh-CN"/>
                    </w:rPr>
                    <w:t>km）</w:t>
                  </w:r>
                </w:p>
              </w:tc>
            </w:tr>
          </w:tbl>
          <w:p>
            <w:pPr>
              <w:pStyle w:val="38"/>
              <w:spacing w:before="120" w:beforeLines="50"/>
              <w:ind w:firstLine="482" w:firstLineChars="200"/>
              <w:outlineLvl w:val="9"/>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2、</w:t>
            </w:r>
            <w:r>
              <w:rPr>
                <w:rFonts w:hint="default" w:ascii="Times New Roman" w:hAnsi="Times New Roman" w:cs="Times New Roman"/>
                <w:b/>
                <w:bCs/>
                <w:u w:val="none"/>
                <w:lang w:val="en-US" w:eastAsia="zh-CN"/>
              </w:rPr>
              <w:t>监测因子、监测周期及频次</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（1）监测因子</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pH、氨氮、硝酸盐、亚硝酸盐、挥发性酚类、氰化物、砷、汞、铬（六价）、总硬度、铅、镉、铁、锰、溶解性总固体、</w:t>
            </w:r>
            <w:r>
              <w:rPr>
                <w:rFonts w:hint="eastAsia" w:ascii="Times New Roman" w:hAnsi="Times New Roman" w:cs="Times New Roman"/>
                <w:sz w:val="24"/>
                <w:szCs w:val="24"/>
                <w:u w:val="none"/>
                <w:lang w:eastAsia="zh-CN"/>
              </w:rPr>
              <w:t>耗氧量</w:t>
            </w:r>
            <w:r>
              <w:rPr>
                <w:rFonts w:hint="default" w:ascii="Times New Roman" w:hAnsi="Times New Roman" w:cs="Times New Roman"/>
                <w:sz w:val="24"/>
                <w:szCs w:val="24"/>
                <w:u w:val="none"/>
              </w:rPr>
              <w:t>、硫酸盐、氯化物、总大肠菌群、细菌总数、氟化物。</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（2）监测</w:t>
            </w:r>
            <w:r>
              <w:rPr>
                <w:rFonts w:hint="default" w:ascii="Times New Roman" w:hAnsi="Times New Roman" w:cs="Times New Roman"/>
                <w:sz w:val="24"/>
                <w:szCs w:val="24"/>
                <w:u w:val="none"/>
                <w:lang w:eastAsia="zh-CN"/>
              </w:rPr>
              <w:t>时间</w:t>
            </w:r>
            <w:r>
              <w:rPr>
                <w:rFonts w:hint="default" w:ascii="Times New Roman" w:hAnsi="Times New Roman" w:cs="Times New Roman"/>
                <w:sz w:val="24"/>
                <w:szCs w:val="24"/>
                <w:u w:val="none"/>
              </w:rPr>
              <w:t>及频次</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监测时间为2018年7月20日至2018年7月22日，连续监测3天，每天取样一次。</w:t>
            </w:r>
          </w:p>
          <w:p>
            <w:pPr>
              <w:pStyle w:val="10"/>
              <w:spacing w:line="360" w:lineRule="auto"/>
              <w:ind w:firstLine="482" w:firstLineChars="200"/>
              <w:rPr>
                <w:rFonts w:hint="default" w:ascii="Times New Roman" w:hAnsi="Times New Roman" w:cs="Times New Roman"/>
                <w:b/>
                <w:bCs/>
                <w:sz w:val="24"/>
                <w:szCs w:val="24"/>
                <w:u w:val="none"/>
                <w:lang w:eastAsia="zh-CN"/>
              </w:rPr>
            </w:pPr>
            <w:r>
              <w:rPr>
                <w:rFonts w:hint="eastAsia" w:ascii="Times New Roman" w:hAnsi="Times New Roman" w:cs="Times New Roman"/>
                <w:b/>
                <w:bCs/>
                <w:sz w:val="24"/>
                <w:szCs w:val="24"/>
                <w:u w:val="none"/>
                <w:lang w:val="en-US" w:eastAsia="zh-CN"/>
              </w:rPr>
              <w:t>3、</w:t>
            </w:r>
            <w:r>
              <w:rPr>
                <w:rFonts w:hint="default" w:ascii="Times New Roman" w:hAnsi="Times New Roman" w:cs="Times New Roman"/>
                <w:b/>
                <w:bCs/>
                <w:sz w:val="24"/>
                <w:szCs w:val="24"/>
                <w:u w:val="none"/>
                <w:lang w:eastAsia="zh-CN"/>
              </w:rPr>
              <w:t>评价标准</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执行《地下水质量标准》（GB/T14848-2017）Ⅲ类标准，具体限值见表</w:t>
            </w:r>
            <w:r>
              <w:rPr>
                <w:rFonts w:hint="eastAsia" w:ascii="Times New Roman" w:hAnsi="Times New Roman" w:cs="Times New Roman"/>
                <w:sz w:val="24"/>
                <w:szCs w:val="24"/>
                <w:u w:val="none"/>
                <w:lang w:val="en-US" w:eastAsia="zh-CN"/>
              </w:rPr>
              <w:t>3-8</w:t>
            </w:r>
            <w:r>
              <w:rPr>
                <w:rFonts w:hint="default" w:ascii="Times New Roman" w:hAnsi="Times New Roman" w:cs="Times New Roman"/>
                <w:sz w:val="24"/>
                <w:szCs w:val="24"/>
                <w:u w:val="none"/>
              </w:rPr>
              <w:t>。</w:t>
            </w:r>
          </w:p>
          <w:p>
            <w:pPr>
              <w:widowControl/>
              <w:autoSpaceDE w:val="0"/>
              <w:autoSpaceDN w:val="0"/>
              <w:spacing w:line="360" w:lineRule="auto"/>
              <w:ind w:firstLine="422" w:firstLineChars="200"/>
              <w:jc w:val="center"/>
              <w:rPr>
                <w:rFonts w:hint="default" w:ascii="Times New Roman" w:hAnsi="Times New Roman" w:cs="Times New Roman"/>
                <w:b/>
                <w:kern w:val="0"/>
                <w:szCs w:val="21"/>
                <w:u w:val="none"/>
              </w:rPr>
            </w:pPr>
            <w:r>
              <w:rPr>
                <w:rFonts w:hint="default" w:ascii="Times New Roman" w:hAnsi="Times New Roman" w:cs="Times New Roman"/>
                <w:b/>
                <w:kern w:val="0"/>
                <w:szCs w:val="21"/>
                <w:u w:val="none"/>
              </w:rPr>
              <w:t>表</w:t>
            </w:r>
            <w:r>
              <w:rPr>
                <w:rFonts w:hint="eastAsia" w:cs="Times New Roman"/>
                <w:b/>
                <w:kern w:val="0"/>
                <w:szCs w:val="21"/>
                <w:u w:val="none"/>
                <w:lang w:val="en-US" w:eastAsia="zh-CN"/>
              </w:rPr>
              <w:t>3-8</w:t>
            </w:r>
            <w:r>
              <w:rPr>
                <w:rFonts w:hint="default" w:ascii="Times New Roman" w:hAnsi="Times New Roman" w:cs="Times New Roman"/>
                <w:b/>
                <w:kern w:val="0"/>
                <w:szCs w:val="21"/>
                <w:u w:val="none"/>
              </w:rPr>
              <w:t xml:space="preserve">  地下水质量标准  单位：mg/L </w:t>
            </w:r>
            <w:r>
              <w:rPr>
                <w:rFonts w:hint="eastAsia" w:ascii="Times New Roman" w:hAnsi="Times New Roman" w:cs="Times New Roman"/>
                <w:b/>
                <w:kern w:val="0"/>
                <w:szCs w:val="21"/>
                <w:u w:val="none"/>
                <w:lang w:val="en-US" w:eastAsia="zh-CN"/>
              </w:rPr>
              <w:t xml:space="preserve"> </w:t>
            </w:r>
            <w:r>
              <w:rPr>
                <w:rFonts w:hint="default" w:ascii="Times New Roman" w:hAnsi="Times New Roman" w:cs="Times New Roman"/>
                <w:b/>
                <w:kern w:val="0"/>
                <w:szCs w:val="21"/>
                <w:u w:val="none"/>
              </w:rPr>
              <w:t>pH值除外</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73"/>
              <w:gridCol w:w="3191"/>
              <w:gridCol w:w="42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序号</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项目</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eastAsia" w:ascii="Times New Roman" w:hAnsi="Times New Roman" w:cs="Times New Roman"/>
                      <w:b/>
                      <w:bCs/>
                      <w:u w:val="none"/>
                      <w:lang w:eastAsia="zh-CN"/>
                    </w:rPr>
                    <w:t>《地下水环境质量标准》</w:t>
                  </w:r>
                  <w:r>
                    <w:rPr>
                      <w:rFonts w:hint="default" w:ascii="Times New Roman" w:hAnsi="Times New Roman" w:cs="Times New Roman"/>
                      <w:b/>
                      <w:bCs/>
                      <w:u w:val="none"/>
                    </w:rPr>
                    <w:t>GB/T14848-2017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pH</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6.5-8.5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w:t>
                  </w:r>
                </w:p>
              </w:tc>
              <w:tc>
                <w:tcPr>
                  <w:tcW w:w="3234" w:type="dxa"/>
                  <w:tcBorders>
                    <w:tl2br w:val="nil"/>
                    <w:tr2bl w:val="nil"/>
                  </w:tcBorders>
                  <w:vAlign w:val="center"/>
                </w:tcPr>
                <w:p>
                  <w:pPr>
                    <w:pStyle w:val="76"/>
                    <w:spacing w:line="240" w:lineRule="auto"/>
                    <w:jc w:val="center"/>
                    <w:rPr>
                      <w:rFonts w:hint="eastAsia" w:ascii="Times New Roman" w:hAnsi="Times New Roman" w:cs="Times New Roman" w:eastAsiaTheme="minorEastAsia"/>
                      <w:u w:val="none"/>
                      <w:lang w:eastAsia="zh-CN"/>
                    </w:rPr>
                  </w:pPr>
                  <w:r>
                    <w:rPr>
                      <w:rFonts w:hint="eastAsia" w:ascii="Times New Roman" w:hAnsi="Times New Roman" w:cs="Times New Roman"/>
                      <w:u w:val="none"/>
                      <w:lang w:eastAsia="zh-CN"/>
                    </w:rPr>
                    <w:t>耗氧量</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硫酸盐</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4</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氨氮</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5</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溶解性总固体</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6</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铅</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7</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汞</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8</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镉</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9</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砷</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六价铬</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11</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硝酸盐</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12</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亚硝酸盐</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13</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挥发性酚类</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14</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氰化物</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15</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总硬度</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450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16</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氟化物</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17</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铁</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18</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锰</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19</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氯化物</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20</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总大肠菌群</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21</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细菌总数</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100</w:t>
                  </w:r>
                </w:p>
              </w:tc>
            </w:tr>
          </w:tbl>
          <w:p>
            <w:pPr>
              <w:pStyle w:val="10"/>
              <w:spacing w:line="360" w:lineRule="auto"/>
              <w:ind w:firstLine="482" w:firstLineChars="200"/>
              <w:rPr>
                <w:rFonts w:hint="default" w:ascii="Times New Roman" w:hAnsi="Times New Roman" w:cs="Times New Roman"/>
                <w:sz w:val="24"/>
                <w:szCs w:val="24"/>
                <w:u w:val="none"/>
                <w:lang w:val="en-US" w:eastAsia="zh-CN"/>
              </w:rPr>
            </w:pPr>
            <w:r>
              <w:rPr>
                <w:rFonts w:hint="eastAsia" w:ascii="Times New Roman" w:hAnsi="Times New Roman" w:cs="Times New Roman"/>
                <w:b/>
                <w:bCs/>
                <w:sz w:val="24"/>
                <w:szCs w:val="24"/>
                <w:u w:val="none"/>
                <w:lang w:val="en-US" w:eastAsia="zh-CN"/>
              </w:rPr>
              <w:t>4、</w:t>
            </w:r>
            <w:r>
              <w:rPr>
                <w:rFonts w:hint="default" w:ascii="Times New Roman" w:hAnsi="Times New Roman" w:cs="Times New Roman"/>
                <w:b/>
                <w:bCs/>
                <w:sz w:val="24"/>
                <w:szCs w:val="24"/>
                <w:u w:val="none"/>
                <w:lang w:val="en-US" w:eastAsia="zh-CN"/>
              </w:rPr>
              <w:t>评价方法</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评价方法采用单项水质指数评价法，水质参数的标准指数大于1，表明该水质参数超过了规定的水质标准，水质参数的标准指数小于1，表明该水质参数符合规定的水质标准。单项水质指数评价计算公式如下：</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（1）一般水质因子</w:t>
            </w:r>
          </w:p>
          <w:p>
            <w:pPr>
              <w:pStyle w:val="10"/>
              <w:spacing w:line="360" w:lineRule="auto"/>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object>
                <v:shape id="_x0000_i1027" o:spt="75" type="#_x0000_t75" style="height:19pt;width:66pt;" o:ole="t" fillcolor="#6D6D6D" filled="f" o:preferrelative="t" stroked="f" coordsize="21600,21600">
                  <v:path/>
                  <v:fill on="f" alignshape="1" focussize="0,0"/>
                  <v:stroke on="f"/>
                  <v:imagedata r:id="rId10" o:title=""/>
                  <o:lock v:ext="edit" aspectratio="t"/>
                  <w10:wrap type="none"/>
                  <w10:anchorlock/>
                </v:shape>
                <o:OLEObject Type="Embed" ProgID="Equation.3" ShapeID="_x0000_i1027" DrawAspect="Content" ObjectID="_1468075727" r:id="rId13">
                  <o:LockedField>false</o:LockedField>
                </o:OLEObject>
              </w:objec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式中：S</w:t>
            </w:r>
            <w:r>
              <w:rPr>
                <w:rFonts w:hint="default" w:ascii="Times New Roman" w:hAnsi="Times New Roman" w:cs="Times New Roman"/>
                <w:sz w:val="24"/>
                <w:szCs w:val="24"/>
                <w:u w:val="none"/>
                <w:vertAlign w:val="subscript"/>
              </w:rPr>
              <w:t>i</w:t>
            </w:r>
            <w:r>
              <w:rPr>
                <w:rFonts w:hint="default" w:ascii="Times New Roman" w:hAnsi="Times New Roman" w:cs="Times New Roman"/>
                <w:sz w:val="24"/>
                <w:szCs w:val="24"/>
                <w:u w:val="none"/>
              </w:rPr>
              <w:t>，j——单项水质因子在j点的标准指数；</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C</w:t>
            </w:r>
            <w:r>
              <w:rPr>
                <w:rFonts w:hint="default" w:ascii="Times New Roman" w:hAnsi="Times New Roman" w:cs="Times New Roman"/>
                <w:sz w:val="24"/>
                <w:szCs w:val="24"/>
                <w:u w:val="none"/>
                <w:vertAlign w:val="subscript"/>
              </w:rPr>
              <w:t>i</w:t>
            </w:r>
            <w:r>
              <w:rPr>
                <w:rFonts w:hint="default" w:ascii="Times New Roman" w:hAnsi="Times New Roman" w:cs="Times New Roman"/>
                <w:sz w:val="24"/>
                <w:szCs w:val="24"/>
                <w:u w:val="none"/>
              </w:rPr>
              <w:t>，j——（i，j）点的评价因子水质因子水质浓度或水质因子在i监测点（或预测点）j的水质浓度，mg/L；</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C</w:t>
            </w:r>
            <w:r>
              <w:rPr>
                <w:rFonts w:hint="default" w:ascii="Times New Roman" w:hAnsi="Times New Roman" w:cs="Times New Roman"/>
                <w:sz w:val="24"/>
                <w:szCs w:val="24"/>
                <w:u w:val="none"/>
                <w:vertAlign w:val="subscript"/>
              </w:rPr>
              <w:t>si</w:t>
            </w:r>
            <w:r>
              <w:rPr>
                <w:rFonts w:hint="default" w:ascii="Times New Roman" w:hAnsi="Times New Roman" w:cs="Times New Roman"/>
                <w:sz w:val="24"/>
                <w:szCs w:val="24"/>
                <w:u w:val="none"/>
              </w:rPr>
              <w:t>——水质评价因子i的水质评价标准限值，mg/L。</w:t>
            </w:r>
          </w:p>
          <w:p>
            <w:pPr>
              <w:pStyle w:val="1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（2）pH的标准指数</w:t>
            </w:r>
          </w:p>
          <w:p>
            <w:pPr>
              <w:autoSpaceDE w:val="0"/>
              <w:autoSpaceDN w:val="0"/>
              <w:adjustRightInd w:val="0"/>
              <w:snapToGrid w:val="0"/>
              <w:spacing w:line="360" w:lineRule="auto"/>
              <w:ind w:firstLine="1680" w:firstLineChars="700"/>
              <w:jc w:val="left"/>
              <w:rPr>
                <w:rFonts w:hint="default" w:ascii="Times New Roman" w:hAnsi="Times New Roman" w:cs="Times New Roman"/>
                <w:sz w:val="24"/>
                <w:u w:val="none"/>
              </w:rPr>
            </w:pPr>
            <w:r>
              <w:rPr>
                <w:rFonts w:hint="default" w:ascii="Times New Roman" w:hAnsi="Times New Roman" w:cs="Times New Roman"/>
                <w:position w:val="-30"/>
                <w:sz w:val="24"/>
                <w:u w:val="none"/>
              </w:rPr>
              <w:object>
                <v:shape id="_x0000_i1028" o:spt="75" type="#_x0000_t75" style="height:36pt;width:152pt;" o:ole="t" fillcolor="#6D6D6D" filled="f" stroked="f" coordsize="21600,21600">
                  <v:path/>
                  <v:fill on="f" alignshape="1" focussize="0,0"/>
                  <v:stroke on="f"/>
                  <v:imagedata r:id="rId15" o:title=""/>
                  <o:lock v:ext="edit" aspectratio="t"/>
                  <w10:wrap type="none"/>
                  <w10:anchorlock/>
                </v:shape>
                <o:OLEObject Type="Embed" ProgID="Equation.3" ShapeID="_x0000_i1028" DrawAspect="Content" ObjectID="_1468075728" r:id="rId14">
                  <o:LockedField>false</o:LockedField>
                </o:OLEObject>
              </w:object>
            </w:r>
          </w:p>
          <w:p>
            <w:pPr>
              <w:autoSpaceDE w:val="0"/>
              <w:autoSpaceDN w:val="0"/>
              <w:adjustRightInd w:val="0"/>
              <w:snapToGrid w:val="0"/>
              <w:spacing w:line="360" w:lineRule="auto"/>
              <w:ind w:firstLine="1680" w:firstLineChars="700"/>
              <w:jc w:val="left"/>
              <w:rPr>
                <w:rFonts w:hint="default" w:ascii="Times New Roman" w:hAnsi="Times New Roman" w:cs="Times New Roman"/>
                <w:sz w:val="24"/>
                <w:u w:val="none"/>
              </w:rPr>
            </w:pPr>
            <w:r>
              <w:rPr>
                <w:rFonts w:hint="default" w:ascii="Times New Roman" w:hAnsi="Times New Roman" w:cs="Times New Roman"/>
                <w:position w:val="-30"/>
                <w:sz w:val="24"/>
                <w:u w:val="none"/>
              </w:rPr>
              <w:object>
                <v:shape id="_x0000_i1029" o:spt="75" type="#_x0000_t75" style="height:36pt;width:152pt;" o:ole="t" fillcolor="#6D6D6D" filled="f" stroked="f" coordsize="21600,21600">
                  <v:path/>
                  <v:fill on="f" alignshape="1" focussize="0,0"/>
                  <v:stroke on="f"/>
                  <v:imagedata r:id="rId17" o:title=""/>
                  <o:lock v:ext="edit" aspectratio="t"/>
                  <w10:wrap type="none"/>
                  <w10:anchorlock/>
                </v:shape>
                <o:OLEObject Type="Embed" ProgID="Equation.3" ShapeID="_x0000_i1029" DrawAspect="Content" ObjectID="_1468075729" r:id="rId16">
                  <o:LockedField>false</o:LockedField>
                </o:OLEObject>
              </w:object>
            </w:r>
          </w:p>
          <w:p>
            <w:pPr>
              <w:autoSpaceDE w:val="0"/>
              <w:autoSpaceDN w:val="0"/>
              <w:adjustRightInd w:val="0"/>
              <w:snapToGrid w:val="0"/>
              <w:spacing w:line="360" w:lineRule="auto"/>
              <w:ind w:firstLine="480"/>
              <w:jc w:val="left"/>
              <w:rPr>
                <w:rFonts w:hint="default" w:ascii="Times New Roman" w:hAnsi="Times New Roman" w:cs="Times New Roman"/>
                <w:sz w:val="24"/>
                <w:u w:val="none"/>
              </w:rPr>
            </w:pPr>
            <w:r>
              <w:rPr>
                <w:rFonts w:hint="default" w:ascii="Times New Roman" w:hAnsi="Times New Roman" w:cs="Times New Roman"/>
                <w:sz w:val="24"/>
                <w:u w:val="none"/>
              </w:rPr>
              <w:t>式中：C</w:t>
            </w:r>
            <w:r>
              <w:rPr>
                <w:rFonts w:hint="default" w:ascii="Times New Roman" w:hAnsi="Times New Roman" w:cs="Times New Roman"/>
                <w:sz w:val="24"/>
                <w:u w:val="none"/>
                <w:vertAlign w:val="subscript"/>
              </w:rPr>
              <w:t>i,,j</w:t>
            </w:r>
            <w:r>
              <w:rPr>
                <w:rFonts w:hint="default" w:ascii="Times New Roman" w:hAnsi="Times New Roman" w:cs="Times New Roman"/>
                <w:sz w:val="24"/>
                <w:u w:val="none"/>
              </w:rPr>
              <w:t xml:space="preserve"> ――水质参数i在监测j点的浓度值（mg/L）；</w:t>
            </w:r>
          </w:p>
          <w:p>
            <w:pPr>
              <w:autoSpaceDE w:val="0"/>
              <w:autoSpaceDN w:val="0"/>
              <w:adjustRightInd w:val="0"/>
              <w:snapToGrid w:val="0"/>
              <w:spacing w:line="360" w:lineRule="auto"/>
              <w:jc w:val="left"/>
              <w:rPr>
                <w:rFonts w:hint="default" w:ascii="Times New Roman" w:hAnsi="Times New Roman" w:cs="Times New Roman"/>
                <w:sz w:val="24"/>
                <w:u w:val="none"/>
              </w:rPr>
            </w:pPr>
            <w:r>
              <w:rPr>
                <w:rFonts w:hint="default" w:ascii="Times New Roman" w:hAnsi="Times New Roman" w:cs="Times New Roman"/>
                <w:sz w:val="24"/>
                <w:u w:val="none"/>
              </w:rPr>
              <w:t xml:space="preserve">          C</w:t>
            </w:r>
            <w:r>
              <w:rPr>
                <w:rFonts w:hint="default" w:ascii="Times New Roman" w:hAnsi="Times New Roman" w:cs="Times New Roman"/>
                <w:sz w:val="24"/>
                <w:u w:val="none"/>
                <w:vertAlign w:val="subscript"/>
              </w:rPr>
              <w:t>si</w:t>
            </w:r>
            <w:r>
              <w:rPr>
                <w:rFonts w:hint="default" w:ascii="Times New Roman" w:hAnsi="Times New Roman" w:cs="Times New Roman"/>
                <w:sz w:val="24"/>
                <w:u w:val="none"/>
              </w:rPr>
              <w:t xml:space="preserve"> ――水质参数i地表水水质标准值（mg/L）；</w:t>
            </w:r>
          </w:p>
          <w:p>
            <w:pPr>
              <w:autoSpaceDE w:val="0"/>
              <w:autoSpaceDN w:val="0"/>
              <w:adjustRightInd w:val="0"/>
              <w:snapToGrid w:val="0"/>
              <w:spacing w:line="360" w:lineRule="auto"/>
              <w:jc w:val="left"/>
              <w:rPr>
                <w:rFonts w:hint="default" w:ascii="Times New Roman" w:hAnsi="Times New Roman" w:cs="Times New Roman"/>
                <w:sz w:val="24"/>
                <w:u w:val="none"/>
              </w:rPr>
            </w:pPr>
            <w:r>
              <w:rPr>
                <w:rFonts w:hint="default" w:ascii="Times New Roman" w:hAnsi="Times New Roman" w:cs="Times New Roman"/>
                <w:sz w:val="24"/>
                <w:u w:val="none"/>
              </w:rPr>
              <w:t xml:space="preserve">          S</w:t>
            </w:r>
            <w:r>
              <w:rPr>
                <w:rFonts w:hint="default" w:ascii="Times New Roman" w:hAnsi="Times New Roman" w:cs="Times New Roman"/>
                <w:sz w:val="24"/>
                <w:u w:val="none"/>
                <w:vertAlign w:val="subscript"/>
              </w:rPr>
              <w:t>pH,j</w:t>
            </w:r>
            <w:r>
              <w:rPr>
                <w:rFonts w:hint="default" w:ascii="Times New Roman" w:hAnsi="Times New Roman" w:cs="Times New Roman"/>
                <w:sz w:val="24"/>
                <w:u w:val="none"/>
              </w:rPr>
              <w:t xml:space="preserve"> ――水质参数pH在j点的标准指数；</w:t>
            </w:r>
          </w:p>
          <w:p>
            <w:pPr>
              <w:autoSpaceDE w:val="0"/>
              <w:autoSpaceDN w:val="0"/>
              <w:adjustRightInd w:val="0"/>
              <w:snapToGrid w:val="0"/>
              <w:spacing w:line="360" w:lineRule="auto"/>
              <w:jc w:val="left"/>
              <w:rPr>
                <w:rFonts w:hint="default" w:ascii="Times New Roman" w:hAnsi="Times New Roman" w:cs="Times New Roman"/>
                <w:sz w:val="24"/>
                <w:u w:val="none"/>
              </w:rPr>
            </w:pPr>
            <w:r>
              <w:rPr>
                <w:rFonts w:hint="default" w:ascii="Times New Roman" w:hAnsi="Times New Roman" w:cs="Times New Roman"/>
                <w:sz w:val="24"/>
                <w:u w:val="none"/>
              </w:rPr>
              <w:t xml:space="preserve">          pH</w:t>
            </w:r>
            <w:r>
              <w:rPr>
                <w:rFonts w:hint="default" w:ascii="Times New Roman" w:hAnsi="Times New Roman" w:cs="Times New Roman"/>
                <w:sz w:val="24"/>
                <w:u w:val="none"/>
                <w:vertAlign w:val="subscript"/>
              </w:rPr>
              <w:t>j</w:t>
            </w:r>
            <w:r>
              <w:rPr>
                <w:rFonts w:hint="default" w:ascii="Times New Roman" w:hAnsi="Times New Roman" w:cs="Times New Roman"/>
                <w:sz w:val="24"/>
                <w:u w:val="none"/>
              </w:rPr>
              <w:t xml:space="preserve"> ――</w:t>
            </w:r>
            <w:r>
              <w:rPr>
                <w:rFonts w:hint="default" w:ascii="Times New Roman" w:hAnsi="Times New Roman" w:cs="Times New Roman"/>
                <w:i/>
                <w:sz w:val="24"/>
                <w:u w:val="none"/>
              </w:rPr>
              <w:t>j</w:t>
            </w:r>
            <w:r>
              <w:rPr>
                <w:rFonts w:hint="default" w:ascii="Times New Roman" w:hAnsi="Times New Roman" w:cs="Times New Roman"/>
                <w:sz w:val="24"/>
                <w:u w:val="none"/>
              </w:rPr>
              <w:t>点的pH值；</w:t>
            </w:r>
          </w:p>
          <w:p>
            <w:pPr>
              <w:autoSpaceDE w:val="0"/>
              <w:autoSpaceDN w:val="0"/>
              <w:adjustRightInd w:val="0"/>
              <w:snapToGrid w:val="0"/>
              <w:spacing w:line="360" w:lineRule="auto"/>
              <w:jc w:val="left"/>
              <w:rPr>
                <w:rFonts w:hint="default" w:ascii="Times New Roman" w:hAnsi="Times New Roman" w:cs="Times New Roman"/>
                <w:sz w:val="24"/>
                <w:u w:val="none"/>
              </w:rPr>
            </w:pPr>
            <w:r>
              <w:rPr>
                <w:rFonts w:hint="default" w:ascii="Times New Roman" w:hAnsi="Times New Roman" w:cs="Times New Roman"/>
                <w:sz w:val="24"/>
                <w:u w:val="none"/>
              </w:rPr>
              <w:t xml:space="preserve">          pH</w:t>
            </w:r>
            <w:r>
              <w:rPr>
                <w:rFonts w:hint="default" w:ascii="Times New Roman" w:hAnsi="Times New Roman" w:cs="Times New Roman"/>
                <w:sz w:val="24"/>
                <w:u w:val="none"/>
                <w:vertAlign w:val="subscript"/>
              </w:rPr>
              <w:t>sd</w:t>
            </w:r>
            <w:r>
              <w:rPr>
                <w:rFonts w:hint="default" w:ascii="Times New Roman" w:hAnsi="Times New Roman" w:cs="Times New Roman"/>
                <w:sz w:val="24"/>
                <w:u w:val="none"/>
              </w:rPr>
              <w:t>――地表水水质标准中规定的pH值下限；</w:t>
            </w:r>
          </w:p>
          <w:p>
            <w:pPr>
              <w:autoSpaceDE w:val="0"/>
              <w:autoSpaceDN w:val="0"/>
              <w:adjustRightInd w:val="0"/>
              <w:snapToGrid w:val="0"/>
              <w:spacing w:line="360" w:lineRule="auto"/>
              <w:jc w:val="left"/>
              <w:rPr>
                <w:rFonts w:hint="default" w:ascii="Times New Roman" w:hAnsi="Times New Roman" w:cs="Times New Roman"/>
                <w:sz w:val="24"/>
                <w:u w:val="none"/>
              </w:rPr>
            </w:pPr>
            <w:r>
              <w:rPr>
                <w:rFonts w:hint="default" w:ascii="Times New Roman" w:hAnsi="Times New Roman" w:cs="Times New Roman"/>
                <w:sz w:val="24"/>
                <w:u w:val="none"/>
              </w:rPr>
              <w:t xml:space="preserve">          pH</w:t>
            </w:r>
            <w:r>
              <w:rPr>
                <w:rFonts w:hint="default" w:ascii="Times New Roman" w:hAnsi="Times New Roman" w:cs="Times New Roman"/>
                <w:sz w:val="24"/>
                <w:u w:val="none"/>
                <w:vertAlign w:val="subscript"/>
              </w:rPr>
              <w:t>su</w:t>
            </w:r>
            <w:r>
              <w:rPr>
                <w:rFonts w:hint="default" w:ascii="Times New Roman" w:hAnsi="Times New Roman" w:cs="Times New Roman"/>
                <w:sz w:val="24"/>
                <w:u w:val="none"/>
              </w:rPr>
              <w:t>――地表水水质标准中规定的pH值上限。</w:t>
            </w:r>
          </w:p>
          <w:p>
            <w:pPr>
              <w:pStyle w:val="10"/>
              <w:spacing w:line="360" w:lineRule="auto"/>
              <w:ind w:firstLine="482" w:firstLineChars="200"/>
              <w:rPr>
                <w:rFonts w:hint="eastAsia" w:ascii="Times New Roman" w:hAnsi="Times New Roman" w:cs="Times New Roman"/>
                <w:b/>
                <w:bCs/>
                <w:sz w:val="24"/>
                <w:szCs w:val="24"/>
                <w:u w:val="none"/>
                <w:lang w:val="en-US" w:eastAsia="zh-CN"/>
              </w:rPr>
            </w:pPr>
            <w:r>
              <w:rPr>
                <w:rFonts w:hint="eastAsia" w:ascii="Times New Roman" w:hAnsi="Times New Roman" w:cs="Times New Roman"/>
                <w:b/>
                <w:bCs/>
                <w:sz w:val="24"/>
                <w:szCs w:val="24"/>
                <w:u w:val="none"/>
                <w:lang w:val="en-US" w:eastAsia="zh-CN"/>
              </w:rPr>
              <w:t>5、监测结果</w:t>
            </w:r>
          </w:p>
          <w:p>
            <w:pPr>
              <w:spacing w:line="360" w:lineRule="auto"/>
              <w:ind w:firstLine="480" w:firstLineChars="200"/>
              <w:rPr>
                <w:color w:val="000000"/>
                <w:sz w:val="24"/>
                <w:u w:val="none"/>
              </w:rPr>
            </w:pPr>
            <w:r>
              <w:rPr>
                <w:color w:val="000000"/>
                <w:sz w:val="24"/>
                <w:u w:val="none"/>
              </w:rPr>
              <w:t>本次评价地下水监测结果</w:t>
            </w:r>
            <w:r>
              <w:rPr>
                <w:rFonts w:hint="default" w:ascii="Times New Roman" w:hAnsi="Times New Roman" w:cs="Times New Roman"/>
                <w:sz w:val="24"/>
                <w:u w:val="none"/>
              </w:rPr>
              <w:t>统计于表</w:t>
            </w:r>
            <w:r>
              <w:rPr>
                <w:rFonts w:hint="eastAsia" w:cs="Times New Roman"/>
                <w:sz w:val="24"/>
                <w:u w:val="none"/>
                <w:lang w:val="en-US" w:eastAsia="zh-CN"/>
              </w:rPr>
              <w:t>3-9</w:t>
            </w:r>
            <w:r>
              <w:rPr>
                <w:rFonts w:hint="default" w:ascii="Times New Roman" w:hAnsi="Times New Roman" w:cs="Times New Roman"/>
                <w:sz w:val="24"/>
                <w:u w:val="none"/>
              </w:rPr>
              <w:t>。</w:t>
            </w:r>
          </w:p>
          <w:p>
            <w:pPr>
              <w:widowControl/>
              <w:autoSpaceDE w:val="0"/>
              <w:autoSpaceDN w:val="0"/>
              <w:spacing w:line="360" w:lineRule="auto"/>
              <w:ind w:firstLine="422" w:firstLineChars="200"/>
              <w:jc w:val="center"/>
              <w:rPr>
                <w:rFonts w:hint="default" w:ascii="Times New Roman" w:hAnsi="Times New Roman" w:cs="Times New Roman"/>
                <w:b/>
                <w:kern w:val="0"/>
                <w:szCs w:val="21"/>
                <w:u w:val="none"/>
                <w:lang w:val="en-US" w:eastAsia="zh-CN"/>
              </w:rPr>
            </w:pPr>
            <w:r>
              <w:rPr>
                <w:rFonts w:hint="default" w:ascii="Times New Roman" w:hAnsi="Times New Roman" w:cs="Times New Roman"/>
                <w:b/>
                <w:kern w:val="0"/>
                <w:szCs w:val="21"/>
                <w:u w:val="none"/>
                <w:lang w:val="en-US" w:eastAsia="zh-CN"/>
              </w:rPr>
              <w:t>表</w:t>
            </w:r>
            <w:r>
              <w:rPr>
                <w:rFonts w:hint="eastAsia" w:cs="Times New Roman"/>
                <w:b/>
                <w:kern w:val="0"/>
                <w:szCs w:val="21"/>
                <w:u w:val="none"/>
                <w:lang w:val="en-US" w:eastAsia="zh-CN"/>
              </w:rPr>
              <w:t>3-9</w:t>
            </w:r>
            <w:r>
              <w:rPr>
                <w:rFonts w:hint="default" w:ascii="Times New Roman" w:hAnsi="Times New Roman" w:cs="Times New Roman"/>
                <w:b/>
                <w:kern w:val="0"/>
                <w:szCs w:val="21"/>
                <w:u w:val="none"/>
                <w:lang w:val="en-US" w:eastAsia="zh-CN"/>
              </w:rPr>
              <w:t xml:space="preserve"> </w:t>
            </w:r>
            <w:r>
              <w:rPr>
                <w:rFonts w:hint="eastAsia" w:ascii="Times New Roman" w:hAnsi="Times New Roman" w:cs="Times New Roman"/>
                <w:b/>
                <w:kern w:val="0"/>
                <w:szCs w:val="21"/>
                <w:u w:val="none"/>
                <w:lang w:val="en-US" w:eastAsia="zh-CN"/>
              </w:rPr>
              <w:t xml:space="preserve"> </w:t>
            </w:r>
            <w:r>
              <w:rPr>
                <w:rFonts w:hint="default" w:ascii="Times New Roman" w:hAnsi="Times New Roman" w:cs="Times New Roman"/>
                <w:b/>
                <w:kern w:val="0"/>
                <w:szCs w:val="21"/>
                <w:u w:val="none"/>
                <w:lang w:val="en-US" w:eastAsia="zh-CN"/>
              </w:rPr>
              <w:t>地下水水质现状监测结果统计表   单位：mg/L</w:t>
            </w:r>
            <w:r>
              <w:rPr>
                <w:rFonts w:hint="eastAsia" w:ascii="Times New Roman" w:hAnsi="Times New Roman" w:cs="Times New Roman"/>
                <w:b/>
                <w:kern w:val="0"/>
                <w:szCs w:val="21"/>
                <w:u w:val="none"/>
                <w:lang w:val="en-US" w:eastAsia="zh-CN"/>
              </w:rPr>
              <w:t>，</w:t>
            </w:r>
            <w:r>
              <w:rPr>
                <w:rFonts w:hint="default" w:ascii="Times New Roman" w:hAnsi="Times New Roman" w:cs="Times New Roman"/>
                <w:b/>
                <w:kern w:val="0"/>
                <w:szCs w:val="21"/>
                <w:u w:val="none"/>
                <w:lang w:val="en-US" w:eastAsia="zh-CN"/>
              </w:rPr>
              <w:t>pH除外</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0"/>
              <w:gridCol w:w="676"/>
              <w:gridCol w:w="657"/>
              <w:gridCol w:w="491"/>
              <w:gridCol w:w="490"/>
              <w:gridCol w:w="552"/>
              <w:gridCol w:w="529"/>
              <w:gridCol w:w="692"/>
              <w:gridCol w:w="752"/>
              <w:gridCol w:w="692"/>
              <w:gridCol w:w="626"/>
              <w:gridCol w:w="692"/>
              <w:gridCol w:w="490"/>
              <w:gridCol w:w="5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restart"/>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监测点位</w:t>
                  </w:r>
                </w:p>
              </w:tc>
              <w:tc>
                <w:tcPr>
                  <w:tcW w:w="685" w:type="dxa"/>
                  <w:vMerge w:val="restart"/>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项目</w:t>
                  </w:r>
                </w:p>
              </w:tc>
              <w:tc>
                <w:tcPr>
                  <w:tcW w:w="7326" w:type="dxa"/>
                  <w:gridSpan w:val="12"/>
                  <w:tcBorders>
                    <w:tl2br w:val="nil"/>
                    <w:tr2bl w:val="nil"/>
                  </w:tcBorders>
                  <w:vAlign w:val="top"/>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监测项目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continue"/>
                  <w:tcBorders>
                    <w:tl2br w:val="nil"/>
                    <w:tr2bl w:val="nil"/>
                  </w:tcBorders>
                  <w:vAlign w:val="center"/>
                </w:tcPr>
                <w:p>
                  <w:pPr>
                    <w:pStyle w:val="76"/>
                    <w:spacing w:line="240" w:lineRule="auto"/>
                    <w:jc w:val="center"/>
                    <w:rPr>
                      <w:rFonts w:hint="default" w:ascii="Times New Roman" w:hAnsi="Times New Roman" w:cs="Times New Roman"/>
                      <w:b/>
                      <w:bCs/>
                      <w:u w:val="none"/>
                    </w:rPr>
                  </w:pPr>
                </w:p>
              </w:tc>
              <w:tc>
                <w:tcPr>
                  <w:tcW w:w="685" w:type="dxa"/>
                  <w:vMerge w:val="continue"/>
                  <w:tcBorders>
                    <w:tl2br w:val="nil"/>
                    <w:tr2bl w:val="nil"/>
                  </w:tcBorders>
                  <w:vAlign w:val="center"/>
                </w:tcPr>
                <w:p>
                  <w:pPr>
                    <w:pStyle w:val="76"/>
                    <w:spacing w:line="240" w:lineRule="auto"/>
                    <w:jc w:val="center"/>
                    <w:rPr>
                      <w:rFonts w:hint="default" w:ascii="Times New Roman" w:hAnsi="Times New Roman" w:cs="Times New Roman"/>
                      <w:b/>
                      <w:bCs/>
                      <w:u w:val="none"/>
                    </w:rPr>
                  </w:pPr>
                </w:p>
              </w:tc>
              <w:tc>
                <w:tcPr>
                  <w:tcW w:w="666"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pH</w:t>
                  </w:r>
                </w:p>
              </w:tc>
              <w:tc>
                <w:tcPr>
                  <w:tcW w:w="497" w:type="dxa"/>
                  <w:tcBorders>
                    <w:tl2br w:val="nil"/>
                    <w:tr2bl w:val="nil"/>
                  </w:tcBorders>
                  <w:vAlign w:val="center"/>
                </w:tcPr>
                <w:p>
                  <w:pPr>
                    <w:pStyle w:val="76"/>
                    <w:spacing w:line="240" w:lineRule="auto"/>
                    <w:jc w:val="center"/>
                    <w:rPr>
                      <w:rFonts w:hint="eastAsia" w:ascii="Times New Roman" w:hAnsi="Times New Roman" w:cs="Times New Roman" w:eastAsiaTheme="minorEastAsia"/>
                      <w:b/>
                      <w:bCs/>
                      <w:u w:val="none"/>
                      <w:lang w:eastAsia="zh-CN"/>
                    </w:rPr>
                  </w:pPr>
                  <w:r>
                    <w:rPr>
                      <w:rFonts w:hint="eastAsia" w:ascii="Times New Roman" w:hAnsi="Times New Roman" w:cs="Times New Roman"/>
                      <w:b/>
                      <w:bCs/>
                      <w:u w:val="none"/>
                      <w:lang w:eastAsia="zh-CN"/>
                    </w:rPr>
                    <w:t>耗氧量</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硫酸盐</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氨氮</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溶解性总固体</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铅</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汞</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镉</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砷</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六价铬</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硝酸盐</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亚硝酸盐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restart"/>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D1</w:t>
                  </w:r>
                </w:p>
              </w:tc>
              <w:tc>
                <w:tcPr>
                  <w:tcW w:w="68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监测值</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6.65</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1.65</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169</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0.120</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489</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0.00004ND</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0.004ND</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15.1</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continue"/>
                  <w:tcBorders>
                    <w:tl2br w:val="nil"/>
                    <w:tr2bl w:val="nil"/>
                  </w:tcBorders>
                  <w:vAlign w:val="center"/>
                </w:tcPr>
                <w:p>
                  <w:pPr>
                    <w:pStyle w:val="76"/>
                    <w:spacing w:line="240" w:lineRule="auto"/>
                    <w:jc w:val="center"/>
                    <w:rPr>
                      <w:rFonts w:hint="default" w:ascii="Times New Roman" w:hAnsi="Times New Roman" w:cs="Times New Roman"/>
                      <w:u w:val="none"/>
                    </w:rPr>
                  </w:pPr>
                </w:p>
              </w:tc>
              <w:tc>
                <w:tcPr>
                  <w:tcW w:w="68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标准指数</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0.70</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0.55</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0.68</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0.24</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0.49</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0.76</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restart"/>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D2</w:t>
                  </w:r>
                </w:p>
              </w:tc>
              <w:tc>
                <w:tcPr>
                  <w:tcW w:w="68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监测值</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6.67</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1.25</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162</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0.105</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495</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0.00004ND</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0.004ND</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14.2</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continue"/>
                  <w:tcBorders>
                    <w:tl2br w:val="nil"/>
                    <w:tr2bl w:val="nil"/>
                  </w:tcBorders>
                  <w:vAlign w:val="center"/>
                </w:tcPr>
                <w:p>
                  <w:pPr>
                    <w:pStyle w:val="76"/>
                    <w:spacing w:line="240" w:lineRule="auto"/>
                    <w:jc w:val="center"/>
                    <w:rPr>
                      <w:rFonts w:hint="default" w:ascii="Times New Roman" w:hAnsi="Times New Roman" w:cs="Times New Roman"/>
                      <w:u w:val="none"/>
                    </w:rPr>
                  </w:pPr>
                </w:p>
              </w:tc>
              <w:tc>
                <w:tcPr>
                  <w:tcW w:w="68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标准指数</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0.66</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0.42</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0.65</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0.21</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0.50</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0.71</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restart"/>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D3</w:t>
                  </w:r>
                </w:p>
              </w:tc>
              <w:tc>
                <w:tcPr>
                  <w:tcW w:w="68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监测值</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6.73</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1.33</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165</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0.122</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488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0.00004ND</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0.004ND</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13.2</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720" w:type="dxa"/>
                  <w:vMerge w:val="continue"/>
                  <w:tcBorders>
                    <w:tl2br w:val="nil"/>
                    <w:tr2bl w:val="nil"/>
                  </w:tcBorders>
                  <w:vAlign w:val="center"/>
                </w:tcPr>
                <w:p>
                  <w:pPr>
                    <w:pStyle w:val="76"/>
                    <w:spacing w:line="240" w:lineRule="auto"/>
                    <w:jc w:val="center"/>
                    <w:rPr>
                      <w:rFonts w:hint="default" w:ascii="Times New Roman" w:hAnsi="Times New Roman" w:cs="Times New Roman"/>
                      <w:u w:val="none"/>
                    </w:rPr>
                  </w:pPr>
                </w:p>
              </w:tc>
              <w:tc>
                <w:tcPr>
                  <w:tcW w:w="68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标准指数</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0.54</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0.44</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0.66</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0.24</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0.49</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0.18</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0.66</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05" w:type="dxa"/>
                  <w:gridSpan w:val="2"/>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GB/T14848-2017中III类</w:t>
                  </w:r>
                </w:p>
              </w:tc>
              <w:tc>
                <w:tcPr>
                  <w:tcW w:w="66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6.5-8.5</w:t>
                  </w:r>
                </w:p>
              </w:tc>
              <w:tc>
                <w:tcPr>
                  <w:tcW w:w="497"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3.0</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250</w:t>
                  </w:r>
                </w:p>
              </w:tc>
              <w:tc>
                <w:tcPr>
                  <w:tcW w:w="55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0.5</w:t>
                  </w:r>
                </w:p>
              </w:tc>
              <w:tc>
                <w:tcPr>
                  <w:tcW w:w="53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1000</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0.002</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0.005</w:t>
                  </w:r>
                </w:p>
              </w:tc>
              <w:tc>
                <w:tcPr>
                  <w:tcW w:w="63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w:t>
                  </w:r>
                </w:p>
              </w:tc>
              <w:tc>
                <w:tcPr>
                  <w:tcW w:w="702"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w:t>
                  </w:r>
                </w:p>
              </w:tc>
              <w:tc>
                <w:tcPr>
                  <w:tcW w:w="496"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20.0</w:t>
                  </w:r>
                </w:p>
              </w:tc>
              <w:tc>
                <w:tcPr>
                  <w:tcW w:w="574"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1.00</w:t>
                  </w:r>
                </w:p>
              </w:tc>
            </w:tr>
          </w:tbl>
          <w:p>
            <w:pPr>
              <w:widowControl/>
              <w:autoSpaceDE w:val="0"/>
              <w:autoSpaceDN w:val="0"/>
              <w:spacing w:line="360" w:lineRule="auto"/>
              <w:ind w:firstLine="422" w:firstLineChars="200"/>
              <w:jc w:val="center"/>
              <w:rPr>
                <w:rFonts w:hint="default" w:ascii="Times New Roman" w:hAnsi="Times New Roman" w:cs="Times New Roman"/>
                <w:b/>
                <w:kern w:val="0"/>
                <w:szCs w:val="21"/>
                <w:u w:val="none"/>
                <w:lang w:val="en-US" w:eastAsia="zh-CN"/>
              </w:rPr>
            </w:pPr>
            <w:r>
              <w:rPr>
                <w:rFonts w:hint="eastAsia" w:ascii="Times New Roman" w:hAnsi="Times New Roman" w:cs="Times New Roman"/>
                <w:b/>
                <w:kern w:val="0"/>
                <w:szCs w:val="21"/>
                <w:u w:val="none"/>
                <w:lang w:val="en-US" w:eastAsia="zh-CN"/>
              </w:rPr>
              <w:t>续</w:t>
            </w:r>
            <w:r>
              <w:rPr>
                <w:rFonts w:hint="default" w:ascii="Times New Roman" w:hAnsi="Times New Roman" w:cs="Times New Roman"/>
                <w:b/>
                <w:kern w:val="0"/>
                <w:szCs w:val="21"/>
                <w:u w:val="none"/>
                <w:lang w:val="en-US" w:eastAsia="zh-CN"/>
              </w:rPr>
              <w:t>表</w:t>
            </w:r>
            <w:r>
              <w:rPr>
                <w:rFonts w:hint="eastAsia" w:cs="Times New Roman"/>
                <w:b/>
                <w:kern w:val="0"/>
                <w:szCs w:val="21"/>
                <w:u w:val="none"/>
                <w:lang w:val="en-US" w:eastAsia="zh-CN"/>
              </w:rPr>
              <w:t>3-9</w:t>
            </w:r>
            <w:r>
              <w:rPr>
                <w:rFonts w:hint="default" w:ascii="Times New Roman" w:hAnsi="Times New Roman" w:cs="Times New Roman"/>
                <w:b/>
                <w:kern w:val="0"/>
                <w:szCs w:val="21"/>
                <w:u w:val="none"/>
                <w:lang w:val="en-US" w:eastAsia="zh-CN"/>
              </w:rPr>
              <w:t xml:space="preserve"> </w:t>
            </w:r>
            <w:r>
              <w:rPr>
                <w:rFonts w:hint="eastAsia" w:ascii="Times New Roman" w:hAnsi="Times New Roman" w:cs="Times New Roman"/>
                <w:b/>
                <w:kern w:val="0"/>
                <w:szCs w:val="21"/>
                <w:u w:val="none"/>
                <w:lang w:val="en-US" w:eastAsia="zh-CN"/>
              </w:rPr>
              <w:t xml:space="preserve"> </w:t>
            </w:r>
            <w:r>
              <w:rPr>
                <w:rFonts w:hint="default" w:ascii="Times New Roman" w:hAnsi="Times New Roman" w:cs="Times New Roman"/>
                <w:b/>
                <w:kern w:val="0"/>
                <w:szCs w:val="21"/>
                <w:u w:val="none"/>
                <w:lang w:val="en-US" w:eastAsia="zh-CN"/>
              </w:rPr>
              <w:t>地下水水质现状监测结果统计表   单位：mg/L</w:t>
            </w:r>
            <w:r>
              <w:rPr>
                <w:rFonts w:hint="eastAsia" w:ascii="Times New Roman" w:hAnsi="Times New Roman" w:cs="Times New Roman"/>
                <w:b/>
                <w:kern w:val="0"/>
                <w:szCs w:val="21"/>
                <w:u w:val="none"/>
                <w:lang w:val="en-US" w:eastAsia="zh-CN"/>
              </w:rPr>
              <w:t>，</w:t>
            </w:r>
            <w:r>
              <w:rPr>
                <w:rFonts w:hint="default" w:ascii="Times New Roman" w:hAnsi="Times New Roman" w:cs="Times New Roman"/>
                <w:b/>
                <w:kern w:val="0"/>
                <w:szCs w:val="21"/>
                <w:u w:val="none"/>
                <w:lang w:val="en-US" w:eastAsia="zh-CN"/>
              </w:rPr>
              <w:t>pH除外</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27"/>
              <w:gridCol w:w="927"/>
              <w:gridCol w:w="966"/>
              <w:gridCol w:w="965"/>
              <w:gridCol w:w="642"/>
              <w:gridCol w:w="753"/>
              <w:gridCol w:w="755"/>
              <w:gridCol w:w="753"/>
              <w:gridCol w:w="643"/>
              <w:gridCol w:w="642"/>
              <w:gridCol w:w="6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940" w:type="dxa"/>
                  <w:vMerge w:val="restart"/>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监测点位</w:t>
                  </w:r>
                </w:p>
              </w:tc>
              <w:tc>
                <w:tcPr>
                  <w:tcW w:w="940" w:type="dxa"/>
                  <w:vMerge w:val="restart"/>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项目</w:t>
                  </w:r>
                </w:p>
              </w:tc>
              <w:tc>
                <w:tcPr>
                  <w:tcW w:w="6851" w:type="dxa"/>
                  <w:gridSpan w:val="9"/>
                  <w:tcBorders>
                    <w:tl2br w:val="nil"/>
                    <w:tr2bl w:val="nil"/>
                  </w:tcBorders>
                  <w:vAlign w:val="top"/>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监测项目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 w:hRule="atLeast"/>
                <w:jc w:val="center"/>
              </w:trPr>
              <w:tc>
                <w:tcPr>
                  <w:tcW w:w="940" w:type="dxa"/>
                  <w:vMerge w:val="continue"/>
                  <w:tcBorders>
                    <w:tl2br w:val="nil"/>
                    <w:tr2bl w:val="nil"/>
                  </w:tcBorders>
                  <w:vAlign w:val="center"/>
                </w:tcPr>
                <w:p>
                  <w:pPr>
                    <w:pStyle w:val="76"/>
                    <w:spacing w:line="240" w:lineRule="auto"/>
                    <w:jc w:val="center"/>
                    <w:rPr>
                      <w:rFonts w:hint="default" w:ascii="Times New Roman" w:hAnsi="Times New Roman" w:cs="Times New Roman"/>
                      <w:b/>
                      <w:bCs/>
                      <w:u w:val="none"/>
                    </w:rPr>
                  </w:pPr>
                </w:p>
              </w:tc>
              <w:tc>
                <w:tcPr>
                  <w:tcW w:w="940" w:type="dxa"/>
                  <w:vMerge w:val="continue"/>
                  <w:tcBorders>
                    <w:tl2br w:val="nil"/>
                    <w:tr2bl w:val="nil"/>
                  </w:tcBorders>
                  <w:vAlign w:val="center"/>
                </w:tcPr>
                <w:p>
                  <w:pPr>
                    <w:pStyle w:val="76"/>
                    <w:spacing w:line="240" w:lineRule="auto"/>
                    <w:jc w:val="center"/>
                    <w:rPr>
                      <w:rFonts w:hint="default" w:ascii="Times New Roman" w:hAnsi="Times New Roman" w:cs="Times New Roman"/>
                      <w:b/>
                      <w:bCs/>
                      <w:u w:val="none"/>
                    </w:rPr>
                  </w:pPr>
                </w:p>
              </w:tc>
              <w:tc>
                <w:tcPr>
                  <w:tcW w:w="980"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挥发性酚类</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氰化物</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总硬度</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氟化物</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铁</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锰</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氯化物</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总大肠菌群</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b/>
                      <w:bCs/>
                      <w:u w:val="none"/>
                    </w:rPr>
                  </w:pPr>
                  <w:r>
                    <w:rPr>
                      <w:rFonts w:hint="default" w:ascii="Times New Roman" w:hAnsi="Times New Roman" w:cs="Times New Roman"/>
                      <w:b/>
                      <w:bCs/>
                      <w:u w:val="none"/>
                    </w:rPr>
                    <w:t>细菌总数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940" w:type="dxa"/>
                  <w:vMerge w:val="restart"/>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D1</w:t>
                  </w:r>
                </w:p>
              </w:tc>
              <w:tc>
                <w:tcPr>
                  <w:tcW w:w="94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监测值</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0.016ND</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125</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0.058</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0.244</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0.025</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89</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940" w:type="dxa"/>
                  <w:vMerge w:val="continue"/>
                  <w:tcBorders>
                    <w:tl2br w:val="nil"/>
                    <w:tr2bl w:val="nil"/>
                  </w:tcBorders>
                  <w:vAlign w:val="center"/>
                </w:tcPr>
                <w:p>
                  <w:pPr>
                    <w:pStyle w:val="76"/>
                    <w:spacing w:line="240" w:lineRule="auto"/>
                    <w:jc w:val="center"/>
                    <w:rPr>
                      <w:rFonts w:hint="default" w:ascii="Times New Roman" w:hAnsi="Times New Roman" w:cs="Times New Roman"/>
                      <w:u w:val="none"/>
                    </w:rPr>
                  </w:pPr>
                </w:p>
              </w:tc>
              <w:tc>
                <w:tcPr>
                  <w:tcW w:w="94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标准指数</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0.28</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0.06</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0.81</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0.25</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0.36</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0.33</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940" w:type="dxa"/>
                  <w:vMerge w:val="restart"/>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D2</w:t>
                  </w:r>
                </w:p>
              </w:tc>
              <w:tc>
                <w:tcPr>
                  <w:tcW w:w="94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监测值</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0.016ND</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166</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0.056</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0.269</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0.029</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88</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940" w:type="dxa"/>
                  <w:vMerge w:val="continue"/>
                  <w:tcBorders>
                    <w:tl2br w:val="nil"/>
                    <w:tr2bl w:val="nil"/>
                  </w:tcBorders>
                  <w:vAlign w:val="center"/>
                </w:tcPr>
                <w:p>
                  <w:pPr>
                    <w:pStyle w:val="76"/>
                    <w:spacing w:line="240" w:lineRule="auto"/>
                    <w:jc w:val="center"/>
                    <w:rPr>
                      <w:rFonts w:hint="default" w:ascii="Times New Roman" w:hAnsi="Times New Roman" w:cs="Times New Roman"/>
                      <w:u w:val="none"/>
                    </w:rPr>
                  </w:pPr>
                </w:p>
              </w:tc>
              <w:tc>
                <w:tcPr>
                  <w:tcW w:w="94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标准指数</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0.37</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0.06</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0.90</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0.29</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0.35</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0.33</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940" w:type="dxa"/>
                  <w:vMerge w:val="restart"/>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D3</w:t>
                  </w:r>
                </w:p>
              </w:tc>
              <w:tc>
                <w:tcPr>
                  <w:tcW w:w="94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监测值</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0.001ND</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0.016ND</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126</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0.055</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0.211</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0.026</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95</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940" w:type="dxa"/>
                  <w:vMerge w:val="continue"/>
                  <w:tcBorders>
                    <w:tl2br w:val="nil"/>
                    <w:tr2bl w:val="nil"/>
                  </w:tcBorders>
                  <w:vAlign w:val="center"/>
                </w:tcPr>
                <w:p>
                  <w:pPr>
                    <w:pStyle w:val="76"/>
                    <w:spacing w:line="240" w:lineRule="auto"/>
                    <w:jc w:val="center"/>
                    <w:rPr>
                      <w:rFonts w:hint="default" w:ascii="Times New Roman" w:hAnsi="Times New Roman" w:cs="Times New Roman"/>
                      <w:u w:val="none"/>
                    </w:rPr>
                  </w:pPr>
                </w:p>
              </w:tc>
              <w:tc>
                <w:tcPr>
                  <w:tcW w:w="94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标准指数</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0.28</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0.06</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0.70</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0.26</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0.38</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0.33</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1880" w:type="dxa"/>
                  <w:gridSpan w:val="2"/>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GB/T14848-2017中III类</w:t>
                  </w:r>
                </w:p>
              </w:tc>
              <w:tc>
                <w:tcPr>
                  <w:tcW w:w="98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0.002</w:t>
                  </w:r>
                </w:p>
              </w:tc>
              <w:tc>
                <w:tcPr>
                  <w:tcW w:w="97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0.05</w:t>
                  </w:r>
                </w:p>
              </w:tc>
              <w:tc>
                <w:tcPr>
                  <w:tcW w:w="650"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450</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w:t>
                  </w:r>
                </w:p>
              </w:tc>
              <w:tc>
                <w:tcPr>
                  <w:tcW w:w="765"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0.3</w:t>
                  </w:r>
                </w:p>
              </w:tc>
              <w:tc>
                <w:tcPr>
                  <w:tcW w:w="763"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0.1</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250</w:t>
                  </w:r>
                </w:p>
              </w:tc>
              <w:tc>
                <w:tcPr>
                  <w:tcW w:w="649"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3.0</w:t>
                  </w:r>
                </w:p>
              </w:tc>
              <w:tc>
                <w:tcPr>
                  <w:tcW w:w="651" w:type="dxa"/>
                  <w:tcBorders>
                    <w:tl2br w:val="nil"/>
                    <w:tr2bl w:val="nil"/>
                  </w:tcBorders>
                  <w:vAlign w:val="center"/>
                </w:tcPr>
                <w:p>
                  <w:pPr>
                    <w:pStyle w:val="76"/>
                    <w:spacing w:line="240" w:lineRule="auto"/>
                    <w:jc w:val="center"/>
                    <w:rPr>
                      <w:rFonts w:hint="default" w:ascii="Times New Roman" w:hAnsi="Times New Roman" w:cs="Times New Roman"/>
                      <w:u w:val="none"/>
                    </w:rPr>
                  </w:pPr>
                  <w:r>
                    <w:rPr>
                      <w:rFonts w:hint="default" w:ascii="Times New Roman" w:hAnsi="Times New Roman" w:cs="Times New Roman"/>
                      <w:u w:val="none"/>
                    </w:rPr>
                    <w:t>100</w:t>
                  </w:r>
                </w:p>
              </w:tc>
            </w:tr>
          </w:tbl>
          <w:p>
            <w:pPr>
              <w:spacing w:line="360" w:lineRule="auto"/>
              <w:ind w:firstLine="480" w:firstLineChars="200"/>
              <w:outlineLvl w:val="9"/>
              <w:rPr>
                <w:rFonts w:hint="eastAsia" w:ascii="Times New Roman" w:hAnsi="Times New Roman" w:cs="Times New Roman"/>
                <w:b/>
                <w:bCs/>
                <w:sz w:val="24"/>
                <w:szCs w:val="24"/>
                <w:lang w:val="en-US" w:eastAsia="zh-CN"/>
              </w:rPr>
            </w:pPr>
            <w:r>
              <w:rPr>
                <w:rFonts w:hint="eastAsia" w:ascii="Times New Roman" w:hAnsi="Times New Roman" w:cs="Times New Roman"/>
                <w:sz w:val="24"/>
                <w:u w:val="none"/>
                <w:lang w:val="en-US" w:eastAsia="zh-CN"/>
              </w:rPr>
              <w:t>根据监测结果可知，区域地下水各项监测因子均达到《地下水质量标准》（GB/T14848-2017）中的Ⅲ类标准，地下水环境质量较好。</w:t>
            </w:r>
          </w:p>
          <w:p>
            <w:pPr>
              <w:spacing w:line="360" w:lineRule="auto"/>
              <w:ind w:firstLine="482" w:firstLineChars="200"/>
              <w:outlineLvl w:val="9"/>
              <w:rPr>
                <w:rFonts w:hint="default" w:ascii="Times New Roman" w:hAnsi="Times New Roman" w:cs="Times New Roman"/>
                <w:b/>
                <w:bCs/>
                <w:sz w:val="24"/>
                <w:szCs w:val="24"/>
                <w:lang w:val="en-US" w:eastAsia="zh-CN"/>
              </w:rPr>
            </w:pPr>
            <w:r>
              <w:rPr>
                <w:rFonts w:hint="eastAsia" w:cs="Times New Roman"/>
                <w:b/>
                <w:bCs/>
                <w:sz w:val="24"/>
                <w:szCs w:val="24"/>
                <w:lang w:val="en-US" w:eastAsia="zh-CN"/>
              </w:rPr>
              <w:t>四、</w:t>
            </w:r>
            <w:r>
              <w:rPr>
                <w:rFonts w:hint="default" w:ascii="Times New Roman" w:hAnsi="Times New Roman" w:cs="Times New Roman"/>
                <w:b/>
                <w:bCs/>
                <w:sz w:val="24"/>
                <w:szCs w:val="24"/>
                <w:lang w:val="en-US" w:eastAsia="zh-CN"/>
              </w:rPr>
              <w:t>声环境质量现状调查与评价</w:t>
            </w:r>
          </w:p>
          <w:p>
            <w:pPr>
              <w:spacing w:line="360" w:lineRule="auto"/>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1、监测布点</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根据声环境质量评价的要求以及</w:t>
            </w:r>
            <w:r>
              <w:rPr>
                <w:rFonts w:hint="eastAsia" w:ascii="Times New Roman" w:hAnsi="Times New Roman" w:cs="Times New Roman"/>
                <w:sz w:val="24"/>
                <w:lang w:val="en-US" w:eastAsia="zh-CN"/>
              </w:rPr>
              <w:t>项目所在地</w:t>
            </w:r>
            <w:r>
              <w:rPr>
                <w:rFonts w:hint="default" w:ascii="Times New Roman" w:hAnsi="Times New Roman" w:cs="Times New Roman"/>
                <w:sz w:val="24"/>
                <w:lang w:val="en-US" w:eastAsia="zh-CN"/>
              </w:rPr>
              <w:t>四周的实际情况</w:t>
            </w:r>
            <w:r>
              <w:rPr>
                <w:rFonts w:hint="eastAsia" w:ascii="Times New Roman" w:hAnsi="Times New Roman" w:cs="Times New Roman"/>
                <w:sz w:val="24"/>
                <w:lang w:val="en-US" w:eastAsia="zh-CN"/>
              </w:rPr>
              <w:t>，本次评价</w:t>
            </w:r>
            <w:r>
              <w:rPr>
                <w:rFonts w:hint="default" w:ascii="Times New Roman" w:hAnsi="Times New Roman" w:cs="Times New Roman"/>
                <w:sz w:val="24"/>
                <w:lang w:val="en-US" w:eastAsia="zh-CN"/>
              </w:rPr>
              <w:t>共设4</w:t>
            </w:r>
            <w:r>
              <w:rPr>
                <w:rFonts w:hint="eastAsia" w:ascii="Times New Roman" w:hAnsi="Times New Roman" w:cs="Times New Roman"/>
                <w:sz w:val="24"/>
                <w:lang w:val="en-US" w:eastAsia="zh-CN"/>
              </w:rPr>
              <w:t>个</w:t>
            </w:r>
            <w:r>
              <w:rPr>
                <w:rFonts w:hint="default" w:ascii="Times New Roman" w:hAnsi="Times New Roman" w:cs="Times New Roman"/>
                <w:sz w:val="24"/>
                <w:lang w:val="en-US" w:eastAsia="zh-CN"/>
              </w:rPr>
              <w:t>监测点。</w:t>
            </w:r>
          </w:p>
          <w:p>
            <w:pPr>
              <w:spacing w:line="360" w:lineRule="auto"/>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2、监测项目</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等效连续A声级。</w:t>
            </w:r>
          </w:p>
          <w:p>
            <w:pPr>
              <w:spacing w:line="360" w:lineRule="auto"/>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3、监测时间与频率</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湖南德环检测中心于20</w:t>
            </w:r>
            <w:r>
              <w:rPr>
                <w:rFonts w:hint="eastAsia" w:ascii="Times New Roman" w:hAnsi="Times New Roman" w:cs="Times New Roman"/>
                <w:sz w:val="24"/>
                <w:lang w:val="en-US" w:eastAsia="zh-CN"/>
              </w:rPr>
              <w:t>20</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9</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28</w:t>
            </w:r>
            <w:r>
              <w:rPr>
                <w:rFonts w:hint="default" w:ascii="Times New Roman" w:hAnsi="Times New Roman" w:cs="Times New Roman"/>
                <w:sz w:val="24"/>
                <w:lang w:val="en-US" w:eastAsia="zh-CN"/>
              </w:rPr>
              <w:t>日对</w:t>
            </w:r>
            <w:r>
              <w:rPr>
                <w:rFonts w:hint="eastAsia" w:ascii="Times New Roman" w:hAnsi="Times New Roman" w:cs="Times New Roman"/>
                <w:sz w:val="24"/>
                <w:lang w:val="en-US" w:eastAsia="zh-CN"/>
              </w:rPr>
              <w:t>项目拟建地厂界四周</w:t>
            </w:r>
            <w:r>
              <w:rPr>
                <w:rFonts w:hint="default" w:ascii="Times New Roman" w:hAnsi="Times New Roman" w:cs="Times New Roman"/>
                <w:sz w:val="24"/>
                <w:lang w:val="en-US" w:eastAsia="zh-CN"/>
              </w:rPr>
              <w:t>进行了为期</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天的噪声监测，分昼间、夜间2个时段监测，采样结果由仪器自动统计。</w:t>
            </w:r>
          </w:p>
          <w:p>
            <w:pPr>
              <w:spacing w:line="360" w:lineRule="auto"/>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4、监测结果与评价</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厂界四周声环境质量现状监测结果于表</w:t>
            </w:r>
            <w:r>
              <w:rPr>
                <w:rFonts w:hint="eastAsia" w:cs="Times New Roman"/>
                <w:sz w:val="24"/>
                <w:lang w:val="en-US" w:eastAsia="zh-CN"/>
              </w:rPr>
              <w:t>3-10</w:t>
            </w:r>
            <w:r>
              <w:rPr>
                <w:rFonts w:hint="default" w:ascii="Times New Roman" w:hAnsi="Times New Roman" w:cs="Times New Roman"/>
                <w:sz w:val="24"/>
                <w:lang w:val="en-US" w:eastAsia="zh-CN"/>
              </w:rPr>
              <w:t>。</w:t>
            </w: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表</w:t>
            </w:r>
            <w:r>
              <w:rPr>
                <w:rFonts w:hint="eastAsia" w:cs="Times New Roman"/>
                <w:b/>
                <w:bCs/>
                <w:szCs w:val="21"/>
                <w:lang w:val="en-US" w:eastAsia="zh-CN"/>
              </w:rPr>
              <w:t>3-10</w:t>
            </w:r>
            <w:r>
              <w:rPr>
                <w:rFonts w:hint="default" w:ascii="Times New Roman" w:hAnsi="Times New Roman" w:cs="Times New Roman"/>
                <w:b/>
                <w:bCs/>
                <w:szCs w:val="21"/>
              </w:rPr>
              <w:t xml:space="preserve">  声环境质量现状监测列及评价结果表  单位：dB（A）</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23"/>
              <w:gridCol w:w="1380"/>
              <w:gridCol w:w="1381"/>
              <w:gridCol w:w="1637"/>
              <w:gridCol w:w="1360"/>
              <w:gridCol w:w="113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48"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监测点位</w:t>
                  </w:r>
                </w:p>
              </w:tc>
              <w:tc>
                <w:tcPr>
                  <w:tcW w:w="2797"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监测时段</w:t>
                  </w:r>
                </w:p>
              </w:tc>
              <w:tc>
                <w:tcPr>
                  <w:tcW w:w="1659"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监测结果Leq</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标准值</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超标值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4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eastAsia="zh-CN"/>
                    </w:rPr>
                    <w:t>东侧厂界</w:t>
                  </w:r>
                  <w:r>
                    <w:rPr>
                      <w:rFonts w:hint="default" w:ascii="Times New Roman" w:hAnsi="Times New Roman" w:cs="Times New Roman"/>
                      <w:kern w:val="0"/>
                      <w:szCs w:val="21"/>
                    </w:rPr>
                    <w:t>1#</w:t>
                  </w:r>
                </w:p>
              </w:tc>
              <w:tc>
                <w:tcPr>
                  <w:tcW w:w="139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rPr>
                  </w:pP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28</w:t>
                  </w:r>
                  <w:r>
                    <w:rPr>
                      <w:rFonts w:hint="default" w:ascii="Times New Roman" w:hAnsi="Times New Roman" w:cs="Times New Roman"/>
                      <w:sz w:val="21"/>
                      <w:szCs w:val="21"/>
                      <w:lang w:val="en-US" w:eastAsia="zh-CN"/>
                    </w:rPr>
                    <w:t>日</w:t>
                  </w: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昼间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53.6</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70</w:t>
                  </w:r>
                </w:p>
              </w:tc>
              <w:tc>
                <w:tcPr>
                  <w:tcW w:w="1150"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7" w:hRule="atLeast"/>
                <w:jc w:val="center"/>
              </w:trPr>
              <w:tc>
                <w:tcPr>
                  <w:tcW w:w="174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rPr>
                  </w:pP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夜间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43.8</w:t>
                  </w:r>
                </w:p>
              </w:tc>
              <w:tc>
                <w:tcPr>
                  <w:tcW w:w="1378"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55</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4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eastAsia="zh-CN"/>
                    </w:rPr>
                    <w:t>南侧厂界</w:t>
                  </w:r>
                  <w:r>
                    <w:rPr>
                      <w:rFonts w:hint="default" w:ascii="Times New Roman" w:hAnsi="Times New Roman" w:cs="Times New Roman"/>
                      <w:kern w:val="0"/>
                      <w:szCs w:val="21"/>
                    </w:rPr>
                    <w:t>2#</w:t>
                  </w:r>
                </w:p>
              </w:tc>
              <w:tc>
                <w:tcPr>
                  <w:tcW w:w="139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28</w:t>
                  </w:r>
                  <w:r>
                    <w:rPr>
                      <w:rFonts w:hint="default" w:ascii="Times New Roman" w:hAnsi="Times New Roman" w:cs="Times New Roman"/>
                      <w:sz w:val="21"/>
                      <w:szCs w:val="21"/>
                      <w:lang w:val="en-US" w:eastAsia="zh-CN"/>
                    </w:rPr>
                    <w:t>日</w:t>
                  </w: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昼间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53.2</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70</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 w:hRule="atLeast"/>
                <w:jc w:val="center"/>
              </w:trPr>
              <w:tc>
                <w:tcPr>
                  <w:tcW w:w="174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夜间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43.3</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55</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4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eastAsia="zh-CN"/>
                    </w:rPr>
                    <w:t>西侧厂界</w:t>
                  </w:r>
                  <w:r>
                    <w:rPr>
                      <w:rFonts w:hint="default" w:ascii="Times New Roman" w:hAnsi="Times New Roman" w:cs="Times New Roman"/>
                      <w:kern w:val="0"/>
                      <w:szCs w:val="21"/>
                    </w:rPr>
                    <w:t>3#</w:t>
                  </w:r>
                </w:p>
              </w:tc>
              <w:tc>
                <w:tcPr>
                  <w:tcW w:w="139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28</w:t>
                  </w:r>
                  <w:r>
                    <w:rPr>
                      <w:rFonts w:hint="default" w:ascii="Times New Roman" w:hAnsi="Times New Roman" w:cs="Times New Roman"/>
                      <w:sz w:val="21"/>
                      <w:szCs w:val="21"/>
                      <w:lang w:val="en-US" w:eastAsia="zh-CN"/>
                    </w:rPr>
                    <w:t>日</w:t>
                  </w: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昼间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54.3</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65</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4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夜间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44.7</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55</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74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eastAsia="zh-CN"/>
                    </w:rPr>
                    <w:t>北侧厂界</w:t>
                  </w:r>
                  <w:r>
                    <w:rPr>
                      <w:rFonts w:hint="default" w:ascii="Times New Roman" w:hAnsi="Times New Roman" w:cs="Times New Roman"/>
                      <w:kern w:val="0"/>
                      <w:szCs w:val="21"/>
                    </w:rPr>
                    <w:t>4#</w:t>
                  </w:r>
                </w:p>
              </w:tc>
              <w:tc>
                <w:tcPr>
                  <w:tcW w:w="1398"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28</w:t>
                  </w:r>
                  <w:r>
                    <w:rPr>
                      <w:rFonts w:hint="default" w:ascii="Times New Roman" w:hAnsi="Times New Roman" w:cs="Times New Roman"/>
                      <w:sz w:val="21"/>
                      <w:szCs w:val="21"/>
                      <w:lang w:val="en-US" w:eastAsia="zh-CN"/>
                    </w:rPr>
                    <w:t>日</w:t>
                  </w: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昼间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53.8</w:t>
                  </w:r>
                </w:p>
              </w:tc>
              <w:tc>
                <w:tcPr>
                  <w:tcW w:w="1378"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65</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5" w:hRule="atLeast"/>
                <w:jc w:val="center"/>
              </w:trPr>
              <w:tc>
                <w:tcPr>
                  <w:tcW w:w="174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p>
              </w:tc>
              <w:tc>
                <w:tcPr>
                  <w:tcW w:w="139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夜间</w:t>
                  </w:r>
                </w:p>
              </w:tc>
              <w:tc>
                <w:tcPr>
                  <w:tcW w:w="1659" w:type="dxa"/>
                  <w:tcBorders>
                    <w:tl2br w:val="nil"/>
                    <w:tr2bl w:val="nil"/>
                  </w:tcBorders>
                  <w:vAlign w:val="center"/>
                </w:tcPr>
                <w:p>
                  <w:pPr>
                    <w:pStyle w:val="77"/>
                    <w:widowControl w:val="0"/>
                    <w:spacing w:line="240" w:lineRule="auto"/>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44.6</w:t>
                  </w:r>
                </w:p>
              </w:tc>
              <w:tc>
                <w:tcPr>
                  <w:tcW w:w="137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55</w:t>
                  </w:r>
                </w:p>
              </w:tc>
              <w:tc>
                <w:tcPr>
                  <w:tcW w:w="115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w:t>
                  </w:r>
                </w:p>
              </w:tc>
            </w:tr>
          </w:tbl>
          <w:p>
            <w:pPr>
              <w:pStyle w:val="21"/>
              <w:spacing w:line="360" w:lineRule="auto"/>
              <w:ind w:left="0" w:leftChars="0" w:firstLine="480" w:firstLineChars="200"/>
              <w:jc w:val="left"/>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由表</w:t>
            </w:r>
            <w:r>
              <w:rPr>
                <w:rFonts w:hint="eastAsia" w:cs="Times New Roman"/>
                <w:kern w:val="2"/>
                <w:sz w:val="24"/>
                <w:szCs w:val="24"/>
                <w:lang w:val="en-US" w:eastAsia="zh-CN" w:bidi="ar-SA"/>
              </w:rPr>
              <w:t>3-10</w:t>
            </w:r>
            <w:r>
              <w:rPr>
                <w:rFonts w:hint="default" w:ascii="Times New Roman" w:hAnsi="Times New Roman" w:eastAsia="宋体" w:cs="Times New Roman"/>
                <w:kern w:val="2"/>
                <w:sz w:val="24"/>
                <w:szCs w:val="24"/>
                <w:lang w:val="en-US" w:eastAsia="zh-CN" w:bidi="ar-SA"/>
              </w:rPr>
              <w:t>可知，项目</w:t>
            </w:r>
            <w:r>
              <w:rPr>
                <w:rFonts w:hint="eastAsia" w:ascii="Times New Roman" w:hAnsi="Times New Roman" w:eastAsia="宋体" w:cs="Times New Roman"/>
                <w:kern w:val="2"/>
                <w:sz w:val="24"/>
                <w:szCs w:val="24"/>
                <w:lang w:val="en-US" w:eastAsia="zh-CN" w:bidi="ar-SA"/>
              </w:rPr>
              <w:t>拟建地厂界东侧、南侧</w:t>
            </w:r>
            <w:r>
              <w:rPr>
                <w:rFonts w:hint="default" w:ascii="Times New Roman" w:hAnsi="Times New Roman" w:eastAsia="宋体" w:cs="Times New Roman"/>
                <w:kern w:val="2"/>
                <w:sz w:val="24"/>
                <w:szCs w:val="24"/>
                <w:lang w:val="en-US" w:eastAsia="zh-CN" w:bidi="ar-SA"/>
              </w:rPr>
              <w:t>昼</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夜声环境质量符合《声环境质量标准》（GB3096-2008）中</w:t>
            </w:r>
            <w:r>
              <w:rPr>
                <w:rFonts w:hint="eastAsia" w:ascii="Times New Roman" w:hAnsi="Times New Roman" w:eastAsia="宋体" w:cs="Times New Roman"/>
                <w:kern w:val="2"/>
                <w:sz w:val="24"/>
                <w:szCs w:val="24"/>
                <w:lang w:val="en-US" w:eastAsia="zh-CN" w:bidi="ar-SA"/>
              </w:rPr>
              <w:t>4a</w:t>
            </w:r>
            <w:r>
              <w:rPr>
                <w:rFonts w:hint="default" w:ascii="Times New Roman" w:hAnsi="Times New Roman" w:eastAsia="宋体" w:cs="Times New Roman"/>
                <w:kern w:val="2"/>
                <w:sz w:val="24"/>
                <w:szCs w:val="24"/>
                <w:lang w:val="en-US" w:eastAsia="zh-CN" w:bidi="ar-SA"/>
              </w:rPr>
              <w:t>类标准</w:t>
            </w:r>
            <w:r>
              <w:rPr>
                <w:rFonts w:hint="eastAsia" w:ascii="Times New Roman" w:hAnsi="Times New Roman" w:eastAsia="宋体" w:cs="Times New Roman"/>
                <w:kern w:val="2"/>
                <w:sz w:val="24"/>
                <w:szCs w:val="24"/>
                <w:lang w:val="en-US" w:eastAsia="zh-CN" w:bidi="ar-SA"/>
              </w:rPr>
              <w:t>，厂界西侧、北侧昼、夜声环境质量符合</w:t>
            </w:r>
            <w:r>
              <w:rPr>
                <w:rFonts w:hint="default" w:ascii="Times New Roman" w:hAnsi="Times New Roman" w:eastAsia="宋体" w:cs="Times New Roman"/>
                <w:kern w:val="2"/>
                <w:sz w:val="24"/>
                <w:szCs w:val="24"/>
                <w:lang w:val="en-US" w:eastAsia="zh-CN" w:bidi="ar-SA"/>
              </w:rPr>
              <w:t>《声环境质量标准》（GB3096-2008）中</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类标准</w:t>
            </w:r>
            <w:r>
              <w:rPr>
                <w:rFonts w:hint="eastAsia" w:ascii="Times New Roman" w:hAnsi="Times New Roman" w:eastAsia="宋体" w:cs="Times New Roman"/>
                <w:kern w:val="2"/>
                <w:sz w:val="24"/>
                <w:szCs w:val="24"/>
                <w:lang w:val="en-US" w:eastAsia="zh-CN" w:bidi="ar-SA"/>
              </w:rPr>
              <w:t>。</w:t>
            </w:r>
          </w:p>
          <w:p>
            <w:pPr>
              <w:pStyle w:val="21"/>
              <w:spacing w:line="360" w:lineRule="auto"/>
              <w:ind w:left="0" w:leftChars="0" w:firstLine="420" w:firstLineChars="200"/>
              <w:jc w:val="center"/>
              <w:rPr>
                <w:sz w:val="24"/>
              </w:rPr>
            </w:pPr>
            <w:r>
              <w:drawing>
                <wp:inline distT="0" distB="0" distL="114300" distR="114300">
                  <wp:extent cx="0" cy="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0" cy="0"/>
                          </a:xfrm>
                          <a:prstGeom prst="rect">
                            <a:avLst/>
                          </a:prstGeom>
                          <a:noFill/>
                          <a:ln w="9525">
                            <a:noFill/>
                          </a:ln>
                        </pic:spPr>
                      </pic:pic>
                    </a:graphicData>
                  </a:graphic>
                </wp:inline>
              </w:drawing>
            </w:r>
            <w:r>
              <w:drawing>
                <wp:inline distT="0" distB="0" distL="114300" distR="114300">
                  <wp:extent cx="0" cy="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8"/>
                          <a:stretch>
                            <a:fillRect/>
                          </a:stretch>
                        </pic:blipFill>
                        <pic:spPr>
                          <a:xfrm>
                            <a:off x="0" y="0"/>
                            <a:ext cx="0" cy="0"/>
                          </a:xfrm>
                          <a:prstGeom prst="rect">
                            <a:avLst/>
                          </a:prstGeom>
                          <a:noFill/>
                          <a:ln w="9525">
                            <a:noFill/>
                          </a:ln>
                        </pic:spPr>
                      </pic:pic>
                    </a:graphicData>
                  </a:graphic>
                </wp:inline>
              </w:drawing>
            </w:r>
            <w:r>
              <w:drawing>
                <wp:inline distT="0" distB="0" distL="114300" distR="114300">
                  <wp:extent cx="0" cy="0"/>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9"/>
                          <a:stretch>
                            <a:fillRect/>
                          </a:stretch>
                        </pic:blipFill>
                        <pic:spPr>
                          <a:xfrm>
                            <a:off x="0" y="0"/>
                            <a:ext cx="0" cy="0"/>
                          </a:xfrm>
                          <a:prstGeom prst="rect">
                            <a:avLst/>
                          </a:prstGeom>
                          <a:noFill/>
                          <a:ln w="9525">
                            <a:noFill/>
                          </a:ln>
                        </pic:spPr>
                      </pic:pic>
                    </a:graphicData>
                  </a:graphic>
                </wp:inline>
              </w:drawing>
            </w:r>
            <w:r>
              <w:drawing>
                <wp:inline distT="0" distB="0" distL="114300" distR="114300">
                  <wp:extent cx="0"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stretch>
                            <a:fillRect/>
                          </a:stretch>
                        </pic:blipFill>
                        <pic:spPr>
                          <a:xfrm>
                            <a:off x="0" y="0"/>
                            <a:ext cx="0" cy="0"/>
                          </a:xfrm>
                          <a:prstGeom prst="rect">
                            <a:avLst/>
                          </a:prstGeom>
                          <a:noFill/>
                          <a:ln w="9525">
                            <a:noFill/>
                          </a:ln>
                        </pic:spPr>
                      </pic:pic>
                    </a:graphicData>
                  </a:graphic>
                </wp:inline>
              </w:drawing>
            </w:r>
            <w:r>
              <w:drawing>
                <wp:inline distT="0" distB="0" distL="114300" distR="114300">
                  <wp:extent cx="0" cy="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9"/>
                          <a:stretch>
                            <a:fillRect/>
                          </a:stretch>
                        </pic:blipFill>
                        <pic:spPr>
                          <a:xfrm>
                            <a:off x="0" y="0"/>
                            <a:ext cx="0" cy="0"/>
                          </a:xfrm>
                          <a:prstGeom prst="rect">
                            <a:avLst/>
                          </a:prstGeom>
                          <a:noFill/>
                          <a:ln w="9525">
                            <a:noFill/>
                          </a:ln>
                        </pic:spPr>
                      </pic:pic>
                    </a:graphicData>
                  </a:graphic>
                </wp:inline>
              </w:drawing>
            </w:r>
            <w:r>
              <w:drawing>
                <wp:inline distT="0" distB="0" distL="114300" distR="114300">
                  <wp:extent cx="0" cy="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9"/>
                          <a:stretch>
                            <a:fillRect/>
                          </a:stretch>
                        </pic:blipFill>
                        <pic:spPr>
                          <a:xfrm>
                            <a:off x="0" y="0"/>
                            <a:ext cx="0" cy="0"/>
                          </a:xfrm>
                          <a:prstGeom prst="rect">
                            <a:avLst/>
                          </a:prstGeom>
                          <a:noFill/>
                          <a:ln w="9525">
                            <a:noFill/>
                          </a:ln>
                        </pic:spPr>
                      </pic:pic>
                    </a:graphicData>
                  </a:graphic>
                </wp:inline>
              </w:drawing>
            </w:r>
            <w:r>
              <w:drawing>
                <wp:inline distT="0" distB="0" distL="114300" distR="114300">
                  <wp:extent cx="0" cy="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9"/>
                          <a:stretch>
                            <a:fillRect/>
                          </a:stretch>
                        </pic:blipFill>
                        <pic:spPr>
                          <a:xfrm>
                            <a:off x="0" y="0"/>
                            <a:ext cx="0" cy="0"/>
                          </a:xfrm>
                          <a:prstGeom prst="rect">
                            <a:avLst/>
                          </a:prstGeom>
                          <a:noFill/>
                          <a:ln w="9525">
                            <a:noFill/>
                          </a:ln>
                        </pic:spPr>
                      </pic:pic>
                    </a:graphicData>
                  </a:graphic>
                </wp:inline>
              </w:drawing>
            </w:r>
            <w:r>
              <w:drawing>
                <wp:inline distT="0" distB="0" distL="114300" distR="114300">
                  <wp:extent cx="4732020" cy="3549015"/>
                  <wp:effectExtent l="0" t="0" r="11430" b="1333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0"/>
                          <a:stretch>
                            <a:fillRect/>
                          </a:stretch>
                        </pic:blipFill>
                        <pic:spPr>
                          <a:xfrm>
                            <a:off x="0" y="0"/>
                            <a:ext cx="4732020" cy="3549015"/>
                          </a:xfrm>
                          <a:prstGeom prst="rect">
                            <a:avLst/>
                          </a:prstGeom>
                          <a:noFill/>
                          <a:ln>
                            <a:noFill/>
                          </a:ln>
                        </pic:spPr>
                      </pic:pic>
                    </a:graphicData>
                  </a:graphic>
                </wp:inline>
              </w:drawing>
            </w:r>
          </w:p>
          <w:p>
            <w:pPr>
              <w:pStyle w:val="42"/>
              <w:ind w:firstLine="0" w:firstLineChars="0"/>
              <w:jc w:val="center"/>
              <w:rPr>
                <w:rFonts w:hAnsi="Times New Roman" w:cs="Times New Roman"/>
                <w:sz w:val="21"/>
                <w:szCs w:val="21"/>
              </w:rPr>
            </w:pPr>
            <w:r>
              <w:drawing>
                <wp:inline distT="0" distB="0" distL="114300" distR="114300">
                  <wp:extent cx="0"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0" cy="0"/>
                          </a:xfrm>
                          <a:prstGeom prst="rect">
                            <a:avLst/>
                          </a:prstGeom>
                          <a:noFill/>
                          <a:ln w="9525">
                            <a:noFill/>
                          </a:ln>
                        </pic:spPr>
                      </pic:pic>
                    </a:graphicData>
                  </a:graphic>
                </wp:inline>
              </w:drawing>
            </w:r>
            <w:r>
              <w:rPr>
                <w:rFonts w:hAnsi="Times New Roman" w:cs="Times New Roman"/>
                <w:sz w:val="21"/>
                <w:szCs w:val="21"/>
              </w:rPr>
              <w:t xml:space="preserve"> 图</w:t>
            </w:r>
            <w:r>
              <w:rPr>
                <w:rFonts w:hint="eastAsia" w:hAnsi="Times New Roman" w:cs="Times New Roman"/>
                <w:sz w:val="21"/>
                <w:szCs w:val="21"/>
                <w:lang w:val="en-US" w:eastAsia="zh-CN"/>
              </w:rPr>
              <w:t>3-</w:t>
            </w:r>
            <w:r>
              <w:rPr>
                <w:rFonts w:hint="eastAsia" w:hAnsi="Times New Roman" w:cs="Times New Roman"/>
                <w:sz w:val="21"/>
                <w:szCs w:val="21"/>
              </w:rPr>
              <w:t>1</w:t>
            </w:r>
            <w:r>
              <w:rPr>
                <w:rFonts w:hAnsi="Times New Roman" w:cs="Times New Roman"/>
                <w:sz w:val="21"/>
                <w:szCs w:val="21"/>
              </w:rPr>
              <w:t xml:space="preserve">  声环境质量监测点位示意图</w:t>
            </w:r>
          </w:p>
          <w:p>
            <w:pPr>
              <w:spacing w:line="360" w:lineRule="auto"/>
              <w:ind w:firstLine="482" w:firstLineChars="200"/>
              <w:rPr>
                <w:b/>
                <w:bCs/>
                <w:sz w:val="24"/>
              </w:rPr>
            </w:pPr>
            <w:r>
              <w:rPr>
                <w:rFonts w:hint="eastAsia"/>
                <w:b/>
                <w:bCs/>
                <w:sz w:val="24"/>
                <w:lang w:eastAsia="zh-CN"/>
              </w:rPr>
              <w:t>三</w:t>
            </w:r>
            <w:r>
              <w:rPr>
                <w:b/>
                <w:bCs/>
                <w:sz w:val="24"/>
              </w:rPr>
              <w:t>、</w:t>
            </w:r>
            <w:r>
              <w:rPr>
                <w:rFonts w:hint="eastAsia"/>
                <w:b/>
                <w:bCs/>
                <w:sz w:val="24"/>
              </w:rPr>
              <w:t>主要环境保护目标</w:t>
            </w:r>
          </w:p>
          <w:p>
            <w:pPr>
              <w:spacing w:line="360" w:lineRule="auto"/>
              <w:ind w:firstLine="480" w:firstLineChars="200"/>
              <w:rPr>
                <w:bCs/>
                <w:sz w:val="24"/>
              </w:rPr>
            </w:pPr>
            <w:r>
              <w:rPr>
                <w:rFonts w:hint="eastAsia"/>
                <w:bCs/>
                <w:sz w:val="24"/>
              </w:rPr>
              <w:t>本项目主要大气环境保护目标见表3-</w:t>
            </w:r>
            <w:r>
              <w:rPr>
                <w:rFonts w:hint="eastAsia"/>
                <w:bCs/>
                <w:sz w:val="24"/>
                <w:lang w:val="en-US" w:eastAsia="zh-CN"/>
              </w:rPr>
              <w:t>11</w:t>
            </w:r>
            <w:r>
              <w:rPr>
                <w:rFonts w:hint="eastAsia"/>
                <w:bCs/>
                <w:sz w:val="24"/>
              </w:rPr>
              <w:t>、声环境保护目标见表3-</w:t>
            </w:r>
            <w:r>
              <w:rPr>
                <w:rFonts w:hint="eastAsia"/>
                <w:bCs/>
                <w:sz w:val="24"/>
                <w:lang w:val="en-US" w:eastAsia="zh-CN"/>
              </w:rPr>
              <w:t>12</w:t>
            </w:r>
            <w:r>
              <w:rPr>
                <w:rFonts w:hint="eastAsia"/>
                <w:bCs/>
                <w:sz w:val="24"/>
              </w:rPr>
              <w:t>。</w:t>
            </w:r>
          </w:p>
          <w:p>
            <w:pPr>
              <w:pStyle w:val="9"/>
              <w:spacing w:before="0" w:after="0" w:line="360" w:lineRule="auto"/>
              <w:ind w:left="0" w:leftChars="0" w:firstLine="0" w:firstLineChars="0"/>
              <w:jc w:val="center"/>
              <w:rPr>
                <w:rFonts w:hint="default" w:ascii="Times New Roman" w:hAnsi="Times New Roman" w:cs="Times New Roman"/>
                <w:b/>
                <w:szCs w:val="24"/>
              </w:rPr>
            </w:pPr>
            <w:r>
              <w:rPr>
                <w:rFonts w:hint="default" w:ascii="Times New Roman" w:hAnsi="Times New Roman" w:cs="Times New Roman"/>
                <w:b/>
                <w:szCs w:val="24"/>
              </w:rPr>
              <w:t>表</w:t>
            </w:r>
            <w:r>
              <w:rPr>
                <w:rFonts w:hint="eastAsia" w:cs="Times New Roman"/>
                <w:b/>
                <w:szCs w:val="24"/>
                <w:lang w:val="en-US" w:eastAsia="zh-CN"/>
              </w:rPr>
              <w:t>3-11</w:t>
            </w:r>
            <w:r>
              <w:rPr>
                <w:rFonts w:hint="default" w:ascii="Times New Roman" w:hAnsi="Times New Roman" w:cs="Times New Roman"/>
                <w:b/>
                <w:szCs w:val="24"/>
              </w:rPr>
              <w:t xml:space="preserve">  </w:t>
            </w:r>
            <w:r>
              <w:rPr>
                <w:rFonts w:hint="eastAsia" w:ascii="Times New Roman" w:hAnsi="Times New Roman" w:cs="Times New Roman"/>
                <w:b/>
                <w:szCs w:val="24"/>
                <w:lang w:val="en-US" w:eastAsia="zh-CN"/>
              </w:rPr>
              <w:t xml:space="preserve"> </w:t>
            </w:r>
            <w:r>
              <w:rPr>
                <w:rFonts w:hint="default" w:ascii="Times New Roman" w:hAnsi="Times New Roman" w:cs="Times New Roman"/>
                <w:b/>
                <w:szCs w:val="24"/>
                <w:lang w:eastAsia="zh-CN"/>
              </w:rPr>
              <w:t>大气环境</w:t>
            </w:r>
            <w:r>
              <w:rPr>
                <w:rFonts w:hint="default" w:ascii="Times New Roman" w:hAnsi="Times New Roman" w:cs="Times New Roman"/>
                <w:b/>
                <w:szCs w:val="24"/>
              </w:rPr>
              <w:t>保护目标</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3"/>
              <w:gridCol w:w="1191"/>
              <w:gridCol w:w="1099"/>
              <w:gridCol w:w="1061"/>
              <w:gridCol w:w="1439"/>
              <w:gridCol w:w="1121"/>
              <w:gridCol w:w="930"/>
              <w:gridCol w:w="11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640"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名称</w:t>
                  </w:r>
                </w:p>
              </w:tc>
              <w:tc>
                <w:tcPr>
                  <w:tcW w:w="2321" w:type="dxa"/>
                  <w:gridSpan w:val="2"/>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坐标/m</w:t>
                  </w:r>
                </w:p>
              </w:tc>
              <w:tc>
                <w:tcPr>
                  <w:tcW w:w="1075"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保护对象</w:t>
                  </w:r>
                </w:p>
              </w:tc>
              <w:tc>
                <w:tcPr>
                  <w:tcW w:w="1459"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保护内容</w:t>
                  </w:r>
                </w:p>
              </w:tc>
              <w:tc>
                <w:tcPr>
                  <w:tcW w:w="1136"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环境功能区</w:t>
                  </w:r>
                </w:p>
              </w:tc>
              <w:tc>
                <w:tcPr>
                  <w:tcW w:w="942"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相对厂址方位</w:t>
                  </w:r>
                </w:p>
              </w:tc>
              <w:tc>
                <w:tcPr>
                  <w:tcW w:w="1158"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相对厂界距离</w:t>
                  </w:r>
                  <w:bookmarkStart w:id="32" w:name="OLE_LINK10"/>
                  <w:r>
                    <w:rPr>
                      <w:rFonts w:hint="default" w:ascii="Times New Roman" w:hAnsi="Times New Roman" w:eastAsia="宋体" w:cs="Times New Roman"/>
                      <w:b/>
                      <w:bCs/>
                      <w:sz w:val="21"/>
                      <w:lang w:val="en-US" w:eastAsia="zh-CN"/>
                    </w:rPr>
                    <w:t>/m</w:t>
                  </w:r>
                  <w:bookmarkEnd w:id="3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X</w:t>
                  </w:r>
                </w:p>
              </w:tc>
              <w:tc>
                <w:tcPr>
                  <w:tcW w:w="1114"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Y</w:t>
                  </w:r>
                </w:p>
              </w:tc>
              <w:tc>
                <w:tcPr>
                  <w:tcW w:w="1075"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459"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136"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942"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158"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640" w:type="dxa"/>
                  <w:vMerge w:val="restart"/>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大气环境保护目标</w:t>
                  </w:r>
                </w:p>
              </w:tc>
              <w:tc>
                <w:tcPr>
                  <w:tcW w:w="1207"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111.856797</w:t>
                  </w:r>
                </w:p>
              </w:tc>
              <w:tc>
                <w:tcPr>
                  <w:tcW w:w="1114"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29.563253</w:t>
                  </w:r>
                </w:p>
              </w:tc>
              <w:tc>
                <w:tcPr>
                  <w:tcW w:w="1075"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易家岗村居民</w:t>
                  </w:r>
                </w:p>
              </w:tc>
              <w:tc>
                <w:tcPr>
                  <w:tcW w:w="1459"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22户，约88人</w:t>
                  </w:r>
                </w:p>
              </w:tc>
              <w:tc>
                <w:tcPr>
                  <w:tcW w:w="113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二类区，《环境空气质量标准》GB3095-2012中二级标准</w:t>
                  </w:r>
                </w:p>
              </w:tc>
              <w:tc>
                <w:tcPr>
                  <w:tcW w:w="942"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cs="Times New Roman"/>
                      <w:sz w:val="21"/>
                      <w:szCs w:val="21"/>
                      <w:lang w:val="en-US" w:eastAsia="zh-CN"/>
                    </w:rPr>
                    <w:t>南侧</w:t>
                  </w:r>
                </w:p>
              </w:tc>
              <w:tc>
                <w:tcPr>
                  <w:tcW w:w="1158"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497-689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111.850703</w:t>
                  </w:r>
                </w:p>
              </w:tc>
              <w:tc>
                <w:tcPr>
                  <w:tcW w:w="1114"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29.559321</w:t>
                  </w:r>
                </w:p>
              </w:tc>
              <w:tc>
                <w:tcPr>
                  <w:tcW w:w="1075" w:type="dxa"/>
                  <w:tcBorders>
                    <w:tl2br w:val="nil"/>
                    <w:tr2bl w:val="nil"/>
                  </w:tcBorders>
                  <w:vAlign w:val="center"/>
                </w:tcPr>
                <w:p>
                  <w:pPr>
                    <w:pStyle w:val="43"/>
                    <w:spacing w:line="240" w:lineRule="auto"/>
                    <w:ind w:firstLine="0" w:firstLineChars="0"/>
                    <w:jc w:val="center"/>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杉堰村居民</w:t>
                  </w:r>
                </w:p>
              </w:tc>
              <w:tc>
                <w:tcPr>
                  <w:tcW w:w="1459"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23户，约92人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pStyle w:val="43"/>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西南侧</w:t>
                  </w:r>
                </w:p>
              </w:tc>
              <w:tc>
                <w:tcPr>
                  <w:tcW w:w="1158"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882-1229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111.850681</w:t>
                  </w:r>
                </w:p>
              </w:tc>
              <w:tc>
                <w:tcPr>
                  <w:tcW w:w="1114"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29.557186</w:t>
                  </w:r>
                </w:p>
              </w:tc>
              <w:tc>
                <w:tcPr>
                  <w:tcW w:w="1075" w:type="dxa"/>
                  <w:tcBorders>
                    <w:tl2br w:val="nil"/>
                    <w:tr2bl w:val="nil"/>
                  </w:tcBorders>
                  <w:vAlign w:val="center"/>
                </w:tcPr>
                <w:p>
                  <w:pPr>
                    <w:pStyle w:val="43"/>
                    <w:spacing w:line="240" w:lineRule="auto"/>
                    <w:ind w:firstLine="0" w:firstLineChars="0"/>
                    <w:jc w:val="center"/>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肖家岗村居民</w:t>
                  </w:r>
                </w:p>
              </w:tc>
              <w:tc>
                <w:tcPr>
                  <w:tcW w:w="1459"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10户，约40人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pStyle w:val="43"/>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西南侧</w:t>
                  </w:r>
                </w:p>
              </w:tc>
              <w:tc>
                <w:tcPr>
                  <w:tcW w:w="1158"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1280-1365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111.878399</w:t>
                  </w:r>
                </w:p>
              </w:tc>
              <w:tc>
                <w:tcPr>
                  <w:tcW w:w="1114"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29.560176</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孟姜女社区居民</w:t>
                  </w:r>
                </w:p>
              </w:tc>
              <w:tc>
                <w:tcPr>
                  <w:tcW w:w="1459"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11户，约44人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东南侧</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2150-2405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111.876865</w:t>
                  </w:r>
                </w:p>
              </w:tc>
              <w:tc>
                <w:tcPr>
                  <w:tcW w:w="1114"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29.557290</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新洲中学</w:t>
                  </w:r>
                </w:p>
              </w:tc>
              <w:tc>
                <w:tcPr>
                  <w:tcW w:w="1459"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师生约800人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东南侧</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111.871661</w:t>
                  </w:r>
                </w:p>
              </w:tc>
              <w:tc>
                <w:tcPr>
                  <w:tcW w:w="1114"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29.556512</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杉堰安置区居民</w:t>
                  </w:r>
                </w:p>
              </w:tc>
              <w:tc>
                <w:tcPr>
                  <w:tcW w:w="145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110户，约440人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东南侧</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1712-2043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111.880566</w:t>
                  </w:r>
                </w:p>
              </w:tc>
              <w:tc>
                <w:tcPr>
                  <w:tcW w:w="1114"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29.553830</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新州镇居民</w:t>
                  </w:r>
                </w:p>
              </w:tc>
              <w:tc>
                <w:tcPr>
                  <w:tcW w:w="145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镇区约9200人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东南侧</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2411-3035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640" w:type="dxa"/>
                  <w:vMerge w:val="continue"/>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lang w:val="en-US" w:eastAsia="zh-CN"/>
                    </w:rPr>
                  </w:pPr>
                </w:p>
              </w:tc>
              <w:tc>
                <w:tcPr>
                  <w:tcW w:w="1207"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111.886958</w:t>
                  </w:r>
                </w:p>
              </w:tc>
              <w:tc>
                <w:tcPr>
                  <w:tcW w:w="1114"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29.548831</w:t>
                  </w:r>
                </w:p>
              </w:tc>
              <w:tc>
                <w:tcPr>
                  <w:tcW w:w="1075"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嘉山社区居民</w:t>
                  </w:r>
                </w:p>
              </w:tc>
              <w:tc>
                <w:tcPr>
                  <w:tcW w:w="145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75户，约300人</w:t>
                  </w:r>
                </w:p>
              </w:tc>
              <w:tc>
                <w:tcPr>
                  <w:tcW w:w="11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p>
              </w:tc>
              <w:tc>
                <w:tcPr>
                  <w:tcW w:w="942"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东南侧</w:t>
                  </w:r>
                </w:p>
              </w:tc>
              <w:tc>
                <w:tcPr>
                  <w:tcW w:w="1158"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3407-3803</w:t>
                  </w:r>
                </w:p>
              </w:tc>
            </w:tr>
          </w:tbl>
          <w:p>
            <w:pPr>
              <w:pStyle w:val="9"/>
              <w:spacing w:before="0" w:after="0" w:line="360" w:lineRule="auto"/>
              <w:ind w:left="0" w:leftChars="0" w:firstLine="0" w:firstLineChars="0"/>
              <w:jc w:val="center"/>
              <w:rPr>
                <w:rFonts w:hint="default" w:ascii="Times New Roman" w:hAnsi="Times New Roman" w:cs="Times New Roman"/>
                <w:b/>
                <w:szCs w:val="24"/>
                <w:lang w:eastAsia="zh-CN"/>
              </w:rPr>
            </w:pPr>
            <w:r>
              <w:rPr>
                <w:rFonts w:hint="default" w:ascii="Times New Roman" w:hAnsi="Times New Roman" w:cs="Times New Roman"/>
                <w:b/>
                <w:szCs w:val="24"/>
                <w:lang w:eastAsia="zh-CN"/>
              </w:rPr>
              <w:t>表</w:t>
            </w:r>
            <w:r>
              <w:rPr>
                <w:rFonts w:hint="eastAsia" w:cs="Times New Roman"/>
                <w:b/>
                <w:szCs w:val="24"/>
                <w:lang w:val="en-US" w:eastAsia="zh-CN"/>
              </w:rPr>
              <w:t>3-12</w:t>
            </w:r>
            <w:r>
              <w:rPr>
                <w:rFonts w:hint="default" w:ascii="Times New Roman" w:hAnsi="Times New Roman" w:cs="Times New Roman"/>
                <w:b/>
                <w:szCs w:val="24"/>
                <w:lang w:eastAsia="zh-CN"/>
              </w:rPr>
              <w:t xml:space="preserve">  </w:t>
            </w:r>
            <w:r>
              <w:rPr>
                <w:rFonts w:hint="eastAsia" w:ascii="Times New Roman" w:hAnsi="Times New Roman" w:cs="Times New Roman"/>
                <w:b/>
                <w:szCs w:val="24"/>
                <w:lang w:val="en-US" w:eastAsia="zh-CN"/>
              </w:rPr>
              <w:t xml:space="preserve"> </w:t>
            </w:r>
            <w:r>
              <w:rPr>
                <w:rFonts w:hint="eastAsia" w:ascii="Times New Roman" w:hAnsi="Times New Roman" w:cs="Times New Roman"/>
                <w:b/>
                <w:szCs w:val="24"/>
                <w:lang w:eastAsia="zh-CN"/>
              </w:rPr>
              <w:t>其他</w:t>
            </w:r>
            <w:r>
              <w:rPr>
                <w:rFonts w:hint="default" w:ascii="Times New Roman" w:hAnsi="Times New Roman" w:cs="Times New Roman"/>
                <w:b/>
                <w:szCs w:val="24"/>
                <w:lang w:eastAsia="zh-CN"/>
              </w:rPr>
              <w:t>环境保护目标</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0"/>
              <w:gridCol w:w="1103"/>
              <w:gridCol w:w="1130"/>
              <w:gridCol w:w="3426"/>
              <w:gridCol w:w="20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1103"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环境保护目标</w:t>
                  </w:r>
                </w:p>
              </w:tc>
              <w:tc>
                <w:tcPr>
                  <w:tcW w:w="113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方位距离</w:t>
                  </w:r>
                </w:p>
              </w:tc>
              <w:tc>
                <w:tcPr>
                  <w:tcW w:w="3426"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功能规模</w:t>
                  </w:r>
                </w:p>
              </w:tc>
              <w:tc>
                <w:tcPr>
                  <w:tcW w:w="2008"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0"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生态环境保护目标</w:t>
                  </w:r>
                </w:p>
              </w:tc>
              <w:tc>
                <w:tcPr>
                  <w:tcW w:w="1103"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嘉山风景名胜区</w:t>
                  </w:r>
                </w:p>
              </w:tc>
              <w:tc>
                <w:tcPr>
                  <w:tcW w:w="1130"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厂界东南侧3846m</w:t>
                  </w:r>
                </w:p>
              </w:tc>
              <w:tc>
                <w:tcPr>
                  <w:tcW w:w="3426"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由嘉山景区（核心景区）、石岭—青山景区和新洲古镇等景区构成，占地17.35km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，区内大小景点54个；外围保护区占地18.65km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8"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省级风景名胜区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p>
              </w:tc>
              <w:tc>
                <w:tcPr>
                  <w:tcW w:w="1103"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湖南嘉山国家级森林公园</w:t>
                  </w:r>
                </w:p>
              </w:tc>
              <w:tc>
                <w:tcPr>
                  <w:tcW w:w="1130"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厂界北侧4100m</w:t>
                  </w:r>
                </w:p>
              </w:tc>
              <w:tc>
                <w:tcPr>
                  <w:tcW w:w="3426"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由关山、嘉山和药山三个景区组成， 公园总规划面积2225.8公顷，其</w:t>
                  </w:r>
                </w:p>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中林地面积1847.3公顷，水域（</w:t>
                  </w:r>
                  <w:r>
                    <w:rPr>
                      <w:rFonts w:hint="eastAsia" w:ascii="Times New Roman" w:hAnsi="Times New Roman" w:cs="Times New Roman"/>
                      <w:b w:val="0"/>
                      <w:bCs w:val="0"/>
                      <w:color w:val="auto"/>
                      <w:sz w:val="21"/>
                      <w:szCs w:val="21"/>
                      <w:lang w:val="en-US" w:eastAsia="zh-CN"/>
                    </w:rPr>
                    <w:t>澧水</w:t>
                  </w:r>
                  <w:r>
                    <w:rPr>
                      <w:rFonts w:hint="default" w:ascii="Times New Roman" w:hAnsi="Times New Roman" w:cs="Times New Roman"/>
                      <w:b w:val="0"/>
                      <w:bCs w:val="0"/>
                      <w:color w:val="auto"/>
                      <w:sz w:val="21"/>
                      <w:szCs w:val="21"/>
                      <w:lang w:val="en-US" w:eastAsia="zh-CN"/>
                    </w:rPr>
                    <w:t>段连接关山和嘉山景区，长约21公里）及其他面积378.5公顷。</w:t>
                  </w:r>
                </w:p>
              </w:tc>
              <w:tc>
                <w:tcPr>
                  <w:tcW w:w="2008"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国家级森林公园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0"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地下水环境保护目标</w:t>
                  </w:r>
                </w:p>
              </w:tc>
              <w:tc>
                <w:tcPr>
                  <w:tcW w:w="5659"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周边无集中式地下水取水点，本次评价以项目≤</w:t>
                  </w:r>
                  <w:r>
                    <w:rPr>
                      <w:rFonts w:hint="eastAsia" w:ascii="Times New Roman" w:hAnsi="Times New Roman" w:cs="Times New Roman"/>
                      <w:b w:val="0"/>
                      <w:bCs w:val="0"/>
                      <w:color w:val="auto"/>
                      <w:sz w:val="21"/>
                      <w:szCs w:val="21"/>
                      <w:lang w:val="en-US" w:eastAsia="zh-CN"/>
                    </w:rPr>
                    <w:t>6</w:t>
                  </w:r>
                  <w:r>
                    <w:rPr>
                      <w:rFonts w:hint="default" w:ascii="Times New Roman" w:hAnsi="Times New Roman" w:cs="Times New Roman"/>
                      <w:b w:val="0"/>
                      <w:bCs w:val="0"/>
                      <w:color w:val="auto"/>
                      <w:sz w:val="21"/>
                      <w:szCs w:val="21"/>
                      <w:lang w:val="en-US" w:eastAsia="zh-CN"/>
                    </w:rPr>
                    <w:t>km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范围含水层为地下水保护目标</w:t>
                  </w:r>
                </w:p>
              </w:tc>
              <w:tc>
                <w:tcPr>
                  <w:tcW w:w="2008"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《地下水质量标准（GBT14848-2017）》 Ⅲ类标准。</w:t>
                  </w:r>
                </w:p>
              </w:tc>
            </w:tr>
          </w:tbl>
          <w:p>
            <w:pPr>
              <w:pStyle w:val="21"/>
              <w:ind w:left="0" w:leftChars="0" w:firstLine="0" w:firstLineChars="0"/>
              <w:rPr>
                <w:sz w:val="24"/>
                <w:szCs w:val="22"/>
              </w:rPr>
            </w:pPr>
          </w:p>
          <w:p>
            <w:pPr>
              <w:pStyle w:val="21"/>
              <w:rPr>
                <w:sz w:val="24"/>
                <w:szCs w:val="22"/>
              </w:rPr>
            </w:pPr>
          </w:p>
          <w:p>
            <w:pPr>
              <w:pStyle w:val="21"/>
              <w:rPr>
                <w:sz w:val="24"/>
                <w:szCs w:val="22"/>
              </w:rPr>
            </w:pPr>
          </w:p>
          <w:p>
            <w:pPr>
              <w:pStyle w:val="21"/>
              <w:rPr>
                <w:sz w:val="24"/>
                <w:szCs w:val="22"/>
              </w:rPr>
            </w:pPr>
          </w:p>
          <w:p>
            <w:pPr>
              <w:pStyle w:val="21"/>
              <w:rPr>
                <w:sz w:val="24"/>
                <w:szCs w:val="22"/>
              </w:rPr>
            </w:pPr>
          </w:p>
          <w:p>
            <w:pPr>
              <w:pStyle w:val="21"/>
              <w:rPr>
                <w:sz w:val="24"/>
                <w:szCs w:val="22"/>
              </w:rPr>
            </w:pPr>
          </w:p>
          <w:p>
            <w:pPr>
              <w:pStyle w:val="21"/>
              <w:rPr>
                <w:sz w:val="24"/>
                <w:szCs w:val="22"/>
              </w:rPr>
            </w:pPr>
          </w:p>
          <w:p>
            <w:pPr>
              <w:pStyle w:val="29"/>
            </w:pPr>
          </w:p>
          <w:p>
            <w:pPr>
              <w:pStyle w:val="29"/>
            </w:pPr>
          </w:p>
          <w:p>
            <w:pPr>
              <w:spacing w:line="360" w:lineRule="auto"/>
              <w:rPr>
                <w:sz w:val="24"/>
                <w:szCs w:val="22"/>
              </w:rPr>
            </w:pPr>
          </w:p>
          <w:p/>
        </w:tc>
      </w:tr>
    </w:tbl>
    <w:p>
      <w:pPr>
        <w:spacing w:line="360" w:lineRule="auto"/>
        <w:outlineLvl w:val="0"/>
        <w:rPr>
          <w:b/>
          <w:sz w:val="32"/>
          <w:szCs w:val="32"/>
        </w:rPr>
      </w:pPr>
      <w:bookmarkStart w:id="33" w:name="_Toc19447"/>
      <w:bookmarkStart w:id="34" w:name="_Toc4759"/>
      <w:r>
        <w:rPr>
          <w:rFonts w:hint="eastAsia"/>
          <w:b/>
          <w:sz w:val="32"/>
          <w:szCs w:val="32"/>
        </w:rPr>
        <w:t>4</w:t>
      </w:r>
      <w:r>
        <w:rPr>
          <w:b/>
          <w:sz w:val="32"/>
          <w:szCs w:val="32"/>
        </w:rPr>
        <w:t>评价适用标准</w:t>
      </w:r>
      <w:bookmarkEnd w:id="33"/>
    </w:p>
    <w:tbl>
      <w:tblPr>
        <w:tblStyle w:val="24"/>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8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41" w:hRule="atLeast"/>
          <w:jc w:val="center"/>
        </w:trPr>
        <w:tc>
          <w:tcPr>
            <w:tcW w:w="641" w:type="dxa"/>
            <w:tcBorders>
              <w:tl2br w:val="nil"/>
              <w:tr2bl w:val="nil"/>
            </w:tcBorders>
            <w:vAlign w:val="center"/>
          </w:tcPr>
          <w:p>
            <w:pPr>
              <w:spacing w:line="500" w:lineRule="exact"/>
              <w:jc w:val="center"/>
              <w:rPr>
                <w:sz w:val="24"/>
              </w:rPr>
            </w:pPr>
            <w:r>
              <w:rPr>
                <w:sz w:val="24"/>
              </w:rPr>
              <w:t>环</w:t>
            </w:r>
          </w:p>
          <w:p>
            <w:pPr>
              <w:spacing w:line="500" w:lineRule="exact"/>
              <w:jc w:val="center"/>
              <w:rPr>
                <w:sz w:val="24"/>
              </w:rPr>
            </w:pPr>
            <w:r>
              <w:rPr>
                <w:sz w:val="24"/>
              </w:rPr>
              <w:t>境</w:t>
            </w:r>
          </w:p>
          <w:p>
            <w:pPr>
              <w:spacing w:line="500" w:lineRule="exact"/>
              <w:jc w:val="center"/>
              <w:rPr>
                <w:sz w:val="24"/>
              </w:rPr>
            </w:pPr>
            <w:r>
              <w:rPr>
                <w:sz w:val="24"/>
              </w:rPr>
              <w:t>质</w:t>
            </w:r>
          </w:p>
          <w:p>
            <w:pPr>
              <w:spacing w:line="500" w:lineRule="exact"/>
              <w:jc w:val="center"/>
              <w:rPr>
                <w:sz w:val="24"/>
              </w:rPr>
            </w:pPr>
            <w:r>
              <w:rPr>
                <w:sz w:val="24"/>
              </w:rPr>
              <w:t>量</w:t>
            </w:r>
          </w:p>
          <w:p>
            <w:pPr>
              <w:spacing w:line="500" w:lineRule="exact"/>
              <w:jc w:val="center"/>
              <w:rPr>
                <w:sz w:val="24"/>
              </w:rPr>
            </w:pPr>
            <w:r>
              <w:rPr>
                <w:sz w:val="24"/>
              </w:rPr>
              <w:t>标</w:t>
            </w:r>
          </w:p>
          <w:p>
            <w:pPr>
              <w:spacing w:line="500" w:lineRule="exact"/>
              <w:jc w:val="center"/>
              <w:rPr>
                <w:b/>
                <w:bCs/>
                <w:sz w:val="32"/>
                <w:szCs w:val="32"/>
              </w:rPr>
            </w:pPr>
            <w:r>
              <w:rPr>
                <w:sz w:val="24"/>
              </w:rPr>
              <w:t>准</w:t>
            </w:r>
          </w:p>
        </w:tc>
        <w:tc>
          <w:tcPr>
            <w:tcW w:w="8430" w:type="dxa"/>
            <w:tcBorders>
              <w:tl2br w:val="nil"/>
              <w:tr2bl w:val="nil"/>
            </w:tcBorders>
          </w:tcPr>
          <w:p>
            <w:pPr>
              <w:adjustRightInd w:val="0"/>
              <w:snapToGrid w:val="0"/>
              <w:spacing w:line="360" w:lineRule="auto"/>
              <w:ind w:firstLine="480" w:firstLineChars="200"/>
              <w:rPr>
                <w:sz w:val="24"/>
              </w:rPr>
            </w:pPr>
            <w:r>
              <w:rPr>
                <w:sz w:val="24"/>
              </w:rPr>
              <w:t>1、环境空气</w:t>
            </w:r>
          </w:p>
          <w:p>
            <w:pPr>
              <w:adjustRightInd w:val="0"/>
              <w:snapToGrid w:val="0"/>
              <w:spacing w:line="360" w:lineRule="auto"/>
              <w:ind w:firstLine="480" w:firstLineChars="200"/>
              <w:rPr>
                <w:sz w:val="24"/>
              </w:rPr>
            </w:pPr>
            <w:r>
              <w:rPr>
                <w:rFonts w:hint="eastAsia" w:cs="Times New Roman"/>
                <w:sz w:val="24"/>
                <w:lang w:val="en-US" w:eastAsia="zh-CN"/>
              </w:rPr>
              <w:t>TSP、</w:t>
            </w:r>
            <w:r>
              <w:rPr>
                <w:rFonts w:hint="default" w:ascii="Times New Roman" w:hAnsi="Times New Roman" w:cs="Times New Roman"/>
                <w:sz w:val="24"/>
              </w:rPr>
              <w:t>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、PM</w:t>
            </w:r>
            <w:r>
              <w:rPr>
                <w:rFonts w:hint="default" w:ascii="Times New Roman" w:hAnsi="Times New Roman" w:cs="Times New Roman"/>
                <w:sz w:val="24"/>
                <w:vertAlign w:val="subscript"/>
              </w:rPr>
              <w:t>10</w:t>
            </w:r>
            <w:r>
              <w:rPr>
                <w:rFonts w:hint="default" w:ascii="Times New Roman" w:hAnsi="Times New Roman" w:cs="Times New Roman"/>
                <w:sz w:val="24"/>
              </w:rPr>
              <w:t>、</w:t>
            </w:r>
            <w:r>
              <w:rPr>
                <w:rFonts w:hint="default" w:ascii="Times New Roman" w:hAnsi="Times New Roman" w:cs="Times New Roman"/>
                <w:sz w:val="24"/>
                <w:lang w:val="en-US" w:eastAsia="zh-CN"/>
              </w:rPr>
              <w:t>PM</w:t>
            </w:r>
            <w:r>
              <w:rPr>
                <w:rFonts w:hint="default" w:ascii="Times New Roman" w:hAnsi="Times New Roman" w:cs="Times New Roman"/>
                <w:sz w:val="24"/>
                <w:vertAlign w:val="subscript"/>
                <w:lang w:val="en-US" w:eastAsia="zh-CN"/>
              </w:rPr>
              <w:t>2.5</w:t>
            </w:r>
            <w:r>
              <w:rPr>
                <w:rFonts w:hint="default" w:ascii="Times New Roman" w:hAnsi="Times New Roman" w:cs="Times New Roman"/>
                <w:sz w:val="24"/>
                <w:lang w:val="en-US" w:eastAsia="zh-CN"/>
              </w:rPr>
              <w:t>、CO、O</w:t>
            </w:r>
            <w:r>
              <w:rPr>
                <w:rFonts w:hint="default" w:ascii="Times New Roman" w:hAnsi="Times New Roman" w:cs="Times New Roman"/>
                <w:sz w:val="24"/>
                <w:vertAlign w:val="subscript"/>
                <w:lang w:val="en-US" w:eastAsia="zh-CN"/>
              </w:rPr>
              <w:t>3</w:t>
            </w:r>
            <w:r>
              <w:rPr>
                <w:rFonts w:hint="default" w:ascii="Times New Roman" w:hAnsi="Times New Roman" w:cs="Times New Roman"/>
                <w:sz w:val="24"/>
              </w:rPr>
              <w:t>执行《环境空气质量标准》（GB3095-2012）中二级标准，</w:t>
            </w:r>
            <w:r>
              <w:rPr>
                <w:rFonts w:hint="eastAsia" w:ascii="Times New Roman" w:hAnsi="Times New Roman" w:cs="Times New Roman"/>
                <w:sz w:val="24"/>
                <w:lang w:val="en-US" w:eastAsia="zh-CN"/>
              </w:rPr>
              <w:t>NH</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、H</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S</w:t>
            </w:r>
            <w:r>
              <w:rPr>
                <w:rFonts w:hint="default" w:ascii="Times New Roman" w:hAnsi="Times New Roman" w:cs="Times New Roman"/>
                <w:sz w:val="24"/>
                <w:lang w:val="en-US" w:eastAsia="zh-CN"/>
              </w:rPr>
              <w:t>执行</w:t>
            </w:r>
            <w:r>
              <w:rPr>
                <w:rFonts w:hint="default" w:ascii="Times New Roman" w:hAnsi="Times New Roman" w:cs="Times New Roman"/>
                <w:sz w:val="24"/>
              </w:rPr>
              <w:t>《环境影响评价技术导则</w:t>
            </w:r>
            <w:r>
              <w:rPr>
                <w:rFonts w:hint="eastAsia" w:ascii="Times New Roman" w:hAnsi="Times New Roman" w:cs="Times New Roman"/>
                <w:sz w:val="24"/>
                <w:lang w:eastAsia="zh-CN"/>
              </w:rPr>
              <w:t>—</w:t>
            </w:r>
            <w:r>
              <w:rPr>
                <w:rFonts w:hint="default" w:ascii="Times New Roman" w:hAnsi="Times New Roman" w:cs="Times New Roman"/>
                <w:sz w:val="24"/>
              </w:rPr>
              <w:t>大气环境》（HJ2.2-2018）附录D</w:t>
            </w:r>
            <w:r>
              <w:rPr>
                <w:rFonts w:hint="eastAsia" w:ascii="Times New Roman" w:hAnsi="Times New Roman" w:cs="Times New Roman"/>
                <w:sz w:val="24"/>
              </w:rPr>
              <w:t>中的标准限值</w:t>
            </w:r>
            <w:r>
              <w:rPr>
                <w:rFonts w:hint="eastAsia"/>
                <w:sz w:val="24"/>
              </w:rPr>
              <w:t>。</w:t>
            </w:r>
            <w:r>
              <w:rPr>
                <w:sz w:val="24"/>
              </w:rPr>
              <w:t xml:space="preserve"> </w:t>
            </w:r>
          </w:p>
          <w:p>
            <w:pPr>
              <w:adjustRightInd w:val="0"/>
              <w:snapToGrid w:val="0"/>
              <w:spacing w:line="360" w:lineRule="auto"/>
              <w:jc w:val="center"/>
              <w:rPr>
                <w:b/>
                <w:color w:val="000000"/>
                <w:kern w:val="0"/>
                <w:szCs w:val="21"/>
              </w:rPr>
            </w:pPr>
            <w:r>
              <w:rPr>
                <w:b/>
                <w:color w:val="000000"/>
                <w:kern w:val="0"/>
                <w:szCs w:val="21"/>
              </w:rPr>
              <w:t>表</w:t>
            </w:r>
            <w:r>
              <w:rPr>
                <w:rFonts w:hint="eastAsia"/>
                <w:b/>
                <w:color w:val="000000"/>
                <w:kern w:val="0"/>
                <w:szCs w:val="21"/>
              </w:rPr>
              <w:t>4-1</w:t>
            </w:r>
            <w:r>
              <w:rPr>
                <w:b/>
                <w:color w:val="000000"/>
                <w:kern w:val="0"/>
                <w:szCs w:val="21"/>
              </w:rPr>
              <w:t xml:space="preserve">  大气环境质量评价标准</w:t>
            </w:r>
          </w:p>
          <w:tbl>
            <w:tblPr>
              <w:tblStyle w:val="23"/>
              <w:tblW w:w="80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05"/>
              <w:gridCol w:w="1962"/>
              <w:gridCol w:w="1098"/>
              <w:gridCol w:w="890"/>
              <w:gridCol w:w="2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9" w:hRule="atLeast"/>
                <w:jc w:val="center"/>
              </w:trPr>
              <w:tc>
                <w:tcPr>
                  <w:tcW w:w="1505" w:type="dxa"/>
                  <w:tcBorders>
                    <w:tl2br w:val="nil"/>
                    <w:tr2bl w:val="nil"/>
                  </w:tcBorders>
                  <w:shd w:val="clear" w:color="auto" w:fill="auto"/>
                  <w:vAlign w:val="center"/>
                </w:tcPr>
                <w:p>
                  <w:pPr>
                    <w:pStyle w:val="69"/>
                    <w:spacing w:beforeLines="0" w:afterLines="0" w:line="240" w:lineRule="auto"/>
                    <w:rPr>
                      <w:rFonts w:hint="default" w:ascii="Times New Roman" w:hAnsi="Times New Roman" w:cs="Times New Roman"/>
                      <w:b/>
                      <w:bCs/>
                      <w:szCs w:val="21"/>
                    </w:rPr>
                  </w:pPr>
                  <w:r>
                    <w:rPr>
                      <w:rFonts w:hint="default" w:ascii="Times New Roman" w:hAnsi="Times New Roman" w:cs="Times New Roman"/>
                      <w:b/>
                      <w:bCs/>
                      <w:szCs w:val="21"/>
                    </w:rPr>
                    <w:t>污染物名称</w:t>
                  </w:r>
                </w:p>
              </w:tc>
              <w:tc>
                <w:tcPr>
                  <w:tcW w:w="1962" w:type="dxa"/>
                  <w:tcBorders>
                    <w:tl2br w:val="nil"/>
                    <w:tr2bl w:val="nil"/>
                  </w:tcBorders>
                  <w:shd w:val="clear" w:color="auto" w:fill="auto"/>
                  <w:vAlign w:val="center"/>
                </w:tcPr>
                <w:p>
                  <w:pPr>
                    <w:pStyle w:val="69"/>
                    <w:spacing w:beforeLines="0" w:afterLines="0" w:line="240" w:lineRule="auto"/>
                    <w:rPr>
                      <w:rFonts w:hint="default" w:ascii="Times New Roman" w:hAnsi="Times New Roman" w:cs="Times New Roman"/>
                      <w:b/>
                      <w:bCs/>
                      <w:szCs w:val="21"/>
                    </w:rPr>
                  </w:pPr>
                  <w:r>
                    <w:rPr>
                      <w:rFonts w:hint="default" w:ascii="Times New Roman" w:hAnsi="Times New Roman" w:cs="Times New Roman"/>
                      <w:b/>
                      <w:bCs/>
                      <w:szCs w:val="21"/>
                    </w:rPr>
                    <w:t>取值时间</w:t>
                  </w:r>
                </w:p>
              </w:tc>
              <w:tc>
                <w:tcPr>
                  <w:tcW w:w="1098" w:type="dxa"/>
                  <w:tcBorders>
                    <w:tl2br w:val="nil"/>
                    <w:tr2bl w:val="nil"/>
                  </w:tcBorders>
                  <w:shd w:val="clear" w:color="auto" w:fill="auto"/>
                  <w:vAlign w:val="center"/>
                </w:tcPr>
                <w:p>
                  <w:pPr>
                    <w:pStyle w:val="69"/>
                    <w:spacing w:beforeLines="0" w:afterLines="0" w:line="240" w:lineRule="auto"/>
                    <w:rPr>
                      <w:rFonts w:hint="default" w:ascii="Times New Roman" w:hAnsi="Times New Roman" w:cs="Times New Roman"/>
                      <w:b/>
                      <w:bCs/>
                      <w:szCs w:val="21"/>
                    </w:rPr>
                  </w:pPr>
                  <w:r>
                    <w:rPr>
                      <w:rFonts w:hint="default" w:ascii="Times New Roman" w:hAnsi="Times New Roman" w:cs="Times New Roman"/>
                      <w:b/>
                      <w:bCs/>
                      <w:szCs w:val="21"/>
                    </w:rPr>
                    <w:t>二级浓度限值</w:t>
                  </w:r>
                </w:p>
              </w:tc>
              <w:tc>
                <w:tcPr>
                  <w:tcW w:w="890" w:type="dxa"/>
                  <w:tcBorders>
                    <w:tl2br w:val="nil"/>
                    <w:tr2bl w:val="nil"/>
                  </w:tcBorders>
                  <w:vAlign w:val="center"/>
                </w:tcPr>
                <w:p>
                  <w:pPr>
                    <w:pStyle w:val="69"/>
                    <w:spacing w:beforeLines="0" w:afterLines="0" w:line="240" w:lineRule="auto"/>
                    <w:rPr>
                      <w:rFonts w:hint="default" w:ascii="Times New Roman" w:hAnsi="Times New Roman" w:cs="Times New Roman"/>
                      <w:b/>
                      <w:bCs/>
                      <w:szCs w:val="21"/>
                    </w:rPr>
                  </w:pPr>
                  <w:r>
                    <w:rPr>
                      <w:rFonts w:hint="default" w:ascii="Times New Roman" w:hAnsi="Times New Roman" w:cs="Times New Roman"/>
                      <w:b/>
                      <w:bCs/>
                      <w:szCs w:val="21"/>
                    </w:rPr>
                    <w:t>单位</w:t>
                  </w:r>
                </w:p>
              </w:tc>
              <w:tc>
                <w:tcPr>
                  <w:tcW w:w="2595" w:type="dxa"/>
                  <w:tcBorders>
                    <w:tl2br w:val="nil"/>
                    <w:tr2bl w:val="nil"/>
                  </w:tcBorders>
                  <w:vAlign w:val="center"/>
                </w:tcPr>
                <w:p>
                  <w:pPr>
                    <w:pStyle w:val="69"/>
                    <w:spacing w:beforeLines="0" w:afterLines="0" w:line="240" w:lineRule="auto"/>
                    <w:rPr>
                      <w:rFonts w:hint="default" w:ascii="Times New Roman" w:hAnsi="Times New Roman" w:cs="Times New Roman"/>
                      <w:b/>
                      <w:bCs/>
                      <w:szCs w:val="21"/>
                    </w:rPr>
                  </w:pPr>
                  <w:r>
                    <w:rPr>
                      <w:rFonts w:hint="default" w:ascii="Times New Roman" w:hAnsi="Times New Roman" w:cs="Times New Roman"/>
                      <w:b/>
                      <w:bCs/>
                      <w:szCs w:val="21"/>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二氧化硫</w:t>
                  </w:r>
                </w:p>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r>
                    <w:rPr>
                      <w:rFonts w:hint="default" w:ascii="Times New Roman" w:hAnsi="Times New Roman" w:cs="Times New Roman"/>
                    </w:rPr>
                    <w:t>）</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年平均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60</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《环境空气质量标准》（GB3095-2012）中二级标准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24小时平均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150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1小时平均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500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二氧化氮</w:t>
                  </w:r>
                </w:p>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年平均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40</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24小时平均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80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1小时平均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200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可吸入颗粒物</w:t>
                  </w:r>
                </w:p>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年平均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70</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24小时平均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150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6"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lang w:eastAsia="zh-CN"/>
                    </w:rPr>
                    <w:t>细</w:t>
                  </w:r>
                  <w:r>
                    <w:rPr>
                      <w:rFonts w:hint="default" w:ascii="Times New Roman" w:hAnsi="Times New Roman" w:cs="Times New Roman"/>
                    </w:rPr>
                    <w:t>颗粒物（PM</w:t>
                  </w:r>
                  <w:r>
                    <w:rPr>
                      <w:rFonts w:hint="default" w:ascii="Times New Roman" w:hAnsi="Times New Roman" w:cs="Times New Roman"/>
                      <w:vertAlign w:val="subscript"/>
                      <w:lang w:val="en-US" w:eastAsia="zh-CN"/>
                    </w:rPr>
                    <w:t>2.5</w:t>
                  </w:r>
                  <w:r>
                    <w:rPr>
                      <w:rFonts w:hint="default" w:ascii="Times New Roman" w:hAnsi="Times New Roman" w:cs="Times New Roman"/>
                    </w:rPr>
                    <w:t>）</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年平均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35</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eastAsia="zh-CN"/>
                    </w:rPr>
                  </w:pPr>
                </w:p>
              </w:tc>
              <w:tc>
                <w:tcPr>
                  <w:tcW w:w="1962" w:type="dxa"/>
                  <w:tcBorders>
                    <w:tl2br w:val="nil"/>
                    <w:tr2bl w:val="nil"/>
                  </w:tcBorders>
                  <w:shd w:val="clear" w:color="auto" w:fill="auto"/>
                  <w:vAlign w:val="center"/>
                </w:tcPr>
                <w:p>
                  <w:pPr>
                    <w:pStyle w:val="70"/>
                    <w:spacing w:beforeLines="0" w:afterLines="0" w:line="240" w:lineRule="auto"/>
                    <w:rPr>
                      <w:rFonts w:hint="eastAsia" w:ascii="Times New Roman" w:hAnsi="Times New Roman" w:eastAsia="宋体" w:cs="Times New Roman"/>
                      <w:lang w:val="en-US" w:eastAsia="zh-CN"/>
                    </w:rPr>
                  </w:pPr>
                  <w:r>
                    <w:rPr>
                      <w:rFonts w:hint="eastAsia" w:ascii="Times New Roman" w:hAnsi="Times New Roman" w:cs="Times New Roman"/>
                      <w:lang w:val="en-US" w:eastAsia="zh-CN"/>
                    </w:rPr>
                    <w:t>24小时平均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75</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1"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CO</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24小时平均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p>
              </w:tc>
              <w:tc>
                <w:tcPr>
                  <w:tcW w:w="1962" w:type="dxa"/>
                  <w:tcBorders>
                    <w:tl2br w:val="nil"/>
                    <w:tr2bl w:val="nil"/>
                  </w:tcBorders>
                  <w:shd w:val="clear" w:color="auto" w:fill="auto"/>
                  <w:vAlign w:val="center"/>
                </w:tcPr>
                <w:p>
                  <w:pPr>
                    <w:pStyle w:val="70"/>
                    <w:spacing w:beforeLines="0" w:afterLines="0" w:line="240" w:lineRule="auto"/>
                    <w:rPr>
                      <w:rFonts w:hint="eastAsia" w:ascii="Times New Roman" w:hAnsi="Times New Roman" w:eastAsia="宋体" w:cs="Times New Roman"/>
                      <w:lang w:val="en-US" w:eastAsia="zh-CN"/>
                    </w:rPr>
                  </w:pPr>
                  <w:r>
                    <w:rPr>
                      <w:rFonts w:hint="eastAsia" w:ascii="Times New Roman" w:hAnsi="Times New Roman" w:cs="Times New Roman"/>
                      <w:lang w:val="en-US" w:eastAsia="zh-CN"/>
                    </w:rPr>
                    <w:t>1小时平均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O</w:t>
                  </w:r>
                  <w:r>
                    <w:rPr>
                      <w:rFonts w:hint="default" w:ascii="Times New Roman" w:hAnsi="Times New Roman" w:cs="Times New Roman"/>
                      <w:vertAlign w:val="subscript"/>
                      <w:lang w:val="en-US" w:eastAsia="zh-CN"/>
                    </w:rPr>
                    <w:t>3</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日最大8小时平均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eastAsia="宋体" w:cs="Times New Roman"/>
                      <w:lang w:val="en-US" w:eastAsia="zh-CN"/>
                    </w:rPr>
                  </w:pPr>
                  <w:r>
                    <w:rPr>
                      <w:rFonts w:hint="default" w:ascii="Times New Roman" w:hAnsi="Times New Roman" w:cs="Times New Roman"/>
                      <w:lang w:val="en-US" w:eastAsia="zh-CN"/>
                    </w:rPr>
                    <w:t>160</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1小时平均</w:t>
                  </w:r>
                </w:p>
              </w:tc>
              <w:tc>
                <w:tcPr>
                  <w:tcW w:w="1098"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200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2" w:hRule="atLeast"/>
                <w:jc w:val="center"/>
              </w:trPr>
              <w:tc>
                <w:tcPr>
                  <w:tcW w:w="1505" w:type="dxa"/>
                  <w:vMerge w:val="restart"/>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TSP</w:t>
                  </w:r>
                </w:p>
              </w:tc>
              <w:tc>
                <w:tcPr>
                  <w:tcW w:w="1962" w:type="dxa"/>
                  <w:tcBorders>
                    <w:tl2br w:val="nil"/>
                    <w:tr2bl w:val="nil"/>
                  </w:tcBorders>
                  <w:shd w:val="clear" w:color="auto" w:fill="auto"/>
                  <w:vAlign w:val="center"/>
                </w:tcPr>
                <w:p>
                  <w:pPr>
                    <w:pStyle w:val="70"/>
                    <w:spacing w:beforeLines="0" w:afterLines="0"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年平均</w:t>
                  </w:r>
                </w:p>
              </w:tc>
              <w:tc>
                <w:tcPr>
                  <w:tcW w:w="1098" w:type="dxa"/>
                  <w:tcBorders>
                    <w:tl2br w:val="nil"/>
                    <w:tr2bl w:val="nil"/>
                  </w:tcBorders>
                  <w:shd w:val="clear" w:color="auto" w:fill="auto"/>
                  <w:vAlign w:val="center"/>
                </w:tcPr>
                <w:p>
                  <w:pPr>
                    <w:pStyle w:val="70"/>
                    <w:spacing w:beforeLines="0" w:afterLines="0"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200</w:t>
                  </w:r>
                </w:p>
              </w:tc>
              <w:tc>
                <w:tcPr>
                  <w:tcW w:w="890"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vMerge w:val="continue"/>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lang w:val="en-US" w:eastAsia="zh-CN"/>
                    </w:rPr>
                  </w:pPr>
                </w:p>
              </w:tc>
              <w:tc>
                <w:tcPr>
                  <w:tcW w:w="1962" w:type="dxa"/>
                  <w:tcBorders>
                    <w:tl2br w:val="nil"/>
                    <w:tr2bl w:val="nil"/>
                  </w:tcBorders>
                  <w:shd w:val="clear" w:color="auto" w:fill="auto"/>
                  <w:vAlign w:val="center"/>
                </w:tcPr>
                <w:p>
                  <w:pPr>
                    <w:pStyle w:val="70"/>
                    <w:spacing w:beforeLines="0" w:afterLines="0"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24小时平均</w:t>
                  </w:r>
                </w:p>
              </w:tc>
              <w:tc>
                <w:tcPr>
                  <w:tcW w:w="1098" w:type="dxa"/>
                  <w:tcBorders>
                    <w:tl2br w:val="nil"/>
                    <w:tr2bl w:val="nil"/>
                  </w:tcBorders>
                  <w:shd w:val="clear" w:color="auto" w:fill="auto"/>
                  <w:vAlign w:val="center"/>
                </w:tcPr>
                <w:p>
                  <w:pPr>
                    <w:pStyle w:val="70"/>
                    <w:spacing w:beforeLines="0" w:afterLines="0"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300</w:t>
                  </w:r>
                </w:p>
              </w:tc>
              <w:tc>
                <w:tcPr>
                  <w:tcW w:w="890"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505"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eastAsia" w:ascii="Times New Roman" w:hAnsi="Times New Roman" w:cs="Times New Roman"/>
                    </w:rPr>
                    <w:t>NH</w:t>
                  </w:r>
                  <w:r>
                    <w:rPr>
                      <w:rFonts w:hint="eastAsia" w:ascii="Times New Roman" w:hAnsi="Times New Roman" w:cs="Times New Roman"/>
                      <w:vertAlign w:val="subscript"/>
                    </w:rPr>
                    <w:t>3</w:t>
                  </w:r>
                </w:p>
              </w:tc>
              <w:tc>
                <w:tcPr>
                  <w:tcW w:w="1962" w:type="dxa"/>
                  <w:tcBorders>
                    <w:tl2br w:val="nil"/>
                    <w:tr2bl w:val="nil"/>
                  </w:tcBorders>
                  <w:shd w:val="clear" w:color="auto" w:fill="auto"/>
                  <w:vAlign w:val="center"/>
                </w:tcPr>
                <w:p>
                  <w:pPr>
                    <w:pStyle w:val="70"/>
                    <w:spacing w:beforeLines="0" w:afterLines="0" w:line="240" w:lineRule="auto"/>
                    <w:rPr>
                      <w:rFonts w:hint="eastAsia" w:ascii="Times New Roman" w:hAnsi="Times New Roman" w:eastAsia="宋体" w:cs="Times New Roman"/>
                      <w:lang w:eastAsia="zh-CN"/>
                    </w:rPr>
                  </w:pPr>
                  <w:r>
                    <w:rPr>
                      <w:rFonts w:hint="eastAsia" w:ascii="Times New Roman" w:hAnsi="Times New Roman" w:cs="Times New Roman"/>
                      <w:lang w:val="en-US" w:eastAsia="zh-CN"/>
                    </w:rPr>
                    <w:t>1小时平均</w:t>
                  </w:r>
                </w:p>
              </w:tc>
              <w:tc>
                <w:tcPr>
                  <w:tcW w:w="1098" w:type="dxa"/>
                  <w:tcBorders>
                    <w:tl2br w:val="nil"/>
                    <w:tr2bl w:val="nil"/>
                  </w:tcBorders>
                  <w:shd w:val="clear" w:color="auto" w:fill="auto"/>
                  <w:vAlign w:val="center"/>
                </w:tcPr>
                <w:p>
                  <w:pPr>
                    <w:pStyle w:val="70"/>
                    <w:spacing w:beforeLines="0" w:afterLines="0" w:line="240" w:lineRule="auto"/>
                    <w:rPr>
                      <w:rFonts w:hint="eastAsia" w:ascii="Times New Roman" w:hAnsi="Times New Roman" w:eastAsia="宋体" w:cs="Times New Roman"/>
                      <w:lang w:val="en-US" w:eastAsia="zh-CN"/>
                    </w:rPr>
                  </w:pPr>
                  <w:r>
                    <w:rPr>
                      <w:rFonts w:hint="eastAsia" w:ascii="Times New Roman" w:hAnsi="Times New Roman" w:cs="Times New Roman"/>
                      <w:lang w:val="en-US" w:eastAsia="zh-CN"/>
                    </w:rPr>
                    <w:t>200</w:t>
                  </w:r>
                </w:p>
              </w:tc>
              <w:tc>
                <w:tcPr>
                  <w:tcW w:w="890" w:type="dxa"/>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restart"/>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kern w:val="0"/>
                      <w:sz w:val="21"/>
                      <w:szCs w:val="21"/>
                    </w:rPr>
                    <w:t>《环境影响评价技术导则</w:t>
                  </w:r>
                  <w:r>
                    <w:rPr>
                      <w:rFonts w:hint="eastAsia" w:ascii="Times New Roman" w:hAnsi="Times New Roman" w:cs="Times New Roman"/>
                      <w:kern w:val="0"/>
                      <w:sz w:val="21"/>
                      <w:szCs w:val="21"/>
                      <w:lang w:eastAsia="zh-CN"/>
                    </w:rPr>
                    <w:t>—</w:t>
                  </w:r>
                  <w:r>
                    <w:rPr>
                      <w:rFonts w:hint="default" w:ascii="Times New Roman" w:hAnsi="Times New Roman" w:cs="Times New Roman"/>
                      <w:kern w:val="0"/>
                      <w:sz w:val="21"/>
                      <w:szCs w:val="21"/>
                    </w:rPr>
                    <w:t>大气环境》（HJ2.2-2018）附录D</w:t>
                  </w:r>
                  <w:r>
                    <w:rPr>
                      <w:rFonts w:hint="eastAsia" w:ascii="Times New Roman" w:hAnsi="Times New Roman" w:cs="Times New Roman"/>
                      <w:kern w:val="0"/>
                      <w:sz w:val="21"/>
                      <w:szCs w:val="21"/>
                    </w:rPr>
                    <w:t>中的标准限值</w:t>
                  </w:r>
                  <w:r>
                    <w:rPr>
                      <w:rFonts w:hint="eastAsia" w:ascii="Times New Roman" w:hAnsi="Times New Roman" w:cs="Times New Roman"/>
                      <w:kern w:val="0"/>
                      <w:sz w:val="21"/>
                      <w:szCs w:val="21"/>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 w:hRule="atLeast"/>
                <w:jc w:val="center"/>
              </w:trPr>
              <w:tc>
                <w:tcPr>
                  <w:tcW w:w="1505"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w:t>
                  </w:r>
                </w:p>
              </w:tc>
              <w:tc>
                <w:tcPr>
                  <w:tcW w:w="1962" w:type="dxa"/>
                  <w:tcBorders>
                    <w:tl2br w:val="nil"/>
                    <w:tr2bl w:val="nil"/>
                  </w:tcBorders>
                  <w:shd w:val="clear" w:color="auto" w:fill="auto"/>
                  <w:vAlign w:val="center"/>
                </w:tcPr>
                <w:p>
                  <w:pPr>
                    <w:pStyle w:val="70"/>
                    <w:spacing w:beforeLines="0" w:afterLines="0" w:line="240" w:lineRule="auto"/>
                    <w:rPr>
                      <w:rFonts w:hint="default" w:ascii="Times New Roman" w:hAnsi="Times New Roman" w:cs="Times New Roman"/>
                    </w:rPr>
                  </w:pPr>
                  <w:r>
                    <w:rPr>
                      <w:rFonts w:hint="eastAsia" w:ascii="Times New Roman" w:hAnsi="Times New Roman" w:cs="Times New Roman"/>
                      <w:lang w:val="en-US" w:eastAsia="zh-CN"/>
                    </w:rPr>
                    <w:t>1小时平均</w:t>
                  </w:r>
                </w:p>
              </w:tc>
              <w:tc>
                <w:tcPr>
                  <w:tcW w:w="1098" w:type="dxa"/>
                  <w:tcBorders>
                    <w:tl2br w:val="nil"/>
                    <w:tr2bl w:val="nil"/>
                  </w:tcBorders>
                  <w:shd w:val="clear" w:color="auto" w:fill="auto"/>
                  <w:vAlign w:val="center"/>
                </w:tcPr>
                <w:p>
                  <w:pPr>
                    <w:pStyle w:val="70"/>
                    <w:spacing w:beforeLines="0" w:afterLines="0" w:line="240" w:lineRule="auto"/>
                    <w:rPr>
                      <w:rFonts w:hint="eastAsia" w:ascii="Times New Roman" w:hAnsi="Times New Roman" w:eastAsia="宋体" w:cs="Times New Roman"/>
                      <w:lang w:val="en-US" w:eastAsia="zh-CN"/>
                    </w:rPr>
                  </w:pPr>
                  <w:r>
                    <w:rPr>
                      <w:rFonts w:hint="eastAsia" w:ascii="Times New Roman" w:hAnsi="Times New Roman" w:cs="Times New Roman"/>
                      <w:lang w:val="en-US" w:eastAsia="zh-CN"/>
                    </w:rPr>
                    <w:t>10</w:t>
                  </w:r>
                </w:p>
              </w:tc>
              <w:tc>
                <w:tcPr>
                  <w:tcW w:w="890" w:type="dxa"/>
                  <w:tcBorders>
                    <w:tl2br w:val="nil"/>
                    <w:tr2bl w:val="nil"/>
                  </w:tcBorders>
                  <w:vAlign w:val="center"/>
                </w:tcPr>
                <w:p>
                  <w:pPr>
                    <w:pStyle w:val="70"/>
                    <w:spacing w:beforeLines="0" w:afterLines="0" w:line="240" w:lineRule="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c>
                <w:tcPr>
                  <w:tcW w:w="2595" w:type="dxa"/>
                  <w:vMerge w:val="continue"/>
                  <w:tcBorders>
                    <w:tl2br w:val="nil"/>
                    <w:tr2bl w:val="nil"/>
                  </w:tcBorders>
                  <w:vAlign w:val="center"/>
                </w:tcPr>
                <w:p>
                  <w:pPr>
                    <w:pStyle w:val="70"/>
                    <w:spacing w:beforeLines="0" w:afterLines="0" w:line="240" w:lineRule="auto"/>
                    <w:rPr>
                      <w:rFonts w:hint="default" w:ascii="Times New Roman" w:hAnsi="Times New Roman" w:cs="Times New Roman"/>
                    </w:rPr>
                  </w:pPr>
                </w:p>
              </w:tc>
            </w:tr>
          </w:tbl>
          <w:p>
            <w:pPr>
              <w:adjustRightInd w:val="0"/>
              <w:spacing w:line="360" w:lineRule="auto"/>
              <w:ind w:firstLine="480" w:firstLineChars="200"/>
              <w:contextualSpacing/>
              <w:rPr>
                <w:rFonts w:hint="eastAsia" w:eastAsia="宋体"/>
                <w:sz w:val="24"/>
                <w:lang w:eastAsia="zh-CN"/>
              </w:rPr>
            </w:pPr>
            <w:r>
              <w:rPr>
                <w:sz w:val="24"/>
              </w:rPr>
              <w:t>2、地表水环境</w:t>
            </w:r>
            <w:r>
              <w:rPr>
                <w:rFonts w:hint="eastAsia"/>
                <w:sz w:val="24"/>
                <w:lang w:val="en-US" w:eastAsia="zh-CN"/>
              </w:rPr>
              <w:t xml:space="preserve"> </w:t>
            </w:r>
          </w:p>
          <w:p>
            <w:pPr>
              <w:adjustRightInd w:val="0"/>
              <w:spacing w:line="360" w:lineRule="auto"/>
              <w:ind w:firstLine="480" w:firstLineChars="200"/>
              <w:contextualSpacing/>
              <w:rPr>
                <w:sz w:val="24"/>
              </w:rPr>
            </w:pPr>
            <w:r>
              <w:rPr>
                <w:rFonts w:hint="eastAsia" w:ascii="Times New Roman" w:hAnsi="Times New Roman" w:cs="Times New Roman"/>
                <w:sz w:val="24"/>
                <w:lang w:eastAsia="zh-CN"/>
              </w:rPr>
              <w:t>根据《湖南省主要地表水系水环境功能区划》（</w:t>
            </w:r>
            <w:r>
              <w:rPr>
                <w:rFonts w:hint="eastAsia" w:ascii="Times New Roman" w:hAnsi="Times New Roman" w:cs="Times New Roman"/>
                <w:sz w:val="24"/>
                <w:lang w:val="en-US" w:eastAsia="zh-CN"/>
              </w:rPr>
              <w:t>DB43/023-2005</w:t>
            </w:r>
            <w:r>
              <w:rPr>
                <w:rFonts w:hint="eastAsia" w:ascii="Times New Roman" w:hAnsi="Times New Roman" w:cs="Times New Roman"/>
                <w:sz w:val="24"/>
                <w:lang w:eastAsia="zh-CN"/>
              </w:rPr>
              <w:t>），</w:t>
            </w:r>
            <w:r>
              <w:rPr>
                <w:rFonts w:hint="default" w:ascii="Times New Roman" w:hAnsi="Times New Roman" w:cs="Times New Roman"/>
                <w:sz w:val="24"/>
              </w:rPr>
              <w:t>项目所在区域地表水澧水（金鱼岭水厂取水口下游200m至津市新洲段</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澧水新洲至西毛里湖水厂取水口上游1km</w:t>
            </w:r>
            <w:r>
              <w:rPr>
                <w:rFonts w:hint="default" w:ascii="Times New Roman" w:hAnsi="Times New Roman" w:cs="Times New Roman"/>
                <w:sz w:val="24"/>
              </w:rPr>
              <w:t>）属于工业用水区</w:t>
            </w:r>
            <w:r>
              <w:rPr>
                <w:rFonts w:hint="eastAsia" w:ascii="Times New Roman" w:hAnsi="Times New Roman" w:cs="Times New Roman"/>
                <w:sz w:val="24"/>
                <w:lang w:eastAsia="zh-CN"/>
              </w:rPr>
              <w:t>，</w:t>
            </w:r>
            <w:r>
              <w:rPr>
                <w:rFonts w:hint="default" w:ascii="Times New Roman" w:hAnsi="Times New Roman" w:cs="Times New Roman"/>
                <w:sz w:val="24"/>
              </w:rPr>
              <w:t>执行《地表水环境质量标准》（GB3838-2002）</w:t>
            </w:r>
            <w:r>
              <w:rPr>
                <w:rFonts w:hint="default" w:ascii="Times New Roman" w:hAnsi="Times New Roman" w:cs="Times New Roman"/>
                <w:sz w:val="24"/>
                <w:lang w:val="en-US" w:eastAsia="zh-CN"/>
              </w:rPr>
              <w:t>中</w:t>
            </w:r>
            <w:r>
              <w:rPr>
                <w:rFonts w:hint="eastAsia" w:ascii="Times New Roman" w:hAnsi="Times New Roman" w:cs="Times New Roman"/>
                <w:sz w:val="24"/>
                <w:lang w:val="en-US" w:eastAsia="zh-CN"/>
              </w:rPr>
              <w:t>III</w:t>
            </w:r>
            <w:r>
              <w:rPr>
                <w:rFonts w:hint="default" w:ascii="Times New Roman" w:hAnsi="Times New Roman" w:cs="Times New Roman"/>
                <w:sz w:val="24"/>
                <w:lang w:val="en-US" w:eastAsia="zh-CN"/>
              </w:rPr>
              <w:t>类</w:t>
            </w:r>
            <w:r>
              <w:rPr>
                <w:rFonts w:hint="eastAsia" w:ascii="Times New Roman" w:hAnsi="Times New Roman" w:cs="Times New Roman"/>
                <w:sz w:val="24"/>
                <w:lang w:val="en-US" w:eastAsia="zh-CN"/>
              </w:rPr>
              <w:t>标</w:t>
            </w:r>
            <w:r>
              <w:rPr>
                <w:rFonts w:hint="eastAsia" w:ascii="Times New Roman" w:hAnsi="Times New Roman" w:cs="Times New Roman"/>
                <w:sz w:val="24"/>
              </w:rPr>
              <w:t>准</w:t>
            </w:r>
            <w:r>
              <w:rPr>
                <w:rFonts w:hint="eastAsia"/>
                <w:sz w:val="24"/>
              </w:rPr>
              <w:t>。</w:t>
            </w:r>
            <w:r>
              <w:rPr>
                <w:sz w:val="24"/>
              </w:rPr>
              <w:t xml:space="preserve"> </w:t>
            </w:r>
          </w:p>
          <w:p>
            <w:pPr>
              <w:adjustRightInd w:val="0"/>
              <w:spacing w:line="360" w:lineRule="auto"/>
              <w:contextualSpacing/>
              <w:jc w:val="center"/>
              <w:rPr>
                <w:b/>
                <w:color w:val="000000"/>
                <w:szCs w:val="21"/>
              </w:rPr>
            </w:pPr>
            <w:r>
              <w:rPr>
                <w:b/>
                <w:color w:val="000000"/>
                <w:szCs w:val="21"/>
              </w:rPr>
              <w:t>表</w:t>
            </w:r>
            <w:r>
              <w:rPr>
                <w:rFonts w:hint="eastAsia"/>
                <w:b/>
                <w:color w:val="000000"/>
                <w:szCs w:val="21"/>
              </w:rPr>
              <w:t>4-2</w:t>
            </w:r>
            <w:r>
              <w:rPr>
                <w:b/>
                <w:color w:val="000000"/>
                <w:szCs w:val="21"/>
              </w:rPr>
              <w:t xml:space="preserve">  </w:t>
            </w:r>
            <w:r>
              <w:rPr>
                <w:rFonts w:hint="eastAsia"/>
                <w:b/>
                <w:color w:val="000000"/>
                <w:szCs w:val="21"/>
              </w:rPr>
              <w:t>地表水环境质量标准</w:t>
            </w:r>
            <w:r>
              <w:rPr>
                <w:b/>
                <w:color w:val="000000"/>
                <w:szCs w:val="21"/>
              </w:rPr>
              <w:t xml:space="preserve">  </w:t>
            </w:r>
            <w:r>
              <w:rPr>
                <w:rFonts w:hint="eastAsia"/>
                <w:b/>
                <w:color w:val="000000"/>
                <w:szCs w:val="21"/>
              </w:rPr>
              <w:t>单位：mg/L</w:t>
            </w:r>
            <w:r>
              <w:rPr>
                <w:rFonts w:hint="eastAsia"/>
                <w:b/>
                <w:color w:val="000000"/>
                <w:szCs w:val="21"/>
                <w:lang w:eastAsia="zh-CN"/>
              </w:rPr>
              <w:t>，</w:t>
            </w:r>
            <w:r>
              <w:rPr>
                <w:rFonts w:hint="eastAsia"/>
                <w:b/>
                <w:color w:val="000000"/>
                <w:szCs w:val="21"/>
              </w:rPr>
              <w:t>pH无量纲</w:t>
            </w:r>
          </w:p>
          <w:tbl>
            <w:tblPr>
              <w:tblStyle w:val="23"/>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6"/>
              <w:gridCol w:w="2536"/>
              <w:gridCol w:w="46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 w:hRule="atLeast"/>
                <w:jc w:val="center"/>
              </w:trPr>
              <w:tc>
                <w:tcPr>
                  <w:tcW w:w="685"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序号</w:t>
                  </w:r>
                </w:p>
              </w:tc>
              <w:tc>
                <w:tcPr>
                  <w:tcW w:w="1983"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项目</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eastAsia" w:ascii="Times New Roman" w:hAnsi="Times New Roman" w:cs="Times New Roman"/>
                      <w:b/>
                      <w:bCs/>
                      <w:lang w:eastAsia="zh-CN"/>
                    </w:rPr>
                    <w:t>《地表水环境质量标准》</w:t>
                  </w:r>
                  <w:r>
                    <w:rPr>
                      <w:rFonts w:hint="default" w:ascii="Times New Roman" w:hAnsi="Times New Roman" w:cs="Times New Roman"/>
                      <w:b/>
                      <w:bCs/>
                    </w:rPr>
                    <w:t>GB3838-2002中</w:t>
                  </w:r>
                  <w:r>
                    <w:rPr>
                      <w:rFonts w:hint="eastAsia" w:ascii="Times New Roman" w:hAnsi="Times New Roman" w:cs="Times New Roman"/>
                      <w:b/>
                      <w:bCs/>
                    </w:rPr>
                    <w:fldChar w:fldCharType="begin"/>
                  </w:r>
                  <w:r>
                    <w:rPr>
                      <w:rFonts w:hint="eastAsia" w:ascii="Times New Roman" w:hAnsi="Times New Roman" w:cs="Times New Roman"/>
                      <w:b/>
                      <w:bCs/>
                    </w:rPr>
                    <w:instrText xml:space="preserve"> = 3 \* ROMAN \* MERGEFORMAT </w:instrText>
                  </w:r>
                  <w:r>
                    <w:rPr>
                      <w:rFonts w:hint="eastAsia" w:ascii="Times New Roman" w:hAnsi="Times New Roman" w:cs="Times New Roman"/>
                      <w:b/>
                      <w:bCs/>
                    </w:rPr>
                    <w:fldChar w:fldCharType="separate"/>
                  </w:r>
                  <w:r>
                    <w:rPr>
                      <w:rFonts w:hint="default" w:ascii="Times New Roman" w:hAnsi="Times New Roman" w:cs="Times New Roman"/>
                      <w:b/>
                      <w:bCs/>
                    </w:rPr>
                    <w:t>III</w:t>
                  </w:r>
                  <w:r>
                    <w:rPr>
                      <w:rFonts w:hint="eastAsia" w:ascii="Times New Roman" w:hAnsi="Times New Roman" w:cs="Times New Roman"/>
                      <w:b/>
                      <w:bCs/>
                    </w:rPr>
                    <w:fldChar w:fldCharType="end"/>
                  </w:r>
                  <w:r>
                    <w:rPr>
                      <w:rFonts w:hint="default" w:ascii="Times New Roman" w:hAnsi="Times New Roman" w:cs="Times New Roman"/>
                      <w:b/>
                      <w:bCs/>
                    </w:rPr>
                    <w:t>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w:t>
                  </w:r>
                </w:p>
              </w:tc>
              <w:tc>
                <w:tcPr>
                  <w:tcW w:w="1983"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pH</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w:t>
                  </w:r>
                </w:p>
              </w:tc>
              <w:tc>
                <w:tcPr>
                  <w:tcW w:w="1983"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vertAlign w:val="subscript"/>
                    </w:rPr>
                    <w:t>Cr</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lang w:val="en-US"/>
                    </w:rPr>
                  </w:pPr>
                  <w:r>
                    <w:rPr>
                      <w:rFonts w:hint="eastAsia" w:ascii="Times New Roman" w:hAnsi="Times New Roman" w:cs="Times New Roman"/>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3</w:t>
                  </w:r>
                </w:p>
              </w:tc>
              <w:tc>
                <w:tcPr>
                  <w:tcW w:w="1983"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BOD</w:t>
                  </w:r>
                  <w:r>
                    <w:rPr>
                      <w:rFonts w:hint="eastAsia" w:ascii="Times New Roman" w:hAnsi="Times New Roman" w:cs="Times New Roman"/>
                      <w:vertAlign w:val="subscript"/>
                      <w:lang w:val="en-US" w:eastAsia="zh-CN"/>
                    </w:rPr>
                    <w:t>5</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rPr>
                  </w:pPr>
                  <w:r>
                    <w:rPr>
                      <w:rFonts w:hint="eastAsia" w:ascii="Times New Roman" w:hAnsi="Times New Roman" w:cs="Times New Roman"/>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4</w:t>
                  </w:r>
                </w:p>
              </w:tc>
              <w:tc>
                <w:tcPr>
                  <w:tcW w:w="1983"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lang w:val="en-US"/>
                    </w:rPr>
                  </w:pPr>
                  <w:r>
                    <w:rPr>
                      <w:rFonts w:hint="eastAsia" w:ascii="Times New Roman" w:hAnsi="Times New Roman" w:cs="Times New Roman"/>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5</w:t>
                  </w:r>
                </w:p>
              </w:tc>
              <w:tc>
                <w:tcPr>
                  <w:tcW w:w="1983"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TP</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lang w:val="en-US"/>
                    </w:rPr>
                  </w:pPr>
                  <w:r>
                    <w:rPr>
                      <w:rFonts w:hint="eastAsia" w:ascii="Times New Roman" w:hAnsi="Times New Roman" w:cs="Times New Roman"/>
                      <w:lang w:val="en-US" w:eastAsia="zh-CN"/>
                    </w:rPr>
                    <w:t>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6</w:t>
                  </w:r>
                </w:p>
              </w:tc>
              <w:tc>
                <w:tcPr>
                  <w:tcW w:w="1983"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石油类</w:t>
                  </w:r>
                </w:p>
              </w:tc>
              <w:tc>
                <w:tcPr>
                  <w:tcW w:w="3626"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default" w:ascii="Times New Roman" w:hAnsi="Times New Roman" w:cs="Times New Roman"/>
                    </w:rPr>
                    <w:t>0.</w:t>
                  </w:r>
                  <w:r>
                    <w:rPr>
                      <w:rFonts w:hint="eastAsia" w:ascii="Times New Roman" w:hAnsi="Times New Roman" w:cs="Times New Roman"/>
                      <w:lang w:val="en-US" w:eastAsia="zh-CN"/>
                    </w:rPr>
                    <w:t>0</w:t>
                  </w:r>
                  <w:r>
                    <w:rPr>
                      <w:rFonts w:hint="default" w:ascii="Times New Roman" w:hAnsi="Times New Roman" w:cs="Times New Roma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85"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7</w:t>
                  </w:r>
                </w:p>
              </w:tc>
              <w:tc>
                <w:tcPr>
                  <w:tcW w:w="1983"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阴离子表面活性剂</w:t>
                  </w:r>
                </w:p>
              </w:tc>
              <w:tc>
                <w:tcPr>
                  <w:tcW w:w="3626" w:type="dxa"/>
                  <w:tcBorders>
                    <w:tl2br w:val="nil"/>
                    <w:tr2bl w:val="nil"/>
                  </w:tcBorders>
                  <w:vAlign w:val="center"/>
                </w:tcPr>
                <w:p>
                  <w:pPr>
                    <w:pStyle w:val="76"/>
                    <w:spacing w:line="240" w:lineRule="auto"/>
                    <w:jc w:val="center"/>
                    <w:rPr>
                      <w:rFonts w:hint="default" w:ascii="Times New Roman" w:hAnsi="Times New Roman" w:cs="Times New Roman"/>
                      <w:lang w:val="en-US"/>
                    </w:rPr>
                  </w:pPr>
                  <w:r>
                    <w:rPr>
                      <w:rFonts w:hint="eastAsia" w:ascii="Times New Roman" w:hAnsi="Times New Roman" w:cs="Times New Roman"/>
                      <w:lang w:val="en-US" w:eastAsia="zh-CN"/>
                    </w:rPr>
                    <w:t>0.2</w:t>
                  </w:r>
                </w:p>
              </w:tc>
            </w:tr>
          </w:tbl>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cs="Times New Roman"/>
                <w:sz w:val="24"/>
                <w:lang w:val="en-US" w:eastAsia="zh-CN"/>
              </w:rPr>
              <w:t xml:space="preserve">3、地下水环境 </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w:t>
            </w:r>
            <w:r>
              <w:rPr>
                <w:rFonts w:hint="eastAsia" w:ascii="Times New Roman" w:hAnsi="Times New Roman" w:cs="Times New Roman"/>
                <w:sz w:val="24"/>
                <w:lang w:eastAsia="zh-CN"/>
              </w:rPr>
              <w:t>所在区域</w:t>
            </w:r>
            <w:r>
              <w:rPr>
                <w:rFonts w:hint="default" w:ascii="Times New Roman" w:hAnsi="Times New Roman" w:cs="Times New Roman"/>
                <w:sz w:val="24"/>
              </w:rPr>
              <w:t>地下水</w:t>
            </w:r>
            <w:r>
              <w:rPr>
                <w:rFonts w:hint="eastAsia" w:ascii="Times New Roman" w:hAnsi="Times New Roman" w:cs="Times New Roman"/>
                <w:sz w:val="24"/>
                <w:lang w:eastAsia="zh-CN"/>
              </w:rPr>
              <w:t>环境</w:t>
            </w:r>
            <w:r>
              <w:rPr>
                <w:rFonts w:hint="default" w:ascii="Times New Roman" w:hAnsi="Times New Roman" w:cs="Times New Roman"/>
                <w:sz w:val="24"/>
              </w:rPr>
              <w:t>质量执行《地下水质量标准》（GB/T14848-2017）Ⅲ类标准，具体限值见表</w:t>
            </w:r>
            <w:r>
              <w:rPr>
                <w:rFonts w:hint="eastAsia" w:cs="Times New Roman"/>
                <w:sz w:val="24"/>
                <w:lang w:val="en-US" w:eastAsia="zh-CN"/>
              </w:rPr>
              <w:t>4-3</w:t>
            </w:r>
            <w:r>
              <w:rPr>
                <w:rFonts w:hint="default" w:ascii="Times New Roman" w:hAnsi="Times New Roman" w:cs="Times New Roman"/>
                <w:sz w:val="24"/>
              </w:rPr>
              <w:t>。</w:t>
            </w:r>
          </w:p>
          <w:p>
            <w:pPr>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表</w:t>
            </w:r>
            <w:r>
              <w:rPr>
                <w:rFonts w:hint="eastAsia" w:cs="Times New Roman"/>
                <w:b/>
                <w:kern w:val="0"/>
                <w:szCs w:val="21"/>
                <w:lang w:val="en-US" w:eastAsia="zh-CN"/>
              </w:rPr>
              <w:t>4-3</w:t>
            </w:r>
            <w:r>
              <w:rPr>
                <w:rFonts w:hint="default" w:ascii="Times New Roman" w:hAnsi="Times New Roman" w:cs="Times New Roman"/>
                <w:b/>
                <w:kern w:val="0"/>
                <w:szCs w:val="21"/>
              </w:rPr>
              <w:t xml:space="preserve">  地下水质量标准  单位：mg/L  pH值除外</w:t>
            </w:r>
          </w:p>
          <w:tbl>
            <w:tblPr>
              <w:tblStyle w:val="23"/>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5"/>
              <w:gridCol w:w="2980"/>
              <w:gridCol w:w="39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序号</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default" w:ascii="Times New Roman" w:hAnsi="Times New Roman" w:cs="Times New Roman"/>
                      <w:b/>
                      <w:bCs/>
                    </w:rPr>
                    <w:t>项目</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b/>
                      <w:bCs/>
                    </w:rPr>
                  </w:pPr>
                  <w:r>
                    <w:rPr>
                      <w:rFonts w:hint="eastAsia" w:ascii="Times New Roman" w:hAnsi="Times New Roman" w:cs="Times New Roman"/>
                      <w:b/>
                      <w:bCs/>
                      <w:lang w:eastAsia="zh-CN"/>
                    </w:rPr>
                    <w:t>《地下水质量标准》</w:t>
                  </w:r>
                  <w:r>
                    <w:rPr>
                      <w:rFonts w:hint="default" w:ascii="Times New Roman" w:hAnsi="Times New Roman" w:cs="Times New Roman"/>
                      <w:b/>
                      <w:bCs/>
                    </w:rPr>
                    <w:t>GB/T14848-2017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pH</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6.5-8.5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w:t>
                  </w:r>
                </w:p>
              </w:tc>
              <w:tc>
                <w:tcPr>
                  <w:tcW w:w="3234" w:type="dxa"/>
                  <w:tcBorders>
                    <w:tl2br w:val="nil"/>
                    <w:tr2bl w:val="nil"/>
                  </w:tcBorders>
                  <w:vAlign w:val="center"/>
                </w:tcPr>
                <w:p>
                  <w:pPr>
                    <w:pStyle w:val="76"/>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lang w:eastAsia="zh-CN"/>
                    </w:rPr>
                    <w:t>耗氧量</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3</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硫酸盐</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4</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氨氮</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5</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溶解性总固体</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6</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铅</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7</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汞</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8</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镉</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9</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砷</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10</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六价铬</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11</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硝酸盐</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12</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亚硝酸盐</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13</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挥发性酚类</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14</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氰化物</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15</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总硬度</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450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16</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氟化物</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17</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铁</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18</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锰</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19</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氯化物</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20</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总大肠菌群</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87"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21</w:t>
                  </w:r>
                </w:p>
              </w:tc>
              <w:tc>
                <w:tcPr>
                  <w:tcW w:w="3234"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细菌总数</w:t>
                  </w:r>
                </w:p>
              </w:tc>
              <w:tc>
                <w:tcPr>
                  <w:tcW w:w="4310" w:type="dxa"/>
                  <w:tcBorders>
                    <w:tl2br w:val="nil"/>
                    <w:tr2bl w:val="nil"/>
                  </w:tcBorders>
                  <w:vAlign w:val="center"/>
                </w:tcPr>
                <w:p>
                  <w:pPr>
                    <w:pStyle w:val="76"/>
                    <w:spacing w:line="240" w:lineRule="auto"/>
                    <w:jc w:val="center"/>
                    <w:rPr>
                      <w:rFonts w:hint="default" w:ascii="Times New Roman" w:hAnsi="Times New Roman" w:cs="Times New Roman"/>
                    </w:rPr>
                  </w:pPr>
                  <w:r>
                    <w:rPr>
                      <w:rFonts w:hint="default" w:ascii="Times New Roman" w:hAnsi="Times New Roman" w:cs="Times New Roman"/>
                    </w:rPr>
                    <w:t>100</w:t>
                  </w:r>
                </w:p>
              </w:tc>
            </w:tr>
          </w:tbl>
          <w:p>
            <w:pPr>
              <w:adjustRightInd w:val="0"/>
              <w:spacing w:line="360" w:lineRule="auto"/>
              <w:ind w:firstLine="480" w:firstLineChars="200"/>
              <w:contextualSpacing/>
              <w:rPr>
                <w:sz w:val="24"/>
              </w:rPr>
            </w:pPr>
            <w:r>
              <w:rPr>
                <w:rFonts w:hint="eastAsia"/>
                <w:sz w:val="24"/>
                <w:lang w:val="en-US" w:eastAsia="zh-CN"/>
              </w:rPr>
              <w:t>4</w:t>
            </w:r>
            <w:r>
              <w:rPr>
                <w:sz w:val="24"/>
              </w:rPr>
              <w:t>、声环境质量标准</w:t>
            </w:r>
          </w:p>
          <w:p>
            <w:pPr>
              <w:adjustRightInd w:val="0"/>
              <w:spacing w:line="360" w:lineRule="auto"/>
              <w:ind w:firstLine="480" w:firstLineChars="200"/>
              <w:contextualSpacing/>
              <w:rPr>
                <w:sz w:val="24"/>
              </w:rPr>
            </w:pPr>
            <w:r>
              <w:rPr>
                <w:rFonts w:hint="default" w:ascii="Times New Roman" w:hAnsi="Times New Roman" w:cs="Times New Roman"/>
                <w:sz w:val="24"/>
              </w:rPr>
              <w:t>项目位于声环境质量功能区的</w:t>
            </w:r>
            <w:r>
              <w:rPr>
                <w:rFonts w:hint="eastAsia" w:ascii="Times New Roman" w:hAnsi="Times New Roman" w:cs="Times New Roman"/>
                <w:sz w:val="24"/>
                <w:lang w:val="en-US" w:eastAsia="zh-CN"/>
              </w:rPr>
              <w:t>3</w:t>
            </w:r>
            <w:r>
              <w:rPr>
                <w:rFonts w:hint="default" w:ascii="Times New Roman" w:hAnsi="Times New Roman" w:cs="Times New Roman"/>
                <w:sz w:val="24"/>
              </w:rPr>
              <w:t>类区，</w:t>
            </w:r>
            <w:r>
              <w:rPr>
                <w:rFonts w:hint="eastAsia" w:ascii="Times New Roman" w:hAnsi="Times New Roman" w:cs="Times New Roman"/>
                <w:sz w:val="24"/>
                <w:lang w:eastAsia="zh-CN"/>
              </w:rPr>
              <w:t>厂界西侧、北侧</w:t>
            </w:r>
            <w:r>
              <w:rPr>
                <w:rFonts w:hint="eastAsia" w:ascii="Times New Roman" w:hAnsi="Times New Roman" w:cs="Times New Roman"/>
                <w:sz w:val="24"/>
                <w:lang w:val="en-US" w:eastAsia="zh-CN"/>
              </w:rPr>
              <w:t>执行</w:t>
            </w:r>
            <w:r>
              <w:rPr>
                <w:rFonts w:hint="default" w:ascii="Times New Roman" w:hAnsi="Times New Roman" w:cs="Times New Roman"/>
                <w:sz w:val="24"/>
              </w:rPr>
              <w:t>《声环境质量标准》（GB3096-2008）中</w:t>
            </w:r>
            <w:r>
              <w:rPr>
                <w:rFonts w:hint="eastAsia" w:ascii="Times New Roman" w:hAnsi="Times New Roman" w:cs="Times New Roman"/>
                <w:sz w:val="24"/>
                <w:lang w:val="en-US" w:eastAsia="zh-CN"/>
              </w:rPr>
              <w:t>3</w:t>
            </w:r>
            <w:r>
              <w:rPr>
                <w:rFonts w:hint="default" w:ascii="Times New Roman" w:hAnsi="Times New Roman" w:cs="Times New Roman"/>
                <w:sz w:val="24"/>
              </w:rPr>
              <w:t>类标准，</w:t>
            </w:r>
            <w:r>
              <w:rPr>
                <w:rFonts w:hint="eastAsia" w:ascii="Times New Roman" w:hAnsi="Times New Roman" w:cs="Times New Roman"/>
                <w:sz w:val="24"/>
                <w:lang w:eastAsia="zh-CN"/>
              </w:rPr>
              <w:t>厂界东侧、南侧执行</w:t>
            </w:r>
            <w:r>
              <w:rPr>
                <w:rFonts w:hint="default" w:ascii="Times New Roman" w:hAnsi="Times New Roman" w:cs="Times New Roman"/>
                <w:sz w:val="24"/>
              </w:rPr>
              <w:t>《声环境质量标准》（GB3096-2008）中</w:t>
            </w:r>
            <w:r>
              <w:rPr>
                <w:rFonts w:hint="eastAsia" w:ascii="Times New Roman" w:hAnsi="Times New Roman" w:cs="Times New Roman"/>
                <w:sz w:val="24"/>
                <w:lang w:val="en-US" w:eastAsia="zh-CN"/>
              </w:rPr>
              <w:t>4a</w:t>
            </w:r>
            <w:r>
              <w:rPr>
                <w:rFonts w:hint="default" w:ascii="Times New Roman" w:hAnsi="Times New Roman" w:cs="Times New Roman"/>
                <w:sz w:val="24"/>
              </w:rPr>
              <w:t>类标准</w:t>
            </w:r>
            <w:r>
              <w:rPr>
                <w:sz w:val="24"/>
              </w:rPr>
              <w:t>，限值见表</w:t>
            </w:r>
            <w:r>
              <w:rPr>
                <w:rFonts w:hint="eastAsia"/>
                <w:sz w:val="24"/>
              </w:rPr>
              <w:t>4-</w:t>
            </w:r>
            <w:r>
              <w:rPr>
                <w:rFonts w:hint="eastAsia"/>
                <w:sz w:val="24"/>
                <w:lang w:val="en-US" w:eastAsia="zh-CN"/>
              </w:rPr>
              <w:t>4</w:t>
            </w:r>
            <w:r>
              <w:rPr>
                <w:sz w:val="24"/>
              </w:rPr>
              <w:t>。</w:t>
            </w:r>
          </w:p>
          <w:p>
            <w:pPr>
              <w:spacing w:line="360" w:lineRule="auto"/>
              <w:contextualSpacing/>
              <w:jc w:val="center"/>
              <w:rPr>
                <w:rFonts w:hint="eastAsia"/>
                <w:b/>
                <w:color w:val="000000"/>
                <w:kern w:val="0"/>
                <w:szCs w:val="21"/>
              </w:rPr>
            </w:pPr>
            <w:r>
              <w:rPr>
                <w:rFonts w:hint="eastAsia"/>
                <w:b/>
                <w:color w:val="000000"/>
                <w:kern w:val="0"/>
                <w:szCs w:val="21"/>
              </w:rPr>
              <w:t>表4-</w:t>
            </w:r>
            <w:r>
              <w:rPr>
                <w:rFonts w:hint="eastAsia"/>
                <w:b/>
                <w:color w:val="000000"/>
                <w:kern w:val="0"/>
                <w:szCs w:val="21"/>
                <w:lang w:val="en-US" w:eastAsia="zh-CN"/>
              </w:rPr>
              <w:t>4</w:t>
            </w:r>
            <w:r>
              <w:rPr>
                <w:rFonts w:hint="eastAsia"/>
                <w:b/>
                <w:color w:val="000000"/>
                <w:kern w:val="0"/>
                <w:szCs w:val="21"/>
              </w:rPr>
              <w:t xml:space="preserve">  《声环境质量标准》</w:t>
            </w:r>
            <w:r>
              <w:rPr>
                <w:rFonts w:hint="eastAsia"/>
                <w:b/>
                <w:color w:val="000000"/>
                <w:kern w:val="0"/>
                <w:szCs w:val="21"/>
                <w:lang w:eastAsia="zh-CN"/>
              </w:rPr>
              <w:t>（</w:t>
            </w:r>
            <w:r>
              <w:rPr>
                <w:rFonts w:hint="eastAsia"/>
                <w:b/>
                <w:color w:val="000000"/>
                <w:kern w:val="0"/>
                <w:szCs w:val="21"/>
                <w:lang w:val="en-US" w:eastAsia="zh-CN"/>
              </w:rPr>
              <w:t>GB3096-2008</w:t>
            </w:r>
            <w:r>
              <w:rPr>
                <w:rFonts w:hint="eastAsia"/>
                <w:b/>
                <w:color w:val="000000"/>
                <w:kern w:val="0"/>
                <w:szCs w:val="21"/>
                <w:lang w:eastAsia="zh-CN"/>
              </w:rPr>
              <w:t>）</w:t>
            </w:r>
          </w:p>
          <w:tbl>
            <w:tblPr>
              <w:tblStyle w:val="23"/>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66"/>
              <w:gridCol w:w="1920"/>
              <w:gridCol w:w="1762"/>
              <w:gridCol w:w="14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9" w:hRule="atLeast"/>
                <w:jc w:val="center"/>
              </w:trPr>
              <w:tc>
                <w:tcPr>
                  <w:tcW w:w="3227" w:type="dxa"/>
                  <w:tcBorders>
                    <w:tl2br w:val="nil"/>
                    <w:tr2bl w:val="nil"/>
                  </w:tcBorders>
                  <w:vAlign w:val="top"/>
                </w:tcPr>
                <w:p>
                  <w:pPr>
                    <w:adjustRightInd w:val="0"/>
                    <w:snapToGrid w:val="0"/>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评价位置</w:t>
                  </w:r>
                </w:p>
              </w:tc>
              <w:tc>
                <w:tcPr>
                  <w:tcW w:w="2082" w:type="dxa"/>
                  <w:tcBorders>
                    <w:tl2br w:val="nil"/>
                    <w:tr2bl w:val="nil"/>
                  </w:tcBorders>
                  <w:vAlign w:val="top"/>
                </w:tcPr>
                <w:p>
                  <w:pPr>
                    <w:adjustRightInd w:val="0"/>
                    <w:snapToGrid w:val="0"/>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类别</w:t>
                  </w:r>
                </w:p>
              </w:tc>
              <w:tc>
                <w:tcPr>
                  <w:tcW w:w="1909" w:type="dxa"/>
                  <w:tcBorders>
                    <w:tl2br w:val="nil"/>
                    <w:tr2bl w:val="nil"/>
                  </w:tcBorders>
                  <w:vAlign w:val="top"/>
                </w:tcPr>
                <w:p>
                  <w:pPr>
                    <w:adjustRightInd w:val="0"/>
                    <w:snapToGrid w:val="0"/>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昼间</w:t>
                  </w:r>
                </w:p>
              </w:tc>
              <w:tc>
                <w:tcPr>
                  <w:tcW w:w="1514" w:type="dxa"/>
                  <w:tcBorders>
                    <w:tl2br w:val="nil"/>
                    <w:tr2bl w:val="nil"/>
                  </w:tcBorders>
                  <w:vAlign w:val="top"/>
                </w:tcPr>
                <w:p>
                  <w:pPr>
                    <w:adjustRightInd w:val="0"/>
                    <w:snapToGrid w:val="0"/>
                    <w:spacing w:line="240" w:lineRule="auto"/>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5" w:hRule="atLeast"/>
                <w:jc w:val="center"/>
              </w:trPr>
              <w:tc>
                <w:tcPr>
                  <w:tcW w:w="3227" w:type="dxa"/>
                  <w:tcBorders>
                    <w:tl2br w:val="nil"/>
                    <w:tr2bl w:val="nil"/>
                  </w:tcBorders>
                  <w:vAlign w:val="top"/>
                </w:tcPr>
                <w:p>
                  <w:pPr>
                    <w:adjustRightInd w:val="0"/>
                    <w:snapToGrid w:val="0"/>
                    <w:spacing w:line="240" w:lineRule="auto"/>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厂界西侧</w:t>
                  </w:r>
                  <w:r>
                    <w:rPr>
                      <w:rFonts w:hint="default" w:ascii="Times New Roman" w:hAnsi="Times New Roman" w:cs="Times New Roman"/>
                      <w:kern w:val="0"/>
                      <w:sz w:val="21"/>
                      <w:szCs w:val="21"/>
                      <w:lang w:eastAsia="zh-CN"/>
                    </w:rPr>
                    <w:t>、</w:t>
                  </w:r>
                  <w:r>
                    <w:rPr>
                      <w:rFonts w:hint="eastAsia" w:ascii="Times New Roman" w:hAnsi="Times New Roman" w:cs="Times New Roman"/>
                      <w:kern w:val="0"/>
                      <w:sz w:val="21"/>
                      <w:szCs w:val="21"/>
                      <w:lang w:eastAsia="zh-CN"/>
                    </w:rPr>
                    <w:t>北</w:t>
                  </w:r>
                  <w:r>
                    <w:rPr>
                      <w:rFonts w:hint="default" w:ascii="Times New Roman" w:hAnsi="Times New Roman" w:cs="Times New Roman"/>
                      <w:kern w:val="0"/>
                      <w:sz w:val="21"/>
                      <w:szCs w:val="21"/>
                    </w:rPr>
                    <w:t>侧</w:t>
                  </w:r>
                </w:p>
              </w:tc>
              <w:tc>
                <w:tcPr>
                  <w:tcW w:w="2082" w:type="dxa"/>
                  <w:tcBorders>
                    <w:tl2br w:val="nil"/>
                    <w:tr2bl w:val="nil"/>
                  </w:tcBorders>
                  <w:vAlign w:val="top"/>
                </w:tcPr>
                <w:p>
                  <w:pPr>
                    <w:adjustRightInd w:val="0"/>
                    <w:snapToGrid w:val="0"/>
                    <w:spacing w:line="240" w:lineRule="auto"/>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3</w:t>
                  </w:r>
                  <w:r>
                    <w:rPr>
                      <w:rFonts w:hint="default" w:ascii="Times New Roman" w:hAnsi="Times New Roman" w:cs="Times New Roman"/>
                      <w:kern w:val="0"/>
                      <w:sz w:val="21"/>
                      <w:szCs w:val="21"/>
                    </w:rPr>
                    <w:t>类</w:t>
                  </w:r>
                </w:p>
              </w:tc>
              <w:tc>
                <w:tcPr>
                  <w:tcW w:w="1909" w:type="dxa"/>
                  <w:tcBorders>
                    <w:tl2br w:val="nil"/>
                    <w:tr2bl w:val="nil"/>
                  </w:tcBorders>
                  <w:vAlign w:val="top"/>
                </w:tcPr>
                <w:p>
                  <w:pPr>
                    <w:adjustRightInd w:val="0"/>
                    <w:snapToGrid w:val="0"/>
                    <w:spacing w:line="240" w:lineRule="auto"/>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65</w:t>
                  </w:r>
                </w:p>
              </w:tc>
              <w:tc>
                <w:tcPr>
                  <w:tcW w:w="1514" w:type="dxa"/>
                  <w:tcBorders>
                    <w:tl2br w:val="nil"/>
                    <w:tr2bl w:val="nil"/>
                  </w:tcBorders>
                  <w:vAlign w:val="top"/>
                </w:tcPr>
                <w:p>
                  <w:pPr>
                    <w:adjustRightInd w:val="0"/>
                    <w:snapToGrid w:val="0"/>
                    <w:spacing w:line="240" w:lineRule="auto"/>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5" w:hRule="atLeast"/>
                <w:jc w:val="center"/>
              </w:trPr>
              <w:tc>
                <w:tcPr>
                  <w:tcW w:w="3227" w:type="dxa"/>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厂界东侧、南侧</w:t>
                  </w:r>
                </w:p>
              </w:tc>
              <w:tc>
                <w:tcPr>
                  <w:tcW w:w="2082" w:type="dxa"/>
                  <w:tcBorders>
                    <w:tl2br w:val="nil"/>
                    <w:tr2bl w:val="nil"/>
                  </w:tcBorders>
                  <w:vAlign w:val="top"/>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4a类</w:t>
                  </w:r>
                </w:p>
              </w:tc>
              <w:tc>
                <w:tcPr>
                  <w:tcW w:w="1909" w:type="dxa"/>
                  <w:tcBorders>
                    <w:tl2br w:val="nil"/>
                    <w:tr2bl w:val="nil"/>
                  </w:tcBorders>
                  <w:vAlign w:val="top"/>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70</w:t>
                  </w:r>
                </w:p>
              </w:tc>
              <w:tc>
                <w:tcPr>
                  <w:tcW w:w="1514" w:type="dxa"/>
                  <w:tcBorders>
                    <w:tl2br w:val="nil"/>
                    <w:tr2bl w:val="nil"/>
                  </w:tcBorders>
                  <w:vAlign w:val="top"/>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w:t>
                  </w:r>
                </w:p>
              </w:tc>
            </w:tr>
          </w:tbl>
          <w:p>
            <w:pPr>
              <w:pStyle w:val="2"/>
              <w:numPr>
                <w:ilvl w:val="2"/>
                <w:numId w:val="0"/>
              </w:num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tcBorders>
              <w:tl2br w:val="nil"/>
              <w:tr2bl w:val="nil"/>
            </w:tcBorders>
            <w:vAlign w:val="center"/>
          </w:tcPr>
          <w:p>
            <w:pPr>
              <w:spacing w:line="500" w:lineRule="exact"/>
              <w:jc w:val="center"/>
              <w:rPr>
                <w:sz w:val="24"/>
              </w:rPr>
            </w:pPr>
            <w:r>
              <w:rPr>
                <w:sz w:val="24"/>
              </w:rPr>
              <w:t>污</w:t>
            </w:r>
          </w:p>
          <w:p>
            <w:pPr>
              <w:spacing w:line="500" w:lineRule="exact"/>
              <w:jc w:val="center"/>
              <w:rPr>
                <w:sz w:val="24"/>
              </w:rPr>
            </w:pPr>
            <w:r>
              <w:rPr>
                <w:sz w:val="24"/>
              </w:rPr>
              <w:t>染</w:t>
            </w:r>
          </w:p>
          <w:p>
            <w:pPr>
              <w:spacing w:line="500" w:lineRule="exact"/>
              <w:jc w:val="center"/>
              <w:rPr>
                <w:sz w:val="24"/>
              </w:rPr>
            </w:pPr>
            <w:r>
              <w:rPr>
                <w:sz w:val="24"/>
              </w:rPr>
              <w:t>物</w:t>
            </w:r>
          </w:p>
          <w:p>
            <w:pPr>
              <w:spacing w:line="500" w:lineRule="exact"/>
              <w:jc w:val="center"/>
              <w:rPr>
                <w:sz w:val="24"/>
              </w:rPr>
            </w:pPr>
            <w:r>
              <w:rPr>
                <w:sz w:val="24"/>
              </w:rPr>
              <w:t>排</w:t>
            </w:r>
          </w:p>
          <w:p>
            <w:pPr>
              <w:spacing w:line="500" w:lineRule="exact"/>
              <w:jc w:val="center"/>
              <w:rPr>
                <w:sz w:val="24"/>
              </w:rPr>
            </w:pPr>
            <w:r>
              <w:rPr>
                <w:sz w:val="24"/>
              </w:rPr>
              <w:t>放</w:t>
            </w:r>
          </w:p>
          <w:p>
            <w:pPr>
              <w:spacing w:line="500" w:lineRule="exact"/>
              <w:jc w:val="center"/>
              <w:rPr>
                <w:sz w:val="24"/>
              </w:rPr>
            </w:pPr>
            <w:r>
              <w:rPr>
                <w:sz w:val="24"/>
              </w:rPr>
              <w:t>标</w:t>
            </w:r>
          </w:p>
          <w:p>
            <w:pPr>
              <w:spacing w:line="500" w:lineRule="exact"/>
              <w:jc w:val="center"/>
              <w:rPr>
                <w:sz w:val="24"/>
              </w:rPr>
            </w:pPr>
            <w:r>
              <w:rPr>
                <w:sz w:val="24"/>
              </w:rPr>
              <w:t>准</w:t>
            </w:r>
          </w:p>
        </w:tc>
        <w:tc>
          <w:tcPr>
            <w:tcW w:w="8430" w:type="dxa"/>
            <w:tcBorders>
              <w:tl2br w:val="nil"/>
              <w:tr2bl w:val="nil"/>
            </w:tcBorders>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sz w:val="24"/>
              </w:rPr>
            </w:pPr>
            <w:r>
              <w:rPr>
                <w:sz w:val="24"/>
              </w:rPr>
              <w:t>1、废水排放标准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textAlignment w:val="auto"/>
              <w:outlineLvl w:val="9"/>
              <w:rPr>
                <w:rFonts w:hint="eastAsia"/>
                <w:sz w:val="24"/>
                <w:u w:val="none"/>
                <w:lang w:eastAsia="zh-CN"/>
              </w:rPr>
            </w:pPr>
            <w:r>
              <w:rPr>
                <w:rFonts w:hint="eastAsia" w:ascii="Times New Roman" w:hAnsi="Times New Roman" w:cs="Times New Roman"/>
                <w:sz w:val="24"/>
                <w:lang w:eastAsia="zh-CN"/>
              </w:rPr>
              <w:t>施工期及运营期生活废水排放</w:t>
            </w:r>
            <w:r>
              <w:rPr>
                <w:rFonts w:hint="default" w:ascii="Times New Roman" w:hAnsi="Times New Roman" w:cs="Times New Roman"/>
                <w:sz w:val="24"/>
              </w:rPr>
              <w:t>执行《</w:t>
            </w:r>
            <w:r>
              <w:rPr>
                <w:rFonts w:hint="eastAsia" w:ascii="Times New Roman" w:hAnsi="Times New Roman" w:cs="Times New Roman"/>
                <w:sz w:val="24"/>
                <w:lang w:eastAsia="zh-CN"/>
              </w:rPr>
              <w:t>污水综合排放标准</w:t>
            </w:r>
            <w:r>
              <w:rPr>
                <w:rFonts w:hint="default" w:ascii="Times New Roman" w:hAnsi="Times New Roman" w:cs="Times New Roman"/>
                <w:sz w:val="24"/>
              </w:rPr>
              <w:t>》（GB</w:t>
            </w:r>
            <w:r>
              <w:rPr>
                <w:rFonts w:hint="eastAsia" w:ascii="Times New Roman" w:hAnsi="Times New Roman" w:cs="Times New Roman"/>
                <w:sz w:val="24"/>
                <w:lang w:val="en-US" w:eastAsia="zh-CN"/>
              </w:rPr>
              <w:t>8978-1996</w:t>
            </w:r>
            <w:r>
              <w:rPr>
                <w:rFonts w:hint="default" w:ascii="Times New Roman" w:hAnsi="Times New Roman" w:cs="Times New Roman"/>
                <w:sz w:val="24"/>
              </w:rPr>
              <w:t>）中的</w:t>
            </w:r>
            <w:r>
              <w:rPr>
                <w:rFonts w:hint="eastAsia" w:ascii="Times New Roman" w:hAnsi="Times New Roman" w:cs="Times New Roman"/>
                <w:sz w:val="24"/>
                <w:lang w:eastAsia="zh-CN"/>
              </w:rPr>
              <w:t>三</w:t>
            </w:r>
            <w:r>
              <w:rPr>
                <w:rFonts w:hint="default" w:ascii="Times New Roman" w:hAnsi="Times New Roman" w:cs="Times New Roman"/>
                <w:sz w:val="24"/>
              </w:rPr>
              <w:t>级标准，</w:t>
            </w:r>
            <w:r>
              <w:rPr>
                <w:rFonts w:hint="eastAsia" w:ascii="Times New Roman" w:hAnsi="Times New Roman" w:cs="Times New Roman"/>
                <w:sz w:val="24"/>
                <w:lang w:eastAsia="zh-CN"/>
              </w:rPr>
              <w:t>同时满足津市高新区工业污水处理厂进水水质要求</w:t>
            </w:r>
            <w:r>
              <w:rPr>
                <w:rFonts w:hint="eastAsia"/>
                <w:sz w:val="24"/>
                <w:u w:val="none"/>
                <w:lang w:eastAsia="zh-CN"/>
              </w:rPr>
              <w:t>。</w:t>
            </w:r>
          </w:p>
          <w:p>
            <w:pPr>
              <w:adjustRightInd w:val="0"/>
              <w:snapToGrid w:val="0"/>
              <w:spacing w:line="360" w:lineRule="auto"/>
              <w:jc w:val="center"/>
              <w:rPr>
                <w:rFonts w:hint="default" w:ascii="Times New Roman" w:hAnsi="Times New Roman" w:cs="Times New Roman"/>
                <w:b/>
                <w:kern w:val="0"/>
                <w:szCs w:val="21"/>
              </w:rPr>
            </w:pPr>
          </w:p>
          <w:p>
            <w:pPr>
              <w:adjustRightInd w:val="0"/>
              <w:snapToGrid w:val="0"/>
              <w:spacing w:line="360" w:lineRule="auto"/>
              <w:jc w:val="center"/>
              <w:rPr>
                <w:rFonts w:hint="default" w:ascii="Times New Roman" w:hAnsi="Times New Roman" w:cs="Times New Roman"/>
                <w:b/>
                <w:kern w:val="0"/>
                <w:szCs w:val="21"/>
              </w:rPr>
            </w:pPr>
          </w:p>
          <w:p>
            <w:pPr>
              <w:adjustRightInd w:val="0"/>
              <w:snapToGrid w:val="0"/>
              <w:spacing w:line="360" w:lineRule="auto"/>
              <w:jc w:val="center"/>
              <w:rPr>
                <w:rFonts w:hint="eastAsia" w:ascii="Times New Roman" w:hAnsi="Times New Roman" w:cs="Times New Roman"/>
                <w:b/>
                <w:kern w:val="0"/>
                <w:szCs w:val="21"/>
              </w:rPr>
            </w:pPr>
            <w:r>
              <w:rPr>
                <w:rFonts w:hint="default" w:ascii="Times New Roman" w:hAnsi="Times New Roman" w:cs="Times New Roman"/>
                <w:b/>
                <w:kern w:val="0"/>
                <w:szCs w:val="21"/>
              </w:rPr>
              <w:t>表</w:t>
            </w:r>
            <w:r>
              <w:rPr>
                <w:rFonts w:hint="eastAsia" w:cs="Times New Roman"/>
                <w:b/>
                <w:kern w:val="0"/>
                <w:szCs w:val="21"/>
                <w:lang w:val="en-US" w:eastAsia="zh-CN"/>
              </w:rPr>
              <w:t>4-5</w:t>
            </w:r>
            <w:r>
              <w:rPr>
                <w:rFonts w:hint="default" w:ascii="Times New Roman" w:hAnsi="Times New Roman" w:cs="Times New Roman"/>
                <w:b/>
                <w:kern w:val="0"/>
                <w:szCs w:val="21"/>
              </w:rPr>
              <w:t xml:space="preserve">  </w:t>
            </w:r>
            <w:r>
              <w:rPr>
                <w:rFonts w:hint="eastAsia" w:ascii="Times New Roman" w:hAnsi="Times New Roman" w:cs="Times New Roman"/>
                <w:b/>
                <w:kern w:val="0"/>
                <w:szCs w:val="21"/>
                <w:lang w:eastAsia="zh-CN"/>
              </w:rPr>
              <w:t>生活废水排放</w:t>
            </w:r>
            <w:r>
              <w:rPr>
                <w:rFonts w:hint="eastAsia" w:ascii="Times New Roman" w:hAnsi="Times New Roman" w:cs="Times New Roman"/>
                <w:b/>
                <w:kern w:val="0"/>
                <w:szCs w:val="21"/>
              </w:rPr>
              <w:t>标准</w:t>
            </w:r>
          </w:p>
          <w:tbl>
            <w:tblPr>
              <w:tblStyle w:val="23"/>
              <w:tblW w:w="80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375"/>
              <w:gridCol w:w="656"/>
              <w:gridCol w:w="984"/>
              <w:gridCol w:w="770"/>
              <w:gridCol w:w="614"/>
              <w:gridCol w:w="6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7" w:hRule="atLeast"/>
                <w:jc w:val="center"/>
              </w:trPr>
              <w:tc>
                <w:tcPr>
                  <w:tcW w:w="4375" w:type="dxa"/>
                  <w:tcBorders>
                    <w:tl2br w:val="nil"/>
                    <w:tr2bl w:val="nil"/>
                  </w:tcBorders>
                  <w:vAlign w:val="top"/>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b/>
                      <w:bCs/>
                      <w:sz w:val="21"/>
                    </w:rPr>
                    <mc:AlternateContent>
                      <mc:Choice Requires="wps">
                        <w:drawing>
                          <wp:anchor distT="0" distB="0" distL="114300" distR="114300" simplePos="0" relativeHeight="2768514048" behindDoc="0" locked="0" layoutInCell="1" allowOverlap="1">
                            <wp:simplePos x="0" y="0"/>
                            <wp:positionH relativeFrom="column">
                              <wp:posOffset>-71755</wp:posOffset>
                            </wp:positionH>
                            <wp:positionV relativeFrom="paragraph">
                              <wp:posOffset>5080</wp:posOffset>
                            </wp:positionV>
                            <wp:extent cx="2787650" cy="336550"/>
                            <wp:effectExtent l="635" t="4445" r="12065" b="20955"/>
                            <wp:wrapNone/>
                            <wp:docPr id="10" name="直接连接符 10"/>
                            <wp:cNvGraphicFramePr/>
                            <a:graphic xmlns:a="http://schemas.openxmlformats.org/drawingml/2006/main">
                              <a:graphicData uri="http://schemas.microsoft.com/office/word/2010/wordprocessingShape">
                                <wps:wsp>
                                  <wps:cNvCnPr/>
                                  <wps:spPr>
                                    <a:xfrm>
                                      <a:off x="1031875" y="8566150"/>
                                      <a:ext cx="2787650" cy="336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5pt;margin-top:0.4pt;height:26.5pt;width:219.5pt;z-index:-1526453248;mso-width-relative:page;mso-height-relative:page;" filled="f" stroked="t" coordsize="21600,21600" o:gfxdata="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xAUTNYA&#10;AAAHAQAADwAAAAAAAAABACAAAAAiAAAAZHJzL2Rvd25yZXYueG1sUEsBAhQAFAAAAAgAh07iQAfZ&#10;OknoAQAArQMAAA4AAAAAAAAAAQAgAAAAJQEAAGRycy9lMm9Eb2MueG1sUEsFBgAAAAAGAAYAWQEA&#10;AH8FAAAAAA==&#10;">
                            <v:fill on="f" focussize="0,0"/>
                            <v:stroke color="#000000 [3213]" joinstyle="round"/>
                            <v:imagedata o:title=""/>
                            <o:lock v:ext="edit" aspectratio="f"/>
                          </v:line>
                        </w:pict>
                      </mc:Fallback>
                    </mc:AlternateContent>
                  </w:r>
                  <w:r>
                    <w:rPr>
                      <w:rFonts w:hint="default" w:ascii="Times New Roman" w:hAnsi="Times New Roman" w:cs="Times New Roman"/>
                      <w:b/>
                      <w:bCs/>
                      <w:kern w:val="0"/>
                      <w:sz w:val="21"/>
                      <w:szCs w:val="21"/>
                      <w:lang w:val="en-US" w:eastAsia="zh-CN"/>
                    </w:rPr>
                    <w:t xml:space="preserve">      </w:t>
                  </w:r>
                  <w:r>
                    <w:rPr>
                      <w:rFonts w:hint="eastAsia" w:ascii="Times New Roman" w:hAnsi="Times New Roman" w:cs="Times New Roman"/>
                      <w:b/>
                      <w:bCs/>
                      <w:kern w:val="0"/>
                      <w:sz w:val="21"/>
                      <w:szCs w:val="21"/>
                      <w:lang w:val="en-US" w:eastAsia="zh-CN"/>
                    </w:rPr>
                    <w:t xml:space="preserve">                             </w:t>
                  </w:r>
                  <w:r>
                    <w:rPr>
                      <w:rFonts w:hint="default" w:ascii="Times New Roman" w:hAnsi="Times New Roman" w:cs="Times New Roman"/>
                      <w:b/>
                      <w:bCs/>
                      <w:kern w:val="0"/>
                      <w:sz w:val="21"/>
                      <w:szCs w:val="21"/>
                      <w:lang w:val="en-US" w:eastAsia="zh-CN"/>
                    </w:rPr>
                    <w:t>项目</w:t>
                  </w:r>
                </w:p>
                <w:p>
                  <w:pPr>
                    <w:adjustRightInd w:val="0"/>
                    <w:snapToGrid w:val="0"/>
                    <w:spacing w:line="240" w:lineRule="auto"/>
                    <w:jc w:val="both"/>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标准</w:t>
                  </w:r>
                </w:p>
              </w:tc>
              <w:tc>
                <w:tcPr>
                  <w:tcW w:w="656"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pH</w:t>
                  </w:r>
                </w:p>
              </w:tc>
              <w:tc>
                <w:tcPr>
                  <w:tcW w:w="984"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CODcr</w:t>
                  </w:r>
                </w:p>
              </w:tc>
              <w:tc>
                <w:tcPr>
                  <w:tcW w:w="770"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BOD</w:t>
                  </w:r>
                  <w:r>
                    <w:rPr>
                      <w:rFonts w:hint="default" w:ascii="Times New Roman" w:hAnsi="Times New Roman" w:cs="Times New Roman"/>
                      <w:b/>
                      <w:bCs/>
                      <w:kern w:val="0"/>
                      <w:sz w:val="21"/>
                      <w:szCs w:val="21"/>
                      <w:vertAlign w:val="subscript"/>
                      <w:lang w:val="en-US" w:eastAsia="zh-CN"/>
                    </w:rPr>
                    <w:t>5</w:t>
                  </w:r>
                </w:p>
              </w:tc>
              <w:tc>
                <w:tcPr>
                  <w:tcW w:w="614"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SS</w:t>
                  </w:r>
                </w:p>
              </w:tc>
              <w:tc>
                <w:tcPr>
                  <w:tcW w:w="651"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氨氮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6" w:hRule="atLeast"/>
                <w:jc w:val="center"/>
              </w:trPr>
              <w:tc>
                <w:tcPr>
                  <w:tcW w:w="4375"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污水综合排放标准</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GB8978-1996</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三级</w:t>
                  </w:r>
                  <w:r>
                    <w:rPr>
                      <w:rFonts w:hint="default" w:ascii="Times New Roman" w:hAnsi="Times New Roman" w:cs="Times New Roman"/>
                      <w:kern w:val="0"/>
                      <w:sz w:val="21"/>
                      <w:szCs w:val="21"/>
                      <w:lang w:val="en-US" w:eastAsia="zh-CN"/>
                    </w:rPr>
                    <w:t>标准</w:t>
                  </w:r>
                </w:p>
              </w:tc>
              <w:tc>
                <w:tcPr>
                  <w:tcW w:w="6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6～9</w:t>
                  </w:r>
                </w:p>
              </w:tc>
              <w:tc>
                <w:tcPr>
                  <w:tcW w:w="98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500</w:t>
                  </w:r>
                </w:p>
              </w:tc>
              <w:tc>
                <w:tcPr>
                  <w:tcW w:w="77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400</w:t>
                  </w:r>
                </w:p>
              </w:tc>
              <w:tc>
                <w:tcPr>
                  <w:tcW w:w="61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w:t>
                  </w:r>
                </w:p>
              </w:tc>
              <w:tc>
                <w:tcPr>
                  <w:tcW w:w="65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8" w:hRule="atLeast"/>
                <w:jc w:val="center"/>
              </w:trPr>
              <w:tc>
                <w:tcPr>
                  <w:tcW w:w="4375"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津市高新区工业污水处理厂</w:t>
                  </w:r>
                  <w:r>
                    <w:rPr>
                      <w:rFonts w:hint="default" w:ascii="Times New Roman" w:hAnsi="Times New Roman" w:cs="Times New Roman"/>
                      <w:kern w:val="0"/>
                      <w:sz w:val="21"/>
                      <w:szCs w:val="21"/>
                      <w:lang w:val="en-US" w:eastAsia="zh-CN"/>
                    </w:rPr>
                    <w:t>进水水质</w:t>
                  </w:r>
                  <w:r>
                    <w:rPr>
                      <w:rFonts w:hint="eastAsia" w:ascii="Times New Roman" w:hAnsi="Times New Roman" w:cs="Times New Roman"/>
                      <w:kern w:val="0"/>
                      <w:sz w:val="21"/>
                      <w:szCs w:val="21"/>
                      <w:lang w:val="en-US" w:eastAsia="zh-CN"/>
                    </w:rPr>
                    <w:t>要求</w:t>
                  </w:r>
                </w:p>
              </w:tc>
              <w:tc>
                <w:tcPr>
                  <w:tcW w:w="6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98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450</w:t>
                  </w:r>
                </w:p>
              </w:tc>
              <w:tc>
                <w:tcPr>
                  <w:tcW w:w="77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70</w:t>
                  </w:r>
                </w:p>
              </w:tc>
              <w:tc>
                <w:tcPr>
                  <w:tcW w:w="61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w:t>
                  </w:r>
                </w:p>
              </w:tc>
              <w:tc>
                <w:tcPr>
                  <w:tcW w:w="65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4" w:hRule="atLeast"/>
                <w:jc w:val="center"/>
              </w:trPr>
              <w:tc>
                <w:tcPr>
                  <w:tcW w:w="4375"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本项目生活废水排放执行标准</w:t>
                  </w:r>
                </w:p>
              </w:tc>
              <w:tc>
                <w:tcPr>
                  <w:tcW w:w="6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6～9</w:t>
                  </w:r>
                </w:p>
              </w:tc>
              <w:tc>
                <w:tcPr>
                  <w:tcW w:w="98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450</w:t>
                  </w:r>
                </w:p>
              </w:tc>
              <w:tc>
                <w:tcPr>
                  <w:tcW w:w="77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70</w:t>
                  </w:r>
                </w:p>
              </w:tc>
              <w:tc>
                <w:tcPr>
                  <w:tcW w:w="61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w:t>
                  </w:r>
                </w:p>
              </w:tc>
              <w:tc>
                <w:tcPr>
                  <w:tcW w:w="65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35</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textAlignment w:val="auto"/>
              <w:outlineLvl w:val="9"/>
              <w:rPr>
                <w:sz w:val="24"/>
              </w:rPr>
            </w:pPr>
            <w:r>
              <w:rPr>
                <w:sz w:val="24"/>
              </w:rPr>
              <w:t>2、废气排放标准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textAlignment w:val="auto"/>
              <w:outlineLvl w:val="9"/>
              <w:rPr>
                <w:rFonts w:hint="eastAsia"/>
                <w:sz w:val="24"/>
                <w:lang w:val="en-US" w:eastAsia="zh-CN"/>
              </w:rPr>
            </w:pPr>
            <w:r>
              <w:rPr>
                <w:rFonts w:hint="eastAsia" w:ascii="Times New Roman" w:hAnsi="Times New Roman" w:cs="Times New Roman"/>
                <w:sz w:val="24"/>
                <w:lang w:eastAsia="zh-CN"/>
              </w:rPr>
              <w:t>施工期扬尘及生产过程中粉尘排放执行《大气污染物综合排放标准》（GB16297-1996）表2二级标准，</w:t>
            </w:r>
            <w:r>
              <w:rPr>
                <w:rFonts w:hint="eastAsia" w:ascii="Times New Roman" w:hAnsi="Times New Roman" w:cs="Times New Roman"/>
                <w:sz w:val="24"/>
              </w:rPr>
              <w:t>恶臭污染物排放执行</w:t>
            </w:r>
            <w:r>
              <w:rPr>
                <w:rFonts w:hint="eastAsia" w:ascii="Times New Roman" w:hAnsi="Times New Roman" w:cs="Times New Roman"/>
                <w:sz w:val="24"/>
                <w:lang w:eastAsia="zh-CN"/>
              </w:rPr>
              <w:t>《恶臭污染物排放标准》(GB14554-93)，</w:t>
            </w:r>
            <w:r>
              <w:rPr>
                <w:rFonts w:hint="eastAsia" w:ascii="Times New Roman" w:hAnsi="Times New Roman" w:cs="Times New Roman"/>
                <w:sz w:val="24"/>
                <w:lang w:val="en-US" w:eastAsia="zh-CN"/>
              </w:rPr>
              <w:t>食堂油烟参照《饮食业油烟排放标准（试行）》（GB18483-2001）小型标准执行。</w:t>
            </w:r>
            <w:r>
              <w:rPr>
                <w:rFonts w:hint="default" w:ascii="Times New Roman" w:hAnsi="Times New Roman" w:cs="Times New Roman"/>
                <w:sz w:val="24"/>
              </w:rPr>
              <w:t>具体标准值见表</w:t>
            </w:r>
            <w:r>
              <w:rPr>
                <w:rFonts w:hint="eastAsia" w:cs="Times New Roman"/>
                <w:sz w:val="24"/>
                <w:lang w:val="en-US" w:eastAsia="zh-CN"/>
              </w:rPr>
              <w:t>4-6</w:t>
            </w:r>
            <w:r>
              <w:rPr>
                <w:rFonts w:hint="default" w:ascii="Times New Roman" w:hAnsi="Times New Roman" w:cs="Times New Roman"/>
                <w:sz w:val="24"/>
                <w:lang w:eastAsia="zh-CN"/>
              </w:rPr>
              <w:t>、</w:t>
            </w:r>
            <w:r>
              <w:rPr>
                <w:rFonts w:hint="eastAsia" w:cs="Times New Roman"/>
                <w:sz w:val="24"/>
                <w:lang w:val="en-US" w:eastAsia="zh-CN"/>
              </w:rPr>
              <w:t>4-7</w:t>
            </w:r>
            <w:r>
              <w:rPr>
                <w:rFonts w:hint="eastAsia" w:ascii="Times New Roman" w:hAnsi="Times New Roman" w:cs="Times New Roman"/>
                <w:sz w:val="24"/>
                <w:lang w:val="en-US" w:eastAsia="zh-CN"/>
              </w:rPr>
              <w:t>、</w:t>
            </w:r>
            <w:r>
              <w:rPr>
                <w:rFonts w:hint="eastAsia" w:cs="Times New Roman"/>
                <w:sz w:val="24"/>
                <w:lang w:val="en-US" w:eastAsia="zh-CN"/>
              </w:rPr>
              <w:t>4-8</w:t>
            </w:r>
            <w:r>
              <w:rPr>
                <w:rFonts w:hint="eastAsia"/>
                <w:sz w:val="24"/>
                <w:lang w:val="en-US" w:eastAsia="zh-CN"/>
              </w:rPr>
              <w:t>。</w:t>
            </w:r>
          </w:p>
          <w:p>
            <w:pPr>
              <w:adjustRightInd w:val="0"/>
              <w:snapToGrid w:val="0"/>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4-6</w:t>
            </w:r>
            <w:r>
              <w:rPr>
                <w:rFonts w:hint="eastAsia" w:ascii="Times New Roman" w:hAnsi="Times New Roman" w:cs="Times New Roman"/>
                <w:b/>
                <w:kern w:val="0"/>
                <w:szCs w:val="21"/>
                <w:lang w:val="en-US" w:eastAsia="zh-CN"/>
              </w:rPr>
              <w:t xml:space="preserve">  《大气污染物综合排放标准》（GB16297-1996）</w:t>
            </w:r>
          </w:p>
          <w:tbl>
            <w:tblPr>
              <w:tblStyle w:val="23"/>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95"/>
              <w:gridCol w:w="1910"/>
              <w:gridCol w:w="2040"/>
              <w:gridCol w:w="2135"/>
              <w:gridCol w:w="8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1095"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污染物</w:t>
                  </w:r>
                </w:p>
              </w:tc>
              <w:tc>
                <w:tcPr>
                  <w:tcW w:w="191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最高允许排放速率（kg/h）</w:t>
                  </w:r>
                </w:p>
              </w:tc>
              <w:tc>
                <w:tcPr>
                  <w:tcW w:w="204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最高允许排放浓度(mg/m</w:t>
                  </w:r>
                  <w:r>
                    <w:rPr>
                      <w:rFonts w:hint="eastAsia" w:ascii="Times New Roman" w:hAnsi="Times New Roman" w:cs="Times New Roman"/>
                      <w:b/>
                      <w:bCs/>
                      <w:kern w:val="0"/>
                      <w:sz w:val="21"/>
                      <w:szCs w:val="21"/>
                      <w:vertAlign w:val="superscript"/>
                      <w:lang w:val="en-US" w:eastAsia="zh-CN"/>
                    </w:rPr>
                    <w:t>3</w:t>
                  </w:r>
                  <w:r>
                    <w:rPr>
                      <w:rFonts w:hint="eastAsia" w:ascii="Times New Roman" w:hAnsi="Times New Roman" w:cs="Times New Roman"/>
                      <w:b/>
                      <w:bCs/>
                      <w:kern w:val="0"/>
                      <w:sz w:val="21"/>
                      <w:szCs w:val="21"/>
                      <w:lang w:val="en-US" w:eastAsia="zh-CN"/>
                    </w:rPr>
                    <w:t>)</w:t>
                  </w:r>
                </w:p>
              </w:tc>
              <w:tc>
                <w:tcPr>
                  <w:tcW w:w="3005" w:type="dxa"/>
                  <w:gridSpan w:val="2"/>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无组织排放浓度限值mg/m</w:t>
                  </w:r>
                  <w:r>
                    <w:rPr>
                      <w:rFonts w:hint="eastAsia" w:ascii="Times New Roman" w:hAnsi="Times New Roman" w:cs="Times New Roman"/>
                      <w:b/>
                      <w:bCs/>
                      <w:kern w:val="0"/>
                      <w:sz w:val="21"/>
                      <w:szCs w:val="21"/>
                      <w:vertAlign w:val="superscript"/>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095"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p>
              </w:tc>
              <w:tc>
                <w:tcPr>
                  <w:tcW w:w="191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p>
              </w:tc>
              <w:tc>
                <w:tcPr>
                  <w:tcW w:w="204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p>
              </w:tc>
              <w:tc>
                <w:tcPr>
                  <w:tcW w:w="2135"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监控点</w:t>
                  </w:r>
                </w:p>
              </w:tc>
              <w:tc>
                <w:tcPr>
                  <w:tcW w:w="87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浓度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jc w:val="center"/>
              </w:trPr>
              <w:tc>
                <w:tcPr>
                  <w:tcW w:w="1095"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粉尘</w:t>
                  </w:r>
                </w:p>
              </w:tc>
              <w:tc>
                <w:tcPr>
                  <w:tcW w:w="191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3.5</w:t>
                  </w:r>
                </w:p>
              </w:tc>
              <w:tc>
                <w:tcPr>
                  <w:tcW w:w="20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120</w:t>
                  </w:r>
                </w:p>
              </w:tc>
              <w:tc>
                <w:tcPr>
                  <w:tcW w:w="2135"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周界外浓度最高点</w:t>
                  </w:r>
                </w:p>
              </w:tc>
              <w:tc>
                <w:tcPr>
                  <w:tcW w:w="87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w:t>
                  </w:r>
                </w:p>
              </w:tc>
            </w:tr>
          </w:tbl>
          <w:p>
            <w:pPr>
              <w:adjustRightInd w:val="0"/>
              <w:snapToGrid w:val="0"/>
              <w:spacing w:line="360" w:lineRule="auto"/>
              <w:jc w:val="center"/>
              <w:rPr>
                <w:rFonts w:hint="eastAsia" w:ascii="Times New Roman" w:hAnsi="Times New Roman" w:cs="Times New Roman"/>
                <w:b/>
                <w:kern w:val="0"/>
                <w:szCs w:val="21"/>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4-7</w:t>
            </w:r>
            <w:r>
              <w:rPr>
                <w:rFonts w:hint="eastAsia" w:ascii="Times New Roman" w:hAnsi="Times New Roman" w:cs="Times New Roman"/>
                <w:b/>
                <w:kern w:val="0"/>
                <w:szCs w:val="21"/>
                <w:lang w:val="en-US" w:eastAsia="zh-CN"/>
              </w:rPr>
              <w:t xml:space="preserve">  《恶臭污染物排放标准》(GB14554-93)  </w:t>
            </w:r>
          </w:p>
          <w:tbl>
            <w:tblPr>
              <w:tblStyle w:val="23"/>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29"/>
              <w:gridCol w:w="1856"/>
              <w:gridCol w:w="1334"/>
              <w:gridCol w:w="25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2" w:hRule="atLeast"/>
                <w:jc w:val="center"/>
              </w:trPr>
              <w:tc>
                <w:tcPr>
                  <w:tcW w:w="2329"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污染物</w:t>
                  </w:r>
                </w:p>
              </w:tc>
              <w:tc>
                <w:tcPr>
                  <w:tcW w:w="3190" w:type="dxa"/>
                  <w:gridSpan w:val="2"/>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最高允许排放速率，kg/h</w:t>
                  </w:r>
                </w:p>
              </w:tc>
              <w:tc>
                <w:tcPr>
                  <w:tcW w:w="2531"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厂界标准值（mg/m</w:t>
                  </w:r>
                  <w:r>
                    <w:rPr>
                      <w:rFonts w:hint="eastAsia" w:ascii="Times New Roman" w:hAnsi="Times New Roman" w:cs="Times New Roman"/>
                      <w:b/>
                      <w:bCs/>
                      <w:kern w:val="0"/>
                      <w:sz w:val="21"/>
                      <w:szCs w:val="21"/>
                      <w:vertAlign w:val="superscript"/>
                      <w:lang w:val="en-US" w:eastAsia="zh-CN"/>
                    </w:rPr>
                    <w:t>3</w:t>
                  </w:r>
                  <w:r>
                    <w:rPr>
                      <w:rFonts w:hint="eastAsia" w:ascii="Times New Roman" w:hAnsi="Times New Roman" w:cs="Times New Roman"/>
                      <w:b/>
                      <w:bCs/>
                      <w:kern w:val="0"/>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2" w:hRule="atLeast"/>
                <w:jc w:val="center"/>
              </w:trPr>
              <w:tc>
                <w:tcPr>
                  <w:tcW w:w="2329"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p>
              </w:tc>
              <w:tc>
                <w:tcPr>
                  <w:tcW w:w="1856"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排气筒高度（m）</w:t>
                  </w:r>
                </w:p>
              </w:tc>
              <w:tc>
                <w:tcPr>
                  <w:tcW w:w="1334"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排放量</w:t>
                  </w:r>
                </w:p>
              </w:tc>
              <w:tc>
                <w:tcPr>
                  <w:tcW w:w="2531"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0" w:hRule="atLeast"/>
                <w:jc w:val="center"/>
              </w:trPr>
              <w:tc>
                <w:tcPr>
                  <w:tcW w:w="2329" w:type="dxa"/>
                  <w:tcBorders>
                    <w:tl2br w:val="nil"/>
                    <w:tr2bl w:val="nil"/>
                  </w:tcBorders>
                  <w:vAlign w:val="center"/>
                </w:tcPr>
                <w:p>
                  <w:pPr>
                    <w:adjustRightInd w:val="0"/>
                    <w:snapToGrid w:val="0"/>
                    <w:spacing w:line="240" w:lineRule="auto"/>
                    <w:jc w:val="center"/>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H</w:t>
                  </w:r>
                  <w:r>
                    <w:rPr>
                      <w:rFonts w:hint="eastAsia" w:ascii="Times New Roman" w:hAnsi="Times New Roman" w:cs="Times New Roman"/>
                      <w:b w:val="0"/>
                      <w:bCs w:val="0"/>
                      <w:kern w:val="0"/>
                      <w:sz w:val="21"/>
                      <w:szCs w:val="21"/>
                      <w:vertAlign w:val="subscript"/>
                      <w:lang w:val="en-US" w:eastAsia="zh-CN"/>
                    </w:rPr>
                    <w:t>2</w:t>
                  </w:r>
                  <w:r>
                    <w:rPr>
                      <w:rFonts w:hint="eastAsia" w:ascii="Times New Roman" w:hAnsi="Times New Roman" w:cs="Times New Roman"/>
                      <w:b w:val="0"/>
                      <w:bCs w:val="0"/>
                      <w:kern w:val="0"/>
                      <w:sz w:val="21"/>
                      <w:szCs w:val="21"/>
                      <w:lang w:val="en-US" w:eastAsia="zh-CN"/>
                    </w:rPr>
                    <w:t>S</w:t>
                  </w:r>
                </w:p>
              </w:tc>
              <w:tc>
                <w:tcPr>
                  <w:tcW w:w="1856"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kern w:val="0"/>
                      <w:sz w:val="21"/>
                      <w:szCs w:val="21"/>
                      <w:lang w:val="en-US" w:eastAsia="zh-CN"/>
                    </w:rPr>
                    <w:t>15</w:t>
                  </w:r>
                </w:p>
              </w:tc>
              <w:tc>
                <w:tcPr>
                  <w:tcW w:w="1334"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kern w:val="0"/>
                      <w:sz w:val="21"/>
                      <w:szCs w:val="21"/>
                      <w:lang w:val="en-US" w:eastAsia="zh-CN"/>
                    </w:rPr>
                    <w:t>0.33</w:t>
                  </w:r>
                </w:p>
              </w:tc>
              <w:tc>
                <w:tcPr>
                  <w:tcW w:w="2531"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0" w:hRule="atLeast"/>
                <w:jc w:val="center"/>
              </w:trPr>
              <w:tc>
                <w:tcPr>
                  <w:tcW w:w="2329" w:type="dxa"/>
                  <w:tcBorders>
                    <w:tl2br w:val="nil"/>
                    <w:tr2bl w:val="nil"/>
                  </w:tcBorders>
                  <w:vAlign w:val="center"/>
                </w:tcPr>
                <w:p>
                  <w:pPr>
                    <w:adjustRightInd w:val="0"/>
                    <w:snapToGrid w:val="0"/>
                    <w:spacing w:line="240" w:lineRule="auto"/>
                    <w:jc w:val="center"/>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NH</w:t>
                  </w:r>
                  <w:r>
                    <w:rPr>
                      <w:rFonts w:hint="eastAsia" w:ascii="Times New Roman" w:hAnsi="Times New Roman" w:cs="Times New Roman"/>
                      <w:b w:val="0"/>
                      <w:bCs w:val="0"/>
                      <w:kern w:val="0"/>
                      <w:sz w:val="21"/>
                      <w:szCs w:val="21"/>
                      <w:vertAlign w:val="subscript"/>
                      <w:lang w:val="en-US" w:eastAsia="zh-CN"/>
                    </w:rPr>
                    <w:t>3</w:t>
                  </w:r>
                </w:p>
              </w:tc>
              <w:tc>
                <w:tcPr>
                  <w:tcW w:w="1856"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kern w:val="0"/>
                      <w:sz w:val="21"/>
                      <w:szCs w:val="21"/>
                      <w:lang w:val="en-US" w:eastAsia="zh-CN"/>
                    </w:rPr>
                    <w:t>15</w:t>
                  </w:r>
                </w:p>
              </w:tc>
              <w:tc>
                <w:tcPr>
                  <w:tcW w:w="1334"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kern w:val="0"/>
                      <w:sz w:val="21"/>
                      <w:szCs w:val="21"/>
                      <w:lang w:val="en-US" w:eastAsia="zh-CN"/>
                    </w:rPr>
                    <w:t>4.9</w:t>
                  </w:r>
                </w:p>
              </w:tc>
              <w:tc>
                <w:tcPr>
                  <w:tcW w:w="2531"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329"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臭气浓度（无量纲）</w:t>
                  </w:r>
                </w:p>
              </w:tc>
              <w:tc>
                <w:tcPr>
                  <w:tcW w:w="5721" w:type="dxa"/>
                  <w:gridSpan w:val="3"/>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w:t>
                  </w:r>
                </w:p>
              </w:tc>
            </w:tr>
          </w:tbl>
          <w:p>
            <w:pPr>
              <w:adjustRightInd w:val="0"/>
              <w:snapToGrid w:val="0"/>
              <w:spacing w:line="360" w:lineRule="auto"/>
              <w:jc w:val="center"/>
              <w:rPr>
                <w:rFonts w:hint="default" w:ascii="Times New Roman" w:hAnsi="Times New Roman" w:cs="Times New Roman" w:eastAsiaTheme="minorEastAsia"/>
                <w:sz w:val="24"/>
                <w:lang w:val="en-US" w:eastAsia="zh-CN"/>
              </w:rPr>
            </w:pPr>
            <w:r>
              <w:rPr>
                <w:rFonts w:hint="eastAsia" w:ascii="Times New Roman" w:hAnsi="Times New Roman" w:cs="Times New Roman"/>
                <w:b/>
                <w:kern w:val="0"/>
                <w:szCs w:val="21"/>
                <w:lang w:val="en-US" w:eastAsia="zh-CN"/>
              </w:rPr>
              <w:t>表</w:t>
            </w:r>
            <w:r>
              <w:rPr>
                <w:rFonts w:hint="eastAsia" w:cs="Times New Roman"/>
                <w:b/>
                <w:kern w:val="0"/>
                <w:szCs w:val="21"/>
                <w:lang w:val="en-US" w:eastAsia="zh-CN"/>
              </w:rPr>
              <w:t>4-8</w:t>
            </w:r>
            <w:r>
              <w:rPr>
                <w:rFonts w:hint="eastAsia" w:ascii="Times New Roman" w:hAnsi="Times New Roman" w:cs="Times New Roman"/>
                <w:b/>
                <w:kern w:val="0"/>
                <w:szCs w:val="21"/>
                <w:lang w:val="en-US" w:eastAsia="zh-CN"/>
              </w:rPr>
              <w:t xml:space="preserve"> 《饮食业油烟排放标准（试行）》（GB18483-2001）表2小型标准</w:t>
            </w:r>
          </w:p>
          <w:tbl>
            <w:tblPr>
              <w:tblStyle w:val="24"/>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16"/>
              <w:gridCol w:w="2011"/>
              <w:gridCol w:w="2011"/>
              <w:gridCol w:w="20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87"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污染因子</w:t>
                  </w:r>
                </w:p>
              </w:tc>
              <w:tc>
                <w:tcPr>
                  <w:tcW w:w="4362" w:type="dxa"/>
                  <w:gridSpan w:val="2"/>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单位</w:t>
                  </w:r>
                </w:p>
              </w:tc>
              <w:tc>
                <w:tcPr>
                  <w:tcW w:w="2182"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87"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食堂油烟</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排放浓度</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mg/m</w:t>
                  </w:r>
                  <w:r>
                    <w:rPr>
                      <w:rFonts w:hint="eastAsia" w:ascii="Times New Roman" w:hAnsi="Times New Roman" w:cs="Times New Roman"/>
                      <w:kern w:val="0"/>
                      <w:sz w:val="21"/>
                      <w:szCs w:val="21"/>
                      <w:vertAlign w:val="superscript"/>
                      <w:lang w:val="en-US" w:eastAsia="zh-CN"/>
                    </w:rPr>
                    <w:t>3</w:t>
                  </w:r>
                </w:p>
              </w:tc>
              <w:tc>
                <w:tcPr>
                  <w:tcW w:w="218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87"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最低去除效率</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218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60%</w:t>
                  </w:r>
                </w:p>
              </w:tc>
            </w:tr>
          </w:tbl>
          <w:p>
            <w:pPr>
              <w:adjustRightInd w:val="0"/>
              <w:spacing w:line="360" w:lineRule="auto"/>
              <w:ind w:firstLine="480" w:firstLineChars="200"/>
              <w:contextualSpacing/>
              <w:rPr>
                <w:sz w:val="24"/>
              </w:rPr>
            </w:pPr>
            <w:r>
              <w:rPr>
                <w:sz w:val="24"/>
              </w:rPr>
              <w:t>3、噪声排放标准</w:t>
            </w:r>
          </w:p>
          <w:p>
            <w:pPr>
              <w:adjustRightInd w:val="0"/>
              <w:spacing w:line="360" w:lineRule="auto"/>
              <w:ind w:firstLine="480" w:firstLineChars="200"/>
              <w:contextualSpacing/>
              <w:rPr>
                <w:sz w:val="24"/>
              </w:rPr>
            </w:pPr>
            <w:r>
              <w:rPr>
                <w:rFonts w:hint="default" w:ascii="Times New Roman" w:hAnsi="Times New Roman" w:cs="Times New Roman"/>
                <w:sz w:val="24"/>
              </w:rPr>
              <w:t>施工期执行《建筑施工场界环境噪声排放标准》（GB12523-2011）</w:t>
            </w:r>
            <w:r>
              <w:rPr>
                <w:rFonts w:hint="eastAsia" w:ascii="Times New Roman" w:hAnsi="Times New Roman" w:cs="Times New Roman"/>
                <w:sz w:val="24"/>
              </w:rPr>
              <w:t>；营运期</w:t>
            </w:r>
            <w:r>
              <w:rPr>
                <w:rFonts w:hint="eastAsia" w:ascii="Times New Roman" w:hAnsi="Times New Roman" w:cs="Times New Roman"/>
                <w:sz w:val="24"/>
                <w:lang w:eastAsia="zh-CN"/>
              </w:rPr>
              <w:t>厂界西侧、北侧</w:t>
            </w:r>
            <w:r>
              <w:rPr>
                <w:rFonts w:hint="default" w:ascii="Times New Roman" w:hAnsi="Times New Roman" w:cs="Times New Roman"/>
                <w:sz w:val="24"/>
              </w:rPr>
              <w:t>执行《工业企业厂界环境噪声排放标准》（GB 12348-2008）中</w:t>
            </w:r>
            <w:r>
              <w:rPr>
                <w:rFonts w:hint="eastAsia" w:ascii="Times New Roman" w:hAnsi="Times New Roman" w:cs="Times New Roman"/>
                <w:sz w:val="24"/>
                <w:lang w:val="en-US" w:eastAsia="zh-CN"/>
              </w:rPr>
              <w:t>3</w:t>
            </w:r>
            <w:r>
              <w:rPr>
                <w:rFonts w:hint="eastAsia" w:ascii="Times New Roman" w:hAnsi="Times New Roman" w:cs="Times New Roman"/>
                <w:sz w:val="24"/>
              </w:rPr>
              <w:t>类</w:t>
            </w:r>
            <w:r>
              <w:rPr>
                <w:rFonts w:hint="default" w:ascii="Times New Roman" w:hAnsi="Times New Roman" w:cs="Times New Roman"/>
                <w:sz w:val="24"/>
              </w:rPr>
              <w:t>标准</w:t>
            </w:r>
            <w:r>
              <w:rPr>
                <w:rFonts w:hint="eastAsia" w:ascii="Times New Roman" w:hAnsi="Times New Roman" w:cs="Times New Roman"/>
                <w:sz w:val="24"/>
                <w:lang w:eastAsia="zh-CN"/>
              </w:rPr>
              <w:t>，厂界东侧、南侧执行</w:t>
            </w:r>
            <w:r>
              <w:rPr>
                <w:rFonts w:hint="default" w:ascii="Times New Roman" w:hAnsi="Times New Roman" w:cs="Times New Roman"/>
                <w:sz w:val="24"/>
              </w:rPr>
              <w:t>《工业企业厂界环境噪声排放标准》（GB 12348-2008）中</w:t>
            </w:r>
            <w:r>
              <w:rPr>
                <w:rFonts w:hint="eastAsia" w:ascii="Times New Roman" w:hAnsi="Times New Roman" w:cs="Times New Roman"/>
                <w:sz w:val="24"/>
                <w:lang w:val="en-US" w:eastAsia="zh-CN"/>
              </w:rPr>
              <w:t>4</w:t>
            </w:r>
            <w:r>
              <w:rPr>
                <w:rFonts w:hint="eastAsia" w:ascii="Times New Roman" w:hAnsi="Times New Roman" w:cs="Times New Roman"/>
                <w:sz w:val="24"/>
              </w:rPr>
              <w:t>类</w:t>
            </w:r>
            <w:r>
              <w:rPr>
                <w:rFonts w:hint="default" w:ascii="Times New Roman" w:hAnsi="Times New Roman" w:cs="Times New Roman"/>
                <w:sz w:val="24"/>
              </w:rPr>
              <w:t>标准</w:t>
            </w:r>
            <w:r>
              <w:rPr>
                <w:rFonts w:hint="eastAsia" w:ascii="Times New Roman" w:hAnsi="Times New Roman" w:cs="Times New Roman"/>
                <w:sz w:val="24"/>
              </w:rPr>
              <w:t>。</w:t>
            </w:r>
            <w:r>
              <w:rPr>
                <w:rFonts w:hint="default" w:ascii="Times New Roman" w:hAnsi="Times New Roman" w:cs="Times New Roman"/>
                <w:sz w:val="24"/>
              </w:rPr>
              <w:t>具体标准见表</w:t>
            </w:r>
            <w:r>
              <w:rPr>
                <w:rFonts w:hint="eastAsia" w:cs="Times New Roman"/>
                <w:sz w:val="24"/>
                <w:lang w:val="en-US" w:eastAsia="zh-CN"/>
              </w:rPr>
              <w:t>4-9</w:t>
            </w:r>
            <w:r>
              <w:rPr>
                <w:rFonts w:hint="eastAsia" w:ascii="Times New Roman" w:hAnsi="Times New Roman" w:cs="Times New Roman"/>
                <w:sz w:val="24"/>
                <w:lang w:val="en-US" w:eastAsia="zh-CN"/>
              </w:rPr>
              <w:t>、表</w:t>
            </w:r>
            <w:r>
              <w:rPr>
                <w:rFonts w:hint="eastAsia" w:cs="Times New Roman"/>
                <w:sz w:val="24"/>
                <w:lang w:val="en-US" w:eastAsia="zh-CN"/>
              </w:rPr>
              <w:t>4-10</w:t>
            </w:r>
            <w:r>
              <w:rPr>
                <w:sz w:val="24"/>
              </w:rPr>
              <w:t>。</w:t>
            </w:r>
          </w:p>
          <w:p>
            <w:pPr>
              <w:adjustRightInd w:val="0"/>
              <w:spacing w:line="360" w:lineRule="auto"/>
              <w:contextualSpacing/>
              <w:jc w:val="center"/>
              <w:rPr>
                <w:rFonts w:hint="default" w:ascii="Times New Roman" w:hAnsi="Times New Roman" w:cs="Times New Roman"/>
                <w:b/>
                <w:kern w:val="0"/>
                <w:szCs w:val="21"/>
              </w:rPr>
            </w:pPr>
            <w:r>
              <w:rPr>
                <w:rFonts w:hint="default" w:ascii="Times New Roman" w:hAnsi="Times New Roman" w:cs="Times New Roman"/>
                <w:b/>
                <w:kern w:val="0"/>
                <w:szCs w:val="21"/>
              </w:rPr>
              <w:t>表</w:t>
            </w:r>
            <w:r>
              <w:rPr>
                <w:rFonts w:hint="eastAsia" w:cs="Times New Roman"/>
                <w:b/>
                <w:kern w:val="0"/>
                <w:szCs w:val="21"/>
                <w:lang w:val="en-US" w:eastAsia="zh-CN"/>
              </w:rPr>
              <w:t>4-9</w:t>
            </w:r>
            <w:r>
              <w:rPr>
                <w:rFonts w:hint="eastAsia" w:ascii="Times New Roman" w:hAnsi="Times New Roman" w:cs="Times New Roman"/>
                <w:b/>
                <w:kern w:val="0"/>
                <w:szCs w:val="21"/>
                <w:lang w:val="en-US" w:eastAsia="zh-CN"/>
              </w:rPr>
              <w:t xml:space="preserve"> </w:t>
            </w:r>
            <w:r>
              <w:rPr>
                <w:rFonts w:hint="default" w:ascii="Times New Roman" w:hAnsi="Times New Roman" w:cs="Times New Roman"/>
                <w:b/>
                <w:kern w:val="0"/>
                <w:szCs w:val="21"/>
              </w:rPr>
              <w:t xml:space="preserve"> 建筑施工场界环境噪声排放标准   单位：dB（A）</w:t>
            </w:r>
          </w:p>
          <w:tbl>
            <w:tblPr>
              <w:tblStyle w:val="23"/>
              <w:tblW w:w="80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91"/>
              <w:gridCol w:w="4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98" w:hRule="atLeast"/>
                <w:tblHeader/>
                <w:jc w:val="center"/>
              </w:trPr>
              <w:tc>
                <w:tcPr>
                  <w:tcW w:w="4329"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昼间</w:t>
                  </w:r>
                </w:p>
              </w:tc>
              <w:tc>
                <w:tcPr>
                  <w:tcW w:w="4402"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1" w:hRule="atLeast"/>
                <w:tblHeader/>
                <w:jc w:val="center"/>
              </w:trPr>
              <w:tc>
                <w:tcPr>
                  <w:tcW w:w="4329"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70</w:t>
                  </w:r>
                </w:p>
              </w:tc>
              <w:tc>
                <w:tcPr>
                  <w:tcW w:w="440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55</w:t>
                  </w:r>
                </w:p>
              </w:tc>
            </w:tr>
          </w:tbl>
          <w:p>
            <w:pPr>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表</w:t>
            </w:r>
            <w:r>
              <w:rPr>
                <w:rFonts w:hint="eastAsia" w:cs="Times New Roman"/>
                <w:b/>
                <w:kern w:val="0"/>
                <w:szCs w:val="21"/>
                <w:lang w:val="en-US" w:eastAsia="zh-CN"/>
              </w:rPr>
              <w:t>4-10</w:t>
            </w:r>
            <w:r>
              <w:rPr>
                <w:rFonts w:hint="default" w:ascii="Times New Roman" w:hAnsi="Times New Roman" w:cs="Times New Roman"/>
                <w:b/>
                <w:kern w:val="0"/>
                <w:szCs w:val="21"/>
              </w:rPr>
              <w:t xml:space="preserve">  工业企业厂界</w:t>
            </w:r>
            <w:r>
              <w:rPr>
                <w:rFonts w:hint="eastAsia" w:ascii="Times New Roman" w:hAnsi="Times New Roman" w:cs="Times New Roman"/>
                <w:b/>
                <w:kern w:val="0"/>
                <w:szCs w:val="21"/>
                <w:lang w:eastAsia="zh-CN"/>
              </w:rPr>
              <w:t>环境</w:t>
            </w:r>
            <w:r>
              <w:rPr>
                <w:rFonts w:hint="default" w:ascii="Times New Roman" w:hAnsi="Times New Roman" w:cs="Times New Roman"/>
                <w:b/>
                <w:kern w:val="0"/>
                <w:szCs w:val="21"/>
              </w:rPr>
              <w:t>噪声</w:t>
            </w:r>
            <w:r>
              <w:rPr>
                <w:rFonts w:hint="eastAsia" w:ascii="Times New Roman" w:hAnsi="Times New Roman" w:cs="Times New Roman"/>
                <w:b/>
                <w:kern w:val="0"/>
                <w:szCs w:val="21"/>
                <w:lang w:eastAsia="zh-CN"/>
              </w:rPr>
              <w:t>排放</w:t>
            </w:r>
            <w:r>
              <w:rPr>
                <w:rFonts w:hint="default" w:ascii="Times New Roman" w:hAnsi="Times New Roman" w:cs="Times New Roman"/>
                <w:b/>
                <w:kern w:val="0"/>
                <w:szCs w:val="21"/>
              </w:rPr>
              <w:t>标准限值  单位：dB（A）</w:t>
            </w:r>
          </w:p>
          <w:tbl>
            <w:tblPr>
              <w:tblStyle w:val="23"/>
              <w:tblW w:w="805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502"/>
              <w:gridCol w:w="1582"/>
              <w:gridCol w:w="1483"/>
              <w:gridCol w:w="14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 w:hRule="atLeast"/>
                <w:jc w:val="center"/>
              </w:trPr>
              <w:tc>
                <w:tcPr>
                  <w:tcW w:w="3815"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评价位置</w:t>
                  </w:r>
                </w:p>
              </w:tc>
              <w:tc>
                <w:tcPr>
                  <w:tcW w:w="1711"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类别</w:t>
                  </w:r>
                </w:p>
              </w:tc>
              <w:tc>
                <w:tcPr>
                  <w:tcW w:w="1603"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昼间</w:t>
                  </w:r>
                </w:p>
              </w:tc>
              <w:tc>
                <w:tcPr>
                  <w:tcW w:w="1603" w:type="dxa"/>
                  <w:tcBorders>
                    <w:tl2br w:val="nil"/>
                    <w:tr2bl w:val="nil"/>
                  </w:tcBorders>
                  <w:vAlign w:val="center"/>
                </w:tcPr>
                <w:p>
                  <w:pPr>
                    <w:adjustRightInd w:val="0"/>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815"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eastAsia="zh-CN"/>
                    </w:rPr>
                  </w:pPr>
                  <w:r>
                    <w:rPr>
                      <w:rFonts w:hint="default" w:ascii="Times New Roman" w:hAnsi="Times New Roman" w:cs="Times New Roman"/>
                      <w:kern w:val="0"/>
                      <w:szCs w:val="21"/>
                    </w:rPr>
                    <w:t>厂界</w:t>
                  </w:r>
                  <w:r>
                    <w:rPr>
                      <w:rFonts w:hint="eastAsia" w:ascii="Times New Roman" w:hAnsi="Times New Roman" w:cs="Times New Roman"/>
                      <w:kern w:val="0"/>
                      <w:szCs w:val="21"/>
                      <w:lang w:eastAsia="zh-CN"/>
                    </w:rPr>
                    <w:t>西侧、北侧</w:t>
                  </w:r>
                </w:p>
              </w:tc>
              <w:tc>
                <w:tcPr>
                  <w:tcW w:w="171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3</w:t>
                  </w:r>
                  <w:r>
                    <w:rPr>
                      <w:rFonts w:hint="default" w:ascii="Times New Roman" w:hAnsi="Times New Roman" w:cs="Times New Roman"/>
                      <w:kern w:val="0"/>
                      <w:szCs w:val="21"/>
                    </w:rPr>
                    <w:t>类</w:t>
                  </w:r>
                </w:p>
              </w:tc>
              <w:tc>
                <w:tcPr>
                  <w:tcW w:w="1603"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65</w:t>
                  </w:r>
                </w:p>
              </w:tc>
              <w:tc>
                <w:tcPr>
                  <w:tcW w:w="1603"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815"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kern w:val="0"/>
                      <w:szCs w:val="21"/>
                      <w:lang w:eastAsia="zh-CN"/>
                    </w:rPr>
                  </w:pPr>
                  <w:r>
                    <w:rPr>
                      <w:rFonts w:hint="eastAsia" w:ascii="Times New Roman" w:hAnsi="Times New Roman" w:cs="Times New Roman"/>
                      <w:kern w:val="0"/>
                      <w:szCs w:val="21"/>
                      <w:lang w:eastAsia="zh-CN"/>
                    </w:rPr>
                    <w:t>厂界东侧、南侧</w:t>
                  </w:r>
                </w:p>
              </w:tc>
              <w:tc>
                <w:tcPr>
                  <w:tcW w:w="171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4类</w:t>
                  </w:r>
                </w:p>
              </w:tc>
              <w:tc>
                <w:tcPr>
                  <w:tcW w:w="160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70</w:t>
                  </w:r>
                </w:p>
              </w:tc>
              <w:tc>
                <w:tcPr>
                  <w:tcW w:w="160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55</w:t>
                  </w:r>
                </w:p>
              </w:tc>
            </w:tr>
          </w:tbl>
          <w:p>
            <w:pPr>
              <w:adjustRightInd w:val="0"/>
              <w:spacing w:line="360" w:lineRule="auto"/>
              <w:ind w:firstLine="480" w:firstLineChars="200"/>
              <w:contextualSpacing/>
              <w:rPr>
                <w:rFonts w:hint="eastAsia"/>
                <w:sz w:val="24"/>
              </w:rPr>
            </w:pPr>
            <w:r>
              <w:rPr>
                <w:rFonts w:hint="eastAsia"/>
                <w:sz w:val="24"/>
              </w:rPr>
              <w:t>4、固废</w:t>
            </w:r>
          </w:p>
          <w:p>
            <w:pPr>
              <w:adjustRightInd w:val="0"/>
              <w:spacing w:line="360" w:lineRule="auto"/>
              <w:ind w:firstLine="480" w:firstLineChars="200"/>
              <w:contextualSpacing/>
              <w:rPr>
                <w:rFonts w:hint="eastAsia" w:eastAsia="宋体"/>
                <w:sz w:val="24"/>
                <w:lang w:eastAsia="zh-CN"/>
              </w:rPr>
            </w:pPr>
            <w:r>
              <w:rPr>
                <w:rFonts w:hint="eastAsia" w:ascii="Times New Roman" w:hAnsi="Times New Roman" w:cs="Times New Roman"/>
                <w:sz w:val="24"/>
              </w:rPr>
              <w:t>运营期</w:t>
            </w:r>
            <w:r>
              <w:rPr>
                <w:rFonts w:hint="eastAsia" w:ascii="Times New Roman" w:hAnsi="Times New Roman" w:cs="Times New Roman"/>
                <w:sz w:val="24"/>
                <w:lang w:eastAsia="zh-CN"/>
              </w:rPr>
              <w:t>生活垃圾委托环卫部门统一清运，</w:t>
            </w:r>
            <w:r>
              <w:rPr>
                <w:rFonts w:ascii="Times New Roman" w:hAnsi="Times New Roman" w:cs="Times New Roman"/>
                <w:sz w:val="24"/>
              </w:rPr>
              <w:t>一般固废执行《一般工业固体废物贮存、处置场污染控制标准》（GB18599-2001</w:t>
            </w:r>
            <w:r>
              <w:rPr>
                <w:rFonts w:hint="eastAsia" w:ascii="Times New Roman" w:hAnsi="Times New Roman" w:cs="Times New Roman"/>
                <w:sz w:val="24"/>
              </w:rPr>
              <w:t>以及修改单（国家环保部公告2013第36号）</w:t>
            </w:r>
            <w:r>
              <w:rPr>
                <w:rFonts w:ascii="Times New Roman" w:hAnsi="Times New Roman" w:cs="Times New Roman"/>
                <w:sz w:val="24"/>
              </w:rPr>
              <w:t>，</w:t>
            </w:r>
            <w:r>
              <w:rPr>
                <w:rFonts w:hint="eastAsia" w:ascii="Times New Roman" w:hAnsi="Times New Roman" w:cs="Times New Roman"/>
                <w:sz w:val="24"/>
                <w:lang w:eastAsia="zh-CN"/>
              </w:rPr>
              <w:t>危险废物</w:t>
            </w:r>
            <w:r>
              <w:rPr>
                <w:rFonts w:ascii="Times New Roman" w:hAnsi="Times New Roman" w:cs="Times New Roman"/>
                <w:sz w:val="24"/>
              </w:rPr>
              <w:t>收集、存储、运输、处置执行《危险废物贮存污染控制标准》（GB18597-2001）及修改单</w:t>
            </w:r>
            <w:r>
              <w:rPr>
                <w:rFonts w:hint="eastAsia" w:ascii="Times New Roman" w:hAnsi="Times New Roman" w:cs="Times New Roman"/>
                <w:sz w:val="24"/>
              </w:rPr>
              <w:t>（国家环保部公告2013第36号）</w:t>
            </w:r>
            <w:r>
              <w:rPr>
                <w:rFonts w:ascii="Times New Roman" w:hAnsi="Times New Roman" w:cs="Times New Roman"/>
                <w:sz w:val="24"/>
              </w:rPr>
              <w:t>中规定</w:t>
            </w:r>
            <w:r>
              <w:rPr>
                <w:rFonts w:hint="eastAsia"/>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02" w:hRule="atLeast"/>
          <w:jc w:val="center"/>
        </w:trPr>
        <w:tc>
          <w:tcPr>
            <w:tcW w:w="641" w:type="dxa"/>
            <w:tcBorders>
              <w:tl2br w:val="nil"/>
              <w:tr2bl w:val="nil"/>
            </w:tcBorders>
            <w:vAlign w:val="center"/>
          </w:tcPr>
          <w:p>
            <w:pPr>
              <w:spacing w:line="500" w:lineRule="exact"/>
              <w:jc w:val="center"/>
              <w:rPr>
                <w:sz w:val="24"/>
              </w:rPr>
            </w:pPr>
          </w:p>
        </w:tc>
        <w:tc>
          <w:tcPr>
            <w:tcW w:w="843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color w:val="auto"/>
                <w:sz w:val="24"/>
                <w:szCs w:val="22"/>
                <w:u w:val="none"/>
              </w:rPr>
            </w:pPr>
            <w:r>
              <w:rPr>
                <w:rFonts w:hint="eastAsia" w:ascii="Times New Roman" w:hAnsi="Times New Roman" w:cs="Times New Roman"/>
                <w:b w:val="0"/>
                <w:bCs/>
                <w:kern w:val="2"/>
                <w:sz w:val="24"/>
                <w:szCs w:val="24"/>
                <w:lang w:val="zh-CN" w:eastAsia="zh-CN"/>
              </w:rPr>
              <w:t>COD总量指标为：</w:t>
            </w:r>
            <w:r>
              <w:rPr>
                <w:rFonts w:hint="eastAsia" w:ascii="Times New Roman" w:hAnsi="Times New Roman" w:cs="Times New Roman"/>
                <w:b w:val="0"/>
                <w:bCs/>
                <w:kern w:val="2"/>
                <w:sz w:val="24"/>
                <w:szCs w:val="24"/>
                <w:lang w:val="en-US" w:eastAsia="zh-CN"/>
              </w:rPr>
              <w:t>0.032</w:t>
            </w:r>
            <w:r>
              <w:rPr>
                <w:rFonts w:hint="eastAsia" w:ascii="Times New Roman" w:hAnsi="Times New Roman" w:cs="Times New Roman"/>
                <w:b w:val="0"/>
                <w:bCs/>
                <w:kern w:val="2"/>
                <w:sz w:val="24"/>
                <w:szCs w:val="24"/>
                <w:lang w:val="zh-CN" w:eastAsia="zh-CN"/>
              </w:rPr>
              <w:t>t/a；氨氮总量指标为：</w:t>
            </w:r>
            <w:r>
              <w:rPr>
                <w:rFonts w:hint="eastAsia" w:ascii="Times New Roman" w:hAnsi="Times New Roman" w:cs="Times New Roman"/>
                <w:b w:val="0"/>
                <w:bCs/>
                <w:kern w:val="2"/>
                <w:sz w:val="24"/>
                <w:szCs w:val="24"/>
                <w:lang w:val="en-US" w:eastAsia="zh-CN"/>
              </w:rPr>
              <w:t>0.0032</w:t>
            </w:r>
            <w:r>
              <w:rPr>
                <w:rFonts w:hint="eastAsia" w:ascii="Times New Roman" w:hAnsi="Times New Roman" w:cs="Times New Roman"/>
                <w:b w:val="0"/>
                <w:bCs/>
                <w:kern w:val="2"/>
                <w:sz w:val="24"/>
                <w:szCs w:val="24"/>
                <w:lang w:val="zh-CN" w:eastAsia="zh-CN"/>
              </w:rPr>
              <w:t>t/a</w:t>
            </w:r>
            <w:r>
              <w:rPr>
                <w:rFonts w:hint="eastAsia"/>
                <w:color w:val="auto"/>
                <w:sz w:val="24"/>
                <w:szCs w:val="22"/>
                <w:u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sz w:val="24"/>
              </w:rPr>
            </w:pPr>
            <w:r>
              <w:rPr>
                <w:color w:val="auto"/>
                <w:sz w:val="24"/>
                <w:szCs w:val="22"/>
              </w:rPr>
              <w:t>本项目实施后，总量控制指标由当地环保部门进行确认，通过排污权交易或其他渠道获得总量控制指标。</w:t>
            </w:r>
          </w:p>
        </w:tc>
      </w:tr>
    </w:tbl>
    <w:p>
      <w:pPr>
        <w:keepNext/>
        <w:keepLines/>
        <w:spacing w:line="360" w:lineRule="auto"/>
        <w:contextualSpacing/>
        <w:outlineLvl w:val="0"/>
        <w:rPr>
          <w:b/>
          <w:sz w:val="32"/>
          <w:szCs w:val="32"/>
        </w:rPr>
      </w:pPr>
      <w:r>
        <w:rPr>
          <w:rFonts w:hint="eastAsia"/>
          <w:b/>
          <w:sz w:val="32"/>
          <w:szCs w:val="32"/>
        </w:rPr>
        <w:t>5</w:t>
      </w:r>
      <w:r>
        <w:rPr>
          <w:b/>
          <w:sz w:val="32"/>
          <w:szCs w:val="32"/>
        </w:rPr>
        <w:t>建设项目工程分析</w:t>
      </w:r>
      <w:bookmarkEnd w:id="34"/>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78" w:hRule="atLeast"/>
          <w:jc w:val="center"/>
        </w:trPr>
        <w:tc>
          <w:tcPr>
            <w:tcW w:w="9072" w:type="dxa"/>
          </w:tcPr>
          <w:p>
            <w:pPr>
              <w:spacing w:line="360" w:lineRule="auto"/>
              <w:rPr>
                <w:rFonts w:hint="eastAsia"/>
                <w:b/>
                <w:bCs/>
                <w:sz w:val="28"/>
                <w:szCs w:val="28"/>
                <w:lang w:eastAsia="zh-CN"/>
              </w:rPr>
            </w:pPr>
            <w:r>
              <w:rPr>
                <w:rFonts w:hint="eastAsia"/>
                <w:b/>
                <w:bCs/>
                <w:sz w:val="28"/>
                <w:szCs w:val="28"/>
                <w:lang w:eastAsia="zh-CN"/>
              </w:rPr>
              <w:t>一、施工期工程分析</w:t>
            </w:r>
          </w:p>
          <w:p>
            <w:pPr>
              <w:spacing w:before="36"/>
              <w:ind w:left="2301" w:right="0" w:firstLine="0"/>
              <w:jc w:val="left"/>
              <w:rPr>
                <w:rFonts w:hint="default" w:ascii="宋体" w:hAnsi="宋体" w:eastAsia="宋体" w:cs="宋体"/>
                <w:sz w:val="21"/>
                <w:szCs w:val="21"/>
              </w:rPr>
            </w:pPr>
            <w:r>
              <w:rPr>
                <w:rFonts w:hint="default" w:ascii="宋体" w:hAnsi="宋体" w:eastAsia="宋体" w:cs="宋体"/>
                <w:sz w:val="21"/>
                <w:szCs w:val="21"/>
              </w:rPr>
              <w:t>施工扬尘、汽车尾气、机械噪声</w:t>
            </w:r>
          </w:p>
          <w:p>
            <w:pPr>
              <w:pStyle w:val="21"/>
              <w:rPr>
                <w:u w:val="none"/>
              </w:rPr>
            </w:pPr>
            <w:r>
              <mc:AlternateContent>
                <mc:Choice Requires="wpg">
                  <w:drawing>
                    <wp:anchor distT="0" distB="0" distL="114300" distR="114300" simplePos="0" relativeHeight="2014372864" behindDoc="1" locked="0" layoutInCell="1" allowOverlap="1">
                      <wp:simplePos x="0" y="0"/>
                      <wp:positionH relativeFrom="page">
                        <wp:posOffset>346710</wp:posOffset>
                      </wp:positionH>
                      <wp:positionV relativeFrom="paragraph">
                        <wp:posOffset>51435</wp:posOffset>
                      </wp:positionV>
                      <wp:extent cx="5102860" cy="1414145"/>
                      <wp:effectExtent l="1270" t="0" r="20320" b="14605"/>
                      <wp:wrapNone/>
                      <wp:docPr id="358" name="组合 358"/>
                      <wp:cNvGraphicFramePr/>
                      <a:graphic xmlns:a="http://schemas.openxmlformats.org/drawingml/2006/main">
                        <a:graphicData uri="http://schemas.microsoft.com/office/word/2010/wordprocessingGroup">
                          <wpg:wgp>
                            <wpg:cNvGrpSpPr/>
                            <wpg:grpSpPr>
                              <a:xfrm>
                                <a:off x="0" y="0"/>
                                <a:ext cx="5102860" cy="1414145"/>
                                <a:chOff x="2079" y="451"/>
                                <a:chExt cx="8036" cy="2227"/>
                              </a:xfrm>
                            </wpg:grpSpPr>
                            <wpg:grpSp>
                              <wpg:cNvPr id="299" name="组合 299"/>
                              <wpg:cNvGrpSpPr/>
                              <wpg:grpSpPr>
                                <a:xfrm>
                                  <a:off x="2084" y="1271"/>
                                  <a:ext cx="1222" cy="518"/>
                                  <a:chOff x="2084" y="1271"/>
                                  <a:chExt cx="1222" cy="518"/>
                                </a:xfrm>
                              </wpg:grpSpPr>
                              <wps:wsp>
                                <wps:cNvPr id="298" name="任意多边形 298"/>
                                <wps:cNvSpPr/>
                                <wps:spPr>
                                  <a:xfrm>
                                    <a:off x="2084" y="1271"/>
                                    <a:ext cx="1222" cy="518"/>
                                  </a:xfrm>
                                  <a:custGeom>
                                    <a:avLst/>
                                    <a:gdLst/>
                                    <a:ahLst/>
                                    <a:cxnLst/>
                                    <a:pathLst>
                                      <a:path w="1222" h="518">
                                        <a:moveTo>
                                          <a:pt x="0" y="518"/>
                                        </a:moveTo>
                                        <a:lnTo>
                                          <a:pt x="1222" y="518"/>
                                        </a:lnTo>
                                        <a:lnTo>
                                          <a:pt x="1222" y="0"/>
                                        </a:lnTo>
                                        <a:lnTo>
                                          <a:pt x="0" y="0"/>
                                        </a:lnTo>
                                        <a:lnTo>
                                          <a:pt x="0" y="518"/>
                                        </a:lnTo>
                                        <a:close/>
                                      </a:path>
                                    </a:pathLst>
                                  </a:custGeom>
                                  <a:noFill/>
                                  <a:ln w="6350" cap="flat" cmpd="sng">
                                    <a:solidFill>
                                      <a:srgbClr val="000000"/>
                                    </a:solidFill>
                                    <a:prstDash val="solid"/>
                                    <a:headEnd type="none" w="med" len="med"/>
                                    <a:tailEnd type="none" w="med" len="med"/>
                                  </a:ln>
                                </wps:spPr>
                                <wps:bodyPr upright="1"/>
                              </wps:wsp>
                            </wpg:grpSp>
                            <wpg:grpSp>
                              <wpg:cNvPr id="301" name="组合 301"/>
                              <wpg:cNvGrpSpPr/>
                              <wpg:grpSpPr>
                                <a:xfrm>
                                  <a:off x="3306" y="1529"/>
                                  <a:ext cx="398" cy="2"/>
                                  <a:chOff x="3306" y="1529"/>
                                  <a:chExt cx="398" cy="2"/>
                                </a:xfrm>
                              </wpg:grpSpPr>
                              <wps:wsp>
                                <wps:cNvPr id="300" name="任意多边形 300"/>
                                <wps:cNvSpPr/>
                                <wps:spPr>
                                  <a:xfrm>
                                    <a:off x="3306" y="1529"/>
                                    <a:ext cx="398" cy="2"/>
                                  </a:xfrm>
                                  <a:custGeom>
                                    <a:avLst/>
                                    <a:gdLst/>
                                    <a:ahLst/>
                                    <a:cxnLst/>
                                    <a:pathLst>
                                      <a:path w="398" h="2">
                                        <a:moveTo>
                                          <a:pt x="0" y="1"/>
                                        </a:moveTo>
                                        <a:lnTo>
                                          <a:pt x="398" y="0"/>
                                        </a:lnTo>
                                      </a:path>
                                    </a:pathLst>
                                  </a:custGeom>
                                  <a:noFill/>
                                  <a:ln w="12700" cap="flat" cmpd="sng">
                                    <a:solidFill>
                                      <a:srgbClr val="050505"/>
                                    </a:solidFill>
                                    <a:prstDash val="solid"/>
                                    <a:headEnd type="none" w="med" len="med"/>
                                    <a:tailEnd type="none" w="med" len="med"/>
                                  </a:ln>
                                </wps:spPr>
                                <wps:bodyPr upright="1"/>
                              </wps:wsp>
                            </wpg:grpSp>
                            <wpg:grpSp>
                              <wpg:cNvPr id="303" name="组合 303"/>
                              <wpg:cNvGrpSpPr/>
                              <wpg:grpSpPr>
                                <a:xfrm>
                                  <a:off x="3804" y="1269"/>
                                  <a:ext cx="1256" cy="518"/>
                                  <a:chOff x="3804" y="1269"/>
                                  <a:chExt cx="1256" cy="518"/>
                                </a:xfrm>
                              </wpg:grpSpPr>
                              <wps:wsp>
                                <wps:cNvPr id="302" name="任意多边形 302"/>
                                <wps:cNvSpPr/>
                                <wps:spPr>
                                  <a:xfrm>
                                    <a:off x="3804" y="1269"/>
                                    <a:ext cx="1256" cy="518"/>
                                  </a:xfrm>
                                  <a:custGeom>
                                    <a:avLst/>
                                    <a:gdLst/>
                                    <a:ahLst/>
                                    <a:cxnLst/>
                                    <a:pathLst>
                                      <a:path w="1256" h="518">
                                        <a:moveTo>
                                          <a:pt x="0" y="518"/>
                                        </a:moveTo>
                                        <a:lnTo>
                                          <a:pt x="1256" y="518"/>
                                        </a:lnTo>
                                        <a:lnTo>
                                          <a:pt x="1256" y="0"/>
                                        </a:lnTo>
                                        <a:lnTo>
                                          <a:pt x="0" y="0"/>
                                        </a:lnTo>
                                        <a:lnTo>
                                          <a:pt x="0" y="518"/>
                                        </a:lnTo>
                                        <a:close/>
                                      </a:path>
                                    </a:pathLst>
                                  </a:custGeom>
                                  <a:noFill/>
                                  <a:ln w="6350" cap="flat" cmpd="sng">
                                    <a:solidFill>
                                      <a:srgbClr val="000000"/>
                                    </a:solidFill>
                                    <a:prstDash val="solid"/>
                                    <a:headEnd type="none" w="med" len="med"/>
                                    <a:tailEnd type="none" w="med" len="med"/>
                                  </a:ln>
                                </wps:spPr>
                                <wps:bodyPr upright="1"/>
                              </wps:wsp>
                            </wpg:grpSp>
                            <wpg:grpSp>
                              <wpg:cNvPr id="305" name="组合 305"/>
                              <wpg:cNvGrpSpPr/>
                              <wpg:grpSpPr>
                                <a:xfrm>
                                  <a:off x="3684" y="1469"/>
                                  <a:ext cx="121" cy="120"/>
                                  <a:chOff x="3684" y="1469"/>
                                  <a:chExt cx="121" cy="120"/>
                                </a:xfrm>
                              </wpg:grpSpPr>
                              <wps:wsp>
                                <wps:cNvPr id="304" name="任意多边形 304"/>
                                <wps:cNvSpPr/>
                                <wps:spPr>
                                  <a:xfrm>
                                    <a:off x="3684" y="1469"/>
                                    <a:ext cx="121" cy="120"/>
                                  </a:xfrm>
                                  <a:custGeom>
                                    <a:avLst/>
                                    <a:gdLst/>
                                    <a:ahLst/>
                                    <a:cxnLst/>
                                    <a:pathLst>
                                      <a:path w="121" h="120">
                                        <a:moveTo>
                                          <a:pt x="0" y="0"/>
                                        </a:moveTo>
                                        <a:lnTo>
                                          <a:pt x="0" y="120"/>
                                        </a:lnTo>
                                        <a:lnTo>
                                          <a:pt x="120" y="59"/>
                                        </a:lnTo>
                                        <a:lnTo>
                                          <a:pt x="0" y="0"/>
                                        </a:lnTo>
                                        <a:close/>
                                      </a:path>
                                    </a:pathLst>
                                  </a:custGeom>
                                  <a:solidFill>
                                    <a:srgbClr val="050505"/>
                                  </a:solidFill>
                                  <a:ln w="9525">
                                    <a:noFill/>
                                  </a:ln>
                                </wps:spPr>
                                <wps:bodyPr upright="1"/>
                              </wps:wsp>
                            </wpg:grpSp>
                            <wpg:grpSp>
                              <wpg:cNvPr id="307" name="组合 307"/>
                              <wpg:cNvGrpSpPr/>
                              <wpg:grpSpPr>
                                <a:xfrm>
                                  <a:off x="5060" y="1528"/>
                                  <a:ext cx="410" cy="2"/>
                                  <a:chOff x="5060" y="1528"/>
                                  <a:chExt cx="410" cy="2"/>
                                </a:xfrm>
                              </wpg:grpSpPr>
                              <wps:wsp>
                                <wps:cNvPr id="306" name="任意多边形 306"/>
                                <wps:cNvSpPr/>
                                <wps:spPr>
                                  <a:xfrm>
                                    <a:off x="5060" y="1528"/>
                                    <a:ext cx="410" cy="2"/>
                                  </a:xfrm>
                                  <a:custGeom>
                                    <a:avLst/>
                                    <a:gdLst/>
                                    <a:ahLst/>
                                    <a:cxnLst/>
                                    <a:pathLst>
                                      <a:path w="410" h="1">
                                        <a:moveTo>
                                          <a:pt x="0" y="0"/>
                                        </a:moveTo>
                                        <a:lnTo>
                                          <a:pt x="410" y="1"/>
                                        </a:lnTo>
                                      </a:path>
                                    </a:pathLst>
                                  </a:custGeom>
                                  <a:noFill/>
                                  <a:ln w="12700" cap="flat" cmpd="sng">
                                    <a:solidFill>
                                      <a:srgbClr val="050505"/>
                                    </a:solidFill>
                                    <a:prstDash val="solid"/>
                                    <a:headEnd type="none" w="med" len="med"/>
                                    <a:tailEnd type="none" w="med" len="med"/>
                                  </a:ln>
                                </wps:spPr>
                                <wps:bodyPr upright="1"/>
                              </wps:wsp>
                            </wpg:grpSp>
                            <wpg:grpSp>
                              <wpg:cNvPr id="309" name="组合 309"/>
                              <wpg:cNvGrpSpPr/>
                              <wpg:grpSpPr>
                                <a:xfrm>
                                  <a:off x="5570" y="1269"/>
                                  <a:ext cx="1229" cy="517"/>
                                  <a:chOff x="5570" y="1269"/>
                                  <a:chExt cx="1229" cy="517"/>
                                </a:xfrm>
                              </wpg:grpSpPr>
                              <wps:wsp>
                                <wps:cNvPr id="308" name="任意多边形 308"/>
                                <wps:cNvSpPr/>
                                <wps:spPr>
                                  <a:xfrm>
                                    <a:off x="5570" y="1269"/>
                                    <a:ext cx="1229" cy="517"/>
                                  </a:xfrm>
                                  <a:custGeom>
                                    <a:avLst/>
                                    <a:gdLst/>
                                    <a:ahLst/>
                                    <a:cxnLst/>
                                    <a:pathLst>
                                      <a:path w="1229" h="517">
                                        <a:moveTo>
                                          <a:pt x="0" y="517"/>
                                        </a:moveTo>
                                        <a:lnTo>
                                          <a:pt x="1229" y="517"/>
                                        </a:lnTo>
                                        <a:lnTo>
                                          <a:pt x="1229" y="0"/>
                                        </a:lnTo>
                                        <a:lnTo>
                                          <a:pt x="0" y="0"/>
                                        </a:lnTo>
                                        <a:lnTo>
                                          <a:pt x="0" y="517"/>
                                        </a:lnTo>
                                        <a:close/>
                                      </a:path>
                                    </a:pathLst>
                                  </a:custGeom>
                                  <a:noFill/>
                                  <a:ln w="6350" cap="flat" cmpd="sng">
                                    <a:solidFill>
                                      <a:srgbClr val="000000"/>
                                    </a:solidFill>
                                    <a:prstDash val="solid"/>
                                    <a:headEnd type="none" w="med" len="med"/>
                                    <a:tailEnd type="none" w="med" len="med"/>
                                  </a:ln>
                                </wps:spPr>
                                <wps:bodyPr upright="1"/>
                              </wps:wsp>
                            </wpg:grpSp>
                            <wpg:grpSp>
                              <wpg:cNvPr id="311" name="组合 311"/>
                              <wpg:cNvGrpSpPr/>
                              <wpg:grpSpPr>
                                <a:xfrm>
                                  <a:off x="5450" y="1469"/>
                                  <a:ext cx="121" cy="120"/>
                                  <a:chOff x="5450" y="1469"/>
                                  <a:chExt cx="121" cy="120"/>
                                </a:xfrm>
                              </wpg:grpSpPr>
                              <wps:wsp>
                                <wps:cNvPr id="310" name="任意多边形 310"/>
                                <wps:cNvSpPr/>
                                <wps:spPr>
                                  <a:xfrm>
                                    <a:off x="5450" y="1469"/>
                                    <a:ext cx="121" cy="120"/>
                                  </a:xfrm>
                                  <a:custGeom>
                                    <a:avLst/>
                                    <a:gdLst/>
                                    <a:ahLst/>
                                    <a:cxnLst/>
                                    <a:pathLst>
                                      <a:path w="121" h="120">
                                        <a:moveTo>
                                          <a:pt x="0" y="0"/>
                                        </a:moveTo>
                                        <a:lnTo>
                                          <a:pt x="0" y="120"/>
                                        </a:lnTo>
                                        <a:lnTo>
                                          <a:pt x="120" y="60"/>
                                        </a:lnTo>
                                        <a:lnTo>
                                          <a:pt x="0" y="0"/>
                                        </a:lnTo>
                                        <a:close/>
                                      </a:path>
                                    </a:pathLst>
                                  </a:custGeom>
                                  <a:solidFill>
                                    <a:srgbClr val="050505"/>
                                  </a:solidFill>
                                  <a:ln w="9525">
                                    <a:noFill/>
                                  </a:ln>
                                </wps:spPr>
                                <wps:bodyPr upright="1"/>
                              </wps:wsp>
                            </wpg:grpSp>
                            <wpg:grpSp>
                              <wpg:cNvPr id="313" name="组合 313"/>
                              <wpg:cNvGrpSpPr/>
                              <wpg:grpSpPr>
                                <a:xfrm>
                                  <a:off x="6799" y="1528"/>
                                  <a:ext cx="444" cy="3"/>
                                  <a:chOff x="6799" y="1528"/>
                                  <a:chExt cx="444" cy="3"/>
                                </a:xfrm>
                              </wpg:grpSpPr>
                              <wps:wsp>
                                <wps:cNvPr id="312" name="任意多边形 312"/>
                                <wps:cNvSpPr/>
                                <wps:spPr>
                                  <a:xfrm>
                                    <a:off x="6799" y="1528"/>
                                    <a:ext cx="444" cy="3"/>
                                  </a:xfrm>
                                  <a:custGeom>
                                    <a:avLst/>
                                    <a:gdLst/>
                                    <a:ahLst/>
                                    <a:cxnLst/>
                                    <a:pathLst>
                                      <a:path w="444" h="3">
                                        <a:moveTo>
                                          <a:pt x="0" y="0"/>
                                        </a:moveTo>
                                        <a:lnTo>
                                          <a:pt x="444" y="3"/>
                                        </a:lnTo>
                                      </a:path>
                                    </a:pathLst>
                                  </a:custGeom>
                                  <a:noFill/>
                                  <a:ln w="12700" cap="flat" cmpd="sng">
                                    <a:solidFill>
                                      <a:srgbClr val="050505"/>
                                    </a:solidFill>
                                    <a:prstDash val="solid"/>
                                    <a:headEnd type="none" w="med" len="med"/>
                                    <a:tailEnd type="none" w="med" len="med"/>
                                  </a:ln>
                                </wps:spPr>
                                <wps:bodyPr upright="1"/>
                              </wps:wsp>
                            </wpg:grpSp>
                            <wpg:grpSp>
                              <wpg:cNvPr id="315" name="组合 315"/>
                              <wpg:cNvGrpSpPr/>
                              <wpg:grpSpPr>
                                <a:xfrm>
                                  <a:off x="7343" y="1273"/>
                                  <a:ext cx="1180" cy="516"/>
                                  <a:chOff x="7343" y="1273"/>
                                  <a:chExt cx="1180" cy="516"/>
                                </a:xfrm>
                              </wpg:grpSpPr>
                              <wps:wsp>
                                <wps:cNvPr id="314" name="任意多边形 314"/>
                                <wps:cNvSpPr/>
                                <wps:spPr>
                                  <a:xfrm>
                                    <a:off x="7343" y="1273"/>
                                    <a:ext cx="1180" cy="516"/>
                                  </a:xfrm>
                                  <a:custGeom>
                                    <a:avLst/>
                                    <a:gdLst/>
                                    <a:ahLst/>
                                    <a:cxnLst/>
                                    <a:pathLst>
                                      <a:path w="1180" h="516">
                                        <a:moveTo>
                                          <a:pt x="0" y="516"/>
                                        </a:moveTo>
                                        <a:lnTo>
                                          <a:pt x="1180" y="516"/>
                                        </a:lnTo>
                                        <a:lnTo>
                                          <a:pt x="1180" y="0"/>
                                        </a:lnTo>
                                        <a:lnTo>
                                          <a:pt x="0" y="0"/>
                                        </a:lnTo>
                                        <a:lnTo>
                                          <a:pt x="0" y="516"/>
                                        </a:lnTo>
                                        <a:close/>
                                      </a:path>
                                    </a:pathLst>
                                  </a:custGeom>
                                  <a:noFill/>
                                  <a:ln w="6350" cap="flat" cmpd="sng">
                                    <a:solidFill>
                                      <a:srgbClr val="000000"/>
                                    </a:solidFill>
                                    <a:prstDash val="solid"/>
                                    <a:headEnd type="none" w="med" len="med"/>
                                    <a:tailEnd type="none" w="med" len="med"/>
                                  </a:ln>
                                </wps:spPr>
                                <wps:bodyPr upright="1"/>
                              </wps:wsp>
                            </wpg:grpSp>
                            <wpg:grpSp>
                              <wpg:cNvPr id="317" name="组合 317"/>
                              <wpg:cNvGrpSpPr/>
                              <wpg:grpSpPr>
                                <a:xfrm>
                                  <a:off x="7223" y="1471"/>
                                  <a:ext cx="121" cy="120"/>
                                  <a:chOff x="7223" y="1471"/>
                                  <a:chExt cx="121" cy="120"/>
                                </a:xfrm>
                              </wpg:grpSpPr>
                              <wps:wsp>
                                <wps:cNvPr id="316" name="任意多边形 316"/>
                                <wps:cNvSpPr/>
                                <wps:spPr>
                                  <a:xfrm>
                                    <a:off x="7223" y="1471"/>
                                    <a:ext cx="121" cy="120"/>
                                  </a:xfrm>
                                  <a:custGeom>
                                    <a:avLst/>
                                    <a:gdLst/>
                                    <a:ahLst/>
                                    <a:cxnLst/>
                                    <a:pathLst>
                                      <a:path w="121" h="120">
                                        <a:moveTo>
                                          <a:pt x="0" y="0"/>
                                        </a:moveTo>
                                        <a:lnTo>
                                          <a:pt x="0" y="120"/>
                                        </a:lnTo>
                                        <a:lnTo>
                                          <a:pt x="120" y="60"/>
                                        </a:lnTo>
                                        <a:lnTo>
                                          <a:pt x="0" y="0"/>
                                        </a:lnTo>
                                        <a:close/>
                                      </a:path>
                                    </a:pathLst>
                                  </a:custGeom>
                                  <a:solidFill>
                                    <a:srgbClr val="050505"/>
                                  </a:solidFill>
                                  <a:ln w="9525">
                                    <a:noFill/>
                                  </a:ln>
                                </wps:spPr>
                                <wps:bodyPr upright="1"/>
                              </wps:wsp>
                            </wpg:grpSp>
                            <wpg:grpSp>
                              <wpg:cNvPr id="319" name="组合 319"/>
                              <wpg:cNvGrpSpPr/>
                              <wpg:grpSpPr>
                                <a:xfrm>
                                  <a:off x="8523" y="1531"/>
                                  <a:ext cx="321" cy="2"/>
                                  <a:chOff x="8523" y="1531"/>
                                  <a:chExt cx="321" cy="2"/>
                                </a:xfrm>
                              </wpg:grpSpPr>
                              <wps:wsp>
                                <wps:cNvPr id="318" name="任意多边形 318"/>
                                <wps:cNvSpPr/>
                                <wps:spPr>
                                  <a:xfrm>
                                    <a:off x="8523" y="1531"/>
                                    <a:ext cx="321" cy="2"/>
                                  </a:xfrm>
                                  <a:custGeom>
                                    <a:avLst/>
                                    <a:gdLst/>
                                    <a:ahLst/>
                                    <a:cxnLst/>
                                    <a:pathLst>
                                      <a:path w="321">
                                        <a:moveTo>
                                          <a:pt x="0" y="0"/>
                                        </a:moveTo>
                                        <a:lnTo>
                                          <a:pt x="321" y="0"/>
                                        </a:lnTo>
                                      </a:path>
                                    </a:pathLst>
                                  </a:custGeom>
                                  <a:noFill/>
                                  <a:ln w="12700" cap="flat" cmpd="sng">
                                    <a:solidFill>
                                      <a:srgbClr val="050505"/>
                                    </a:solidFill>
                                    <a:prstDash val="solid"/>
                                    <a:headEnd type="none" w="med" len="med"/>
                                    <a:tailEnd type="none" w="med" len="med"/>
                                  </a:ln>
                                </wps:spPr>
                                <wps:bodyPr upright="1"/>
                              </wps:wsp>
                            </wpg:grpSp>
                            <wpg:grpSp>
                              <wpg:cNvPr id="321" name="组合 321"/>
                              <wpg:cNvGrpSpPr/>
                              <wpg:grpSpPr>
                                <a:xfrm>
                                  <a:off x="8824" y="1471"/>
                                  <a:ext cx="120" cy="120"/>
                                  <a:chOff x="8824" y="1471"/>
                                  <a:chExt cx="120" cy="120"/>
                                </a:xfrm>
                              </wpg:grpSpPr>
                              <wps:wsp>
                                <wps:cNvPr id="320" name="任意多边形 320"/>
                                <wps:cNvSpPr/>
                                <wps:spPr>
                                  <a:xfrm>
                                    <a:off x="8824" y="1471"/>
                                    <a:ext cx="120" cy="120"/>
                                  </a:xfrm>
                                  <a:custGeom>
                                    <a:avLst/>
                                    <a:gdLst/>
                                    <a:ahLst/>
                                    <a:cxnLst/>
                                    <a:pathLst>
                                      <a:path w="120" h="120">
                                        <a:moveTo>
                                          <a:pt x="0" y="0"/>
                                        </a:moveTo>
                                        <a:lnTo>
                                          <a:pt x="0" y="120"/>
                                        </a:lnTo>
                                        <a:lnTo>
                                          <a:pt x="120" y="60"/>
                                        </a:lnTo>
                                        <a:lnTo>
                                          <a:pt x="0" y="0"/>
                                        </a:lnTo>
                                        <a:close/>
                                      </a:path>
                                    </a:pathLst>
                                  </a:custGeom>
                                  <a:solidFill>
                                    <a:srgbClr val="050505"/>
                                  </a:solidFill>
                                  <a:ln w="9525">
                                    <a:noFill/>
                                  </a:ln>
                                </wps:spPr>
                                <wps:bodyPr upright="1"/>
                              </wps:wsp>
                            </wpg:grpSp>
                            <wpg:grpSp>
                              <wpg:cNvPr id="323" name="组合 323"/>
                              <wpg:cNvGrpSpPr/>
                              <wpg:grpSpPr>
                                <a:xfrm>
                                  <a:off x="2695" y="1789"/>
                                  <a:ext cx="2" cy="336"/>
                                  <a:chOff x="2695" y="1789"/>
                                  <a:chExt cx="2" cy="336"/>
                                </a:xfrm>
                              </wpg:grpSpPr>
                              <wps:wsp>
                                <wps:cNvPr id="322" name="任意多边形 322"/>
                                <wps:cNvSpPr/>
                                <wps:spPr>
                                  <a:xfrm>
                                    <a:off x="2695" y="1789"/>
                                    <a:ext cx="2" cy="336"/>
                                  </a:xfrm>
                                  <a:custGeom>
                                    <a:avLst/>
                                    <a:gdLst/>
                                    <a:ahLst/>
                                    <a:cxnLst/>
                                    <a:pathLst>
                                      <a:path h="336">
                                        <a:moveTo>
                                          <a:pt x="0" y="0"/>
                                        </a:moveTo>
                                        <a:lnTo>
                                          <a:pt x="0" y="336"/>
                                        </a:lnTo>
                                      </a:path>
                                    </a:pathLst>
                                  </a:custGeom>
                                  <a:noFill/>
                                  <a:ln w="12700" cap="flat" cmpd="sng">
                                    <a:solidFill>
                                      <a:srgbClr val="050505"/>
                                    </a:solidFill>
                                    <a:prstDash val="dash"/>
                                    <a:headEnd type="none" w="med" len="med"/>
                                    <a:tailEnd type="none" w="med" len="med"/>
                                  </a:ln>
                                </wps:spPr>
                                <wps:bodyPr upright="1"/>
                              </wps:wsp>
                            </wpg:grpSp>
                            <wpg:grpSp>
                              <wpg:cNvPr id="325" name="组合 325"/>
                              <wpg:cNvGrpSpPr/>
                              <wpg:grpSpPr>
                                <a:xfrm>
                                  <a:off x="2635" y="2105"/>
                                  <a:ext cx="120" cy="120"/>
                                  <a:chOff x="2635" y="2105"/>
                                  <a:chExt cx="120" cy="120"/>
                                </a:xfrm>
                              </wpg:grpSpPr>
                              <wps:wsp>
                                <wps:cNvPr id="324" name="任意多边形 324"/>
                                <wps:cNvSpPr/>
                                <wps:spPr>
                                  <a:xfrm>
                                    <a:off x="2635" y="2105"/>
                                    <a:ext cx="120" cy="120"/>
                                  </a:xfrm>
                                  <a:custGeom>
                                    <a:avLst/>
                                    <a:gdLst/>
                                    <a:ahLst/>
                                    <a:cxnLst/>
                                    <a:pathLst>
                                      <a:path w="120" h="120">
                                        <a:moveTo>
                                          <a:pt x="120" y="0"/>
                                        </a:moveTo>
                                        <a:lnTo>
                                          <a:pt x="0" y="0"/>
                                        </a:lnTo>
                                        <a:lnTo>
                                          <a:pt x="60" y="120"/>
                                        </a:lnTo>
                                        <a:lnTo>
                                          <a:pt x="120" y="0"/>
                                        </a:lnTo>
                                        <a:close/>
                                      </a:path>
                                    </a:pathLst>
                                  </a:custGeom>
                                  <a:solidFill>
                                    <a:srgbClr val="050505"/>
                                  </a:solidFill>
                                  <a:ln w="9525">
                                    <a:noFill/>
                                  </a:ln>
                                </wps:spPr>
                                <wps:bodyPr upright="1"/>
                              </wps:wsp>
                            </wpg:grpSp>
                            <wpg:grpSp>
                              <wpg:cNvPr id="327" name="组合 327"/>
                              <wpg:cNvGrpSpPr/>
                              <wpg:grpSpPr>
                                <a:xfrm>
                                  <a:off x="4432" y="1787"/>
                                  <a:ext cx="2" cy="344"/>
                                  <a:chOff x="4432" y="1787"/>
                                  <a:chExt cx="2" cy="344"/>
                                </a:xfrm>
                              </wpg:grpSpPr>
                              <wps:wsp>
                                <wps:cNvPr id="326" name="任意多边形 326"/>
                                <wps:cNvSpPr/>
                                <wps:spPr>
                                  <a:xfrm>
                                    <a:off x="4432" y="1787"/>
                                    <a:ext cx="2" cy="344"/>
                                  </a:xfrm>
                                  <a:custGeom>
                                    <a:avLst/>
                                    <a:gdLst/>
                                    <a:ahLst/>
                                    <a:cxnLst/>
                                    <a:pathLst>
                                      <a:path h="344">
                                        <a:moveTo>
                                          <a:pt x="0" y="0"/>
                                        </a:moveTo>
                                        <a:lnTo>
                                          <a:pt x="0" y="344"/>
                                        </a:lnTo>
                                      </a:path>
                                    </a:pathLst>
                                  </a:custGeom>
                                  <a:noFill/>
                                  <a:ln w="12700" cap="flat" cmpd="sng">
                                    <a:solidFill>
                                      <a:srgbClr val="050505"/>
                                    </a:solidFill>
                                    <a:prstDash val="dash"/>
                                    <a:headEnd type="none" w="med" len="med"/>
                                    <a:tailEnd type="none" w="med" len="med"/>
                                  </a:ln>
                                </wps:spPr>
                                <wps:bodyPr upright="1"/>
                              </wps:wsp>
                            </wpg:grpSp>
                            <wpg:grpSp>
                              <wpg:cNvPr id="329" name="组合 329"/>
                              <wpg:cNvGrpSpPr/>
                              <wpg:grpSpPr>
                                <a:xfrm>
                                  <a:off x="4372" y="2111"/>
                                  <a:ext cx="120" cy="120"/>
                                  <a:chOff x="4372" y="2111"/>
                                  <a:chExt cx="120" cy="120"/>
                                </a:xfrm>
                              </wpg:grpSpPr>
                              <wps:wsp>
                                <wps:cNvPr id="328" name="任意多边形 328"/>
                                <wps:cNvSpPr/>
                                <wps:spPr>
                                  <a:xfrm>
                                    <a:off x="4372" y="2111"/>
                                    <a:ext cx="120" cy="120"/>
                                  </a:xfrm>
                                  <a:custGeom>
                                    <a:avLst/>
                                    <a:gdLst/>
                                    <a:ahLst/>
                                    <a:cxnLst/>
                                    <a:pathLst>
                                      <a:path w="120" h="120">
                                        <a:moveTo>
                                          <a:pt x="120" y="0"/>
                                        </a:moveTo>
                                        <a:lnTo>
                                          <a:pt x="0" y="0"/>
                                        </a:lnTo>
                                        <a:lnTo>
                                          <a:pt x="60" y="120"/>
                                        </a:lnTo>
                                        <a:lnTo>
                                          <a:pt x="120" y="0"/>
                                        </a:lnTo>
                                        <a:close/>
                                      </a:path>
                                    </a:pathLst>
                                  </a:custGeom>
                                  <a:solidFill>
                                    <a:srgbClr val="050505"/>
                                  </a:solidFill>
                                  <a:ln w="9525">
                                    <a:noFill/>
                                  </a:ln>
                                </wps:spPr>
                                <wps:bodyPr upright="1"/>
                              </wps:wsp>
                            </wpg:grpSp>
                            <wpg:grpSp>
                              <wpg:cNvPr id="331" name="组合 331"/>
                              <wpg:cNvGrpSpPr/>
                              <wpg:grpSpPr>
                                <a:xfrm>
                                  <a:off x="6184" y="1786"/>
                                  <a:ext cx="14" cy="340"/>
                                  <a:chOff x="6184" y="1786"/>
                                  <a:chExt cx="14" cy="340"/>
                                </a:xfrm>
                              </wpg:grpSpPr>
                              <wps:wsp>
                                <wps:cNvPr id="330" name="任意多边形 330"/>
                                <wps:cNvSpPr/>
                                <wps:spPr>
                                  <a:xfrm>
                                    <a:off x="6184" y="1786"/>
                                    <a:ext cx="14" cy="340"/>
                                  </a:xfrm>
                                  <a:custGeom>
                                    <a:avLst/>
                                    <a:gdLst/>
                                    <a:ahLst/>
                                    <a:cxnLst/>
                                    <a:pathLst>
                                      <a:path w="14" h="340">
                                        <a:moveTo>
                                          <a:pt x="0" y="0"/>
                                        </a:moveTo>
                                        <a:lnTo>
                                          <a:pt x="14" y="339"/>
                                        </a:lnTo>
                                      </a:path>
                                    </a:pathLst>
                                  </a:custGeom>
                                  <a:noFill/>
                                  <a:ln w="12700" cap="flat" cmpd="sng">
                                    <a:solidFill>
                                      <a:srgbClr val="050505"/>
                                    </a:solidFill>
                                    <a:prstDash val="dash"/>
                                    <a:headEnd type="none" w="med" len="med"/>
                                    <a:tailEnd type="none" w="med" len="med"/>
                                  </a:ln>
                                </wps:spPr>
                                <wps:bodyPr upright="1"/>
                              </wps:wsp>
                            </wpg:grpSp>
                            <wpg:grpSp>
                              <wpg:cNvPr id="333" name="组合 333"/>
                              <wpg:cNvGrpSpPr/>
                              <wpg:grpSpPr>
                                <a:xfrm>
                                  <a:off x="6137" y="2103"/>
                                  <a:ext cx="120" cy="123"/>
                                  <a:chOff x="6137" y="2103"/>
                                  <a:chExt cx="120" cy="123"/>
                                </a:xfrm>
                              </wpg:grpSpPr>
                              <wps:wsp>
                                <wps:cNvPr id="332" name="任意多边形 332"/>
                                <wps:cNvSpPr/>
                                <wps:spPr>
                                  <a:xfrm>
                                    <a:off x="6137" y="2103"/>
                                    <a:ext cx="120" cy="123"/>
                                  </a:xfrm>
                                  <a:custGeom>
                                    <a:avLst/>
                                    <a:gdLst/>
                                    <a:ahLst/>
                                    <a:cxnLst/>
                                    <a:pathLst>
                                      <a:path w="120" h="123">
                                        <a:moveTo>
                                          <a:pt x="120" y="0"/>
                                        </a:moveTo>
                                        <a:lnTo>
                                          <a:pt x="0" y="5"/>
                                        </a:lnTo>
                                        <a:lnTo>
                                          <a:pt x="65" y="122"/>
                                        </a:lnTo>
                                        <a:lnTo>
                                          <a:pt x="120" y="0"/>
                                        </a:lnTo>
                                        <a:close/>
                                      </a:path>
                                    </a:pathLst>
                                  </a:custGeom>
                                  <a:solidFill>
                                    <a:srgbClr val="050505"/>
                                  </a:solidFill>
                                  <a:ln w="9525">
                                    <a:noFill/>
                                  </a:ln>
                                </wps:spPr>
                                <wps:bodyPr upright="1"/>
                              </wps:wsp>
                            </wpg:grpSp>
                            <wpg:grpSp>
                              <wpg:cNvPr id="335" name="组合 335"/>
                              <wpg:cNvGrpSpPr/>
                              <wpg:grpSpPr>
                                <a:xfrm>
                                  <a:off x="7933" y="1789"/>
                                  <a:ext cx="2" cy="330"/>
                                  <a:chOff x="7933" y="1789"/>
                                  <a:chExt cx="2" cy="330"/>
                                </a:xfrm>
                              </wpg:grpSpPr>
                              <wps:wsp>
                                <wps:cNvPr id="334" name="任意多边形 334"/>
                                <wps:cNvSpPr/>
                                <wps:spPr>
                                  <a:xfrm>
                                    <a:off x="7933" y="1789"/>
                                    <a:ext cx="2" cy="330"/>
                                  </a:xfrm>
                                  <a:custGeom>
                                    <a:avLst/>
                                    <a:gdLst/>
                                    <a:ahLst/>
                                    <a:cxnLst/>
                                    <a:pathLst>
                                      <a:path h="330">
                                        <a:moveTo>
                                          <a:pt x="0" y="0"/>
                                        </a:moveTo>
                                        <a:lnTo>
                                          <a:pt x="0" y="330"/>
                                        </a:lnTo>
                                      </a:path>
                                    </a:pathLst>
                                  </a:custGeom>
                                  <a:noFill/>
                                  <a:ln w="12700" cap="flat" cmpd="sng">
                                    <a:solidFill>
                                      <a:srgbClr val="050505"/>
                                    </a:solidFill>
                                    <a:prstDash val="dash"/>
                                    <a:headEnd type="none" w="med" len="med"/>
                                    <a:tailEnd type="none" w="med" len="med"/>
                                  </a:ln>
                                </wps:spPr>
                                <wps:bodyPr upright="1"/>
                              </wps:wsp>
                            </wpg:grpSp>
                            <wpg:grpSp>
                              <wpg:cNvPr id="337" name="组合 337"/>
                              <wpg:cNvGrpSpPr/>
                              <wpg:grpSpPr>
                                <a:xfrm>
                                  <a:off x="7873" y="2099"/>
                                  <a:ext cx="120" cy="120"/>
                                  <a:chOff x="7873" y="2099"/>
                                  <a:chExt cx="120" cy="120"/>
                                </a:xfrm>
                              </wpg:grpSpPr>
                              <wps:wsp>
                                <wps:cNvPr id="336" name="任意多边形 336"/>
                                <wps:cNvSpPr/>
                                <wps:spPr>
                                  <a:xfrm>
                                    <a:off x="7873" y="2099"/>
                                    <a:ext cx="120" cy="120"/>
                                  </a:xfrm>
                                  <a:custGeom>
                                    <a:avLst/>
                                    <a:gdLst/>
                                    <a:ahLst/>
                                    <a:cxnLst/>
                                    <a:pathLst>
                                      <a:path w="120" h="120">
                                        <a:moveTo>
                                          <a:pt x="120" y="0"/>
                                        </a:moveTo>
                                        <a:lnTo>
                                          <a:pt x="0" y="0"/>
                                        </a:lnTo>
                                        <a:lnTo>
                                          <a:pt x="60" y="120"/>
                                        </a:lnTo>
                                        <a:lnTo>
                                          <a:pt x="120" y="0"/>
                                        </a:lnTo>
                                        <a:close/>
                                      </a:path>
                                    </a:pathLst>
                                  </a:custGeom>
                                  <a:solidFill>
                                    <a:srgbClr val="050505"/>
                                  </a:solidFill>
                                  <a:ln w="9525">
                                    <a:noFill/>
                                  </a:ln>
                                </wps:spPr>
                                <wps:bodyPr upright="1"/>
                              </wps:wsp>
                            </wpg:grpSp>
                            <wpg:grpSp>
                              <wpg:cNvPr id="339" name="组合 339"/>
                              <wpg:cNvGrpSpPr/>
                              <wpg:grpSpPr>
                                <a:xfrm>
                                  <a:off x="2695" y="870"/>
                                  <a:ext cx="2" cy="401"/>
                                  <a:chOff x="2695" y="870"/>
                                  <a:chExt cx="2" cy="401"/>
                                </a:xfrm>
                              </wpg:grpSpPr>
                              <wps:wsp>
                                <wps:cNvPr id="338" name="任意多边形 338"/>
                                <wps:cNvSpPr/>
                                <wps:spPr>
                                  <a:xfrm>
                                    <a:off x="2695" y="870"/>
                                    <a:ext cx="2" cy="401"/>
                                  </a:xfrm>
                                  <a:custGeom>
                                    <a:avLst/>
                                    <a:gdLst/>
                                    <a:ahLst/>
                                    <a:cxnLst/>
                                    <a:pathLst>
                                      <a:path w="1" h="401">
                                        <a:moveTo>
                                          <a:pt x="0" y="401"/>
                                        </a:moveTo>
                                        <a:lnTo>
                                          <a:pt x="1" y="0"/>
                                        </a:lnTo>
                                      </a:path>
                                    </a:pathLst>
                                  </a:custGeom>
                                  <a:noFill/>
                                  <a:ln w="6350" cap="flat" cmpd="sng">
                                    <a:solidFill>
                                      <a:srgbClr val="050505"/>
                                    </a:solidFill>
                                    <a:prstDash val="solid"/>
                                    <a:headEnd type="none" w="med" len="med"/>
                                    <a:tailEnd type="none" w="med" len="med"/>
                                  </a:ln>
                                </wps:spPr>
                                <wps:bodyPr upright="1"/>
                              </wps:wsp>
                            </wpg:grpSp>
                            <wpg:grpSp>
                              <wpg:cNvPr id="341" name="组合 341"/>
                              <wpg:cNvGrpSpPr/>
                              <wpg:grpSpPr>
                                <a:xfrm>
                                  <a:off x="7933" y="871"/>
                                  <a:ext cx="2" cy="402"/>
                                  <a:chOff x="7933" y="871"/>
                                  <a:chExt cx="2" cy="402"/>
                                </a:xfrm>
                              </wpg:grpSpPr>
                              <wps:wsp>
                                <wps:cNvPr id="340" name="任意多边形 340"/>
                                <wps:cNvSpPr/>
                                <wps:spPr>
                                  <a:xfrm>
                                    <a:off x="7933" y="871"/>
                                    <a:ext cx="2" cy="402"/>
                                  </a:xfrm>
                                  <a:custGeom>
                                    <a:avLst/>
                                    <a:gdLst/>
                                    <a:ahLst/>
                                    <a:cxnLst/>
                                    <a:pathLst>
                                      <a:path w="1" h="402">
                                        <a:moveTo>
                                          <a:pt x="0" y="402"/>
                                        </a:moveTo>
                                        <a:lnTo>
                                          <a:pt x="1" y="0"/>
                                        </a:lnTo>
                                      </a:path>
                                    </a:pathLst>
                                  </a:custGeom>
                                  <a:noFill/>
                                  <a:ln w="6350" cap="flat" cmpd="sng">
                                    <a:solidFill>
                                      <a:srgbClr val="050505"/>
                                    </a:solidFill>
                                    <a:prstDash val="solid"/>
                                    <a:headEnd type="none" w="med" len="med"/>
                                    <a:tailEnd type="none" w="med" len="med"/>
                                  </a:ln>
                                </wps:spPr>
                                <wps:bodyPr upright="1"/>
                              </wps:wsp>
                            </wpg:grpSp>
                            <wpg:grpSp>
                              <wpg:cNvPr id="343" name="组合 343"/>
                              <wpg:cNvGrpSpPr/>
                              <wpg:grpSpPr>
                                <a:xfrm>
                                  <a:off x="5335" y="551"/>
                                  <a:ext cx="8" cy="320"/>
                                  <a:chOff x="5335" y="551"/>
                                  <a:chExt cx="8" cy="320"/>
                                </a:xfrm>
                              </wpg:grpSpPr>
                              <wps:wsp>
                                <wps:cNvPr id="342" name="任意多边形 342"/>
                                <wps:cNvSpPr/>
                                <wps:spPr>
                                  <a:xfrm>
                                    <a:off x="5335" y="551"/>
                                    <a:ext cx="8" cy="320"/>
                                  </a:xfrm>
                                  <a:custGeom>
                                    <a:avLst/>
                                    <a:gdLst/>
                                    <a:ahLst/>
                                    <a:cxnLst/>
                                    <a:pathLst>
                                      <a:path w="8" h="320">
                                        <a:moveTo>
                                          <a:pt x="8" y="320"/>
                                        </a:moveTo>
                                        <a:lnTo>
                                          <a:pt x="0" y="0"/>
                                        </a:lnTo>
                                      </a:path>
                                    </a:pathLst>
                                  </a:custGeom>
                                  <a:noFill/>
                                  <a:ln w="12700" cap="flat" cmpd="sng">
                                    <a:solidFill>
                                      <a:srgbClr val="050505"/>
                                    </a:solidFill>
                                    <a:prstDash val="dash"/>
                                    <a:headEnd type="none" w="med" len="med"/>
                                    <a:tailEnd type="none" w="med" len="med"/>
                                  </a:ln>
                                </wps:spPr>
                                <wps:bodyPr upright="1"/>
                              </wps:wsp>
                            </wpg:grpSp>
                            <wpg:grpSp>
                              <wpg:cNvPr id="345" name="组合 345"/>
                              <wpg:cNvGrpSpPr/>
                              <wpg:grpSpPr>
                                <a:xfrm>
                                  <a:off x="5276" y="451"/>
                                  <a:ext cx="120" cy="122"/>
                                  <a:chOff x="5276" y="451"/>
                                  <a:chExt cx="120" cy="122"/>
                                </a:xfrm>
                              </wpg:grpSpPr>
                              <wps:wsp>
                                <wps:cNvPr id="344" name="任意多边形 344"/>
                                <wps:cNvSpPr/>
                                <wps:spPr>
                                  <a:xfrm>
                                    <a:off x="5276" y="451"/>
                                    <a:ext cx="120" cy="122"/>
                                  </a:xfrm>
                                  <a:custGeom>
                                    <a:avLst/>
                                    <a:gdLst/>
                                    <a:ahLst/>
                                    <a:cxnLst/>
                                    <a:pathLst>
                                      <a:path w="120" h="122">
                                        <a:moveTo>
                                          <a:pt x="57" y="0"/>
                                        </a:moveTo>
                                        <a:lnTo>
                                          <a:pt x="0" y="122"/>
                                        </a:lnTo>
                                        <a:lnTo>
                                          <a:pt x="120" y="119"/>
                                        </a:lnTo>
                                        <a:lnTo>
                                          <a:pt x="57" y="0"/>
                                        </a:lnTo>
                                        <a:close/>
                                      </a:path>
                                    </a:pathLst>
                                  </a:custGeom>
                                  <a:solidFill>
                                    <a:srgbClr val="050505"/>
                                  </a:solidFill>
                                  <a:ln w="9525">
                                    <a:noFill/>
                                  </a:ln>
                                </wps:spPr>
                                <wps:bodyPr upright="1"/>
                              </wps:wsp>
                            </wpg:grpSp>
                            <wpg:grpSp>
                              <wpg:cNvPr id="347" name="组合 347"/>
                              <wpg:cNvGrpSpPr/>
                              <wpg:grpSpPr>
                                <a:xfrm>
                                  <a:off x="2695" y="870"/>
                                  <a:ext cx="5238" cy="2"/>
                                  <a:chOff x="2695" y="870"/>
                                  <a:chExt cx="5238" cy="2"/>
                                </a:xfrm>
                              </wpg:grpSpPr>
                              <wps:wsp>
                                <wps:cNvPr id="346" name="任意多边形 346"/>
                                <wps:cNvSpPr/>
                                <wps:spPr>
                                  <a:xfrm>
                                    <a:off x="2695" y="870"/>
                                    <a:ext cx="5238" cy="2"/>
                                  </a:xfrm>
                                  <a:custGeom>
                                    <a:avLst/>
                                    <a:gdLst/>
                                    <a:ahLst/>
                                    <a:cxnLst/>
                                    <a:pathLst>
                                      <a:path w="5238" h="1">
                                        <a:moveTo>
                                          <a:pt x="0" y="0"/>
                                        </a:moveTo>
                                        <a:lnTo>
                                          <a:pt x="5238" y="1"/>
                                        </a:lnTo>
                                      </a:path>
                                    </a:pathLst>
                                  </a:custGeom>
                                  <a:noFill/>
                                  <a:ln w="6350" cap="flat" cmpd="sng">
                                    <a:solidFill>
                                      <a:srgbClr val="050505"/>
                                    </a:solidFill>
                                    <a:prstDash val="solid"/>
                                    <a:headEnd type="none" w="med" len="med"/>
                                    <a:tailEnd type="none" w="med" len="med"/>
                                  </a:ln>
                                </wps:spPr>
                                <wps:bodyPr upright="1"/>
                              </wps:wsp>
                            </wpg:grpSp>
                            <wpg:grpSp>
                              <wpg:cNvPr id="349" name="组合 349"/>
                              <wpg:cNvGrpSpPr/>
                              <wpg:grpSpPr>
                                <a:xfrm>
                                  <a:off x="6185" y="870"/>
                                  <a:ext cx="2" cy="399"/>
                                  <a:chOff x="6185" y="870"/>
                                  <a:chExt cx="2" cy="399"/>
                                </a:xfrm>
                              </wpg:grpSpPr>
                              <wps:wsp>
                                <wps:cNvPr id="348" name="任意多边形 348"/>
                                <wps:cNvSpPr/>
                                <wps:spPr>
                                  <a:xfrm>
                                    <a:off x="6185" y="870"/>
                                    <a:ext cx="2" cy="399"/>
                                  </a:xfrm>
                                  <a:custGeom>
                                    <a:avLst/>
                                    <a:gdLst/>
                                    <a:ahLst/>
                                    <a:cxnLst/>
                                    <a:pathLst>
                                      <a:path w="1" h="399">
                                        <a:moveTo>
                                          <a:pt x="0" y="399"/>
                                        </a:moveTo>
                                        <a:lnTo>
                                          <a:pt x="1" y="0"/>
                                        </a:lnTo>
                                      </a:path>
                                    </a:pathLst>
                                  </a:custGeom>
                                  <a:noFill/>
                                  <a:ln w="6350" cap="flat" cmpd="sng">
                                    <a:solidFill>
                                      <a:srgbClr val="050505"/>
                                    </a:solidFill>
                                    <a:prstDash val="solid"/>
                                    <a:headEnd type="none" w="med" len="med"/>
                                    <a:tailEnd type="none" w="med" len="med"/>
                                  </a:ln>
                                </wps:spPr>
                                <wps:bodyPr upright="1"/>
                              </wps:wsp>
                            </wpg:grpSp>
                            <wpg:grpSp>
                              <wpg:cNvPr id="357" name="组合 357"/>
                              <wpg:cNvGrpSpPr/>
                              <wpg:grpSpPr>
                                <a:xfrm>
                                  <a:off x="4430" y="871"/>
                                  <a:ext cx="2" cy="398"/>
                                  <a:chOff x="4430" y="871"/>
                                  <a:chExt cx="2" cy="398"/>
                                </a:xfrm>
                              </wpg:grpSpPr>
                              <wps:wsp>
                                <wps:cNvPr id="350" name="任意多边形 350"/>
                                <wps:cNvSpPr/>
                                <wps:spPr>
                                  <a:xfrm>
                                    <a:off x="4430" y="871"/>
                                    <a:ext cx="2" cy="398"/>
                                  </a:xfrm>
                                  <a:custGeom>
                                    <a:avLst/>
                                    <a:gdLst/>
                                    <a:ahLst/>
                                    <a:cxnLst/>
                                    <a:pathLst>
                                      <a:path w="2" h="398">
                                        <a:moveTo>
                                          <a:pt x="2" y="398"/>
                                        </a:moveTo>
                                        <a:lnTo>
                                          <a:pt x="0" y="0"/>
                                        </a:lnTo>
                                      </a:path>
                                    </a:pathLst>
                                  </a:custGeom>
                                  <a:noFill/>
                                  <a:ln w="6350" cap="flat" cmpd="sng">
                                    <a:solidFill>
                                      <a:srgbClr val="050505"/>
                                    </a:solidFill>
                                    <a:prstDash val="solid"/>
                                    <a:headEnd type="none" w="med" len="med"/>
                                    <a:tailEnd type="none" w="med" len="med"/>
                                  </a:ln>
                                </wps:spPr>
                                <wps:bodyPr upright="1"/>
                              </wps:wsp>
                              <wps:wsp>
                                <wps:cNvPr id="351" name="文本框 351"/>
                                <wps:cNvSpPr txBox="1"/>
                                <wps:spPr>
                                  <a:xfrm>
                                    <a:off x="2084" y="1270"/>
                                    <a:ext cx="1222" cy="518"/>
                                  </a:xfrm>
                                  <a:prstGeom prst="rect">
                                    <a:avLst/>
                                  </a:prstGeom>
                                  <a:noFill/>
                                  <a:ln w="9525">
                                    <a:noFill/>
                                  </a:ln>
                                </wps:spPr>
                                <wps:txbx>
                                  <w:txbxContent>
                                    <w:p>
                                      <w:pPr>
                                        <w:spacing w:before="100"/>
                                        <w:ind w:left="188" w:right="0" w:firstLine="0"/>
                                        <w:jc w:val="left"/>
                                        <w:rPr>
                                          <w:rFonts w:hint="default" w:ascii="宋体" w:hAnsi="宋体" w:eastAsia="宋体" w:cs="宋体"/>
                                          <w:sz w:val="21"/>
                                          <w:szCs w:val="21"/>
                                        </w:rPr>
                                      </w:pPr>
                                      <w:r>
                                        <w:rPr>
                                          <w:rFonts w:hint="default" w:ascii="宋体" w:hAnsi="宋体" w:eastAsia="宋体" w:cs="宋体"/>
                                          <w:sz w:val="21"/>
                                          <w:szCs w:val="21"/>
                                        </w:rPr>
                                        <w:t>基础工程</w:t>
                                      </w:r>
                                    </w:p>
                                  </w:txbxContent>
                                </wps:txbx>
                                <wps:bodyPr lIns="0" tIns="0" rIns="0" bIns="0" upright="1"/>
                              </wps:wsp>
                              <wps:wsp>
                                <wps:cNvPr id="352" name="文本框 352"/>
                                <wps:cNvSpPr txBox="1"/>
                                <wps:spPr>
                                  <a:xfrm>
                                    <a:off x="3804" y="1270"/>
                                    <a:ext cx="1256" cy="518"/>
                                  </a:xfrm>
                                  <a:prstGeom prst="rect">
                                    <a:avLst/>
                                  </a:prstGeom>
                                  <a:noFill/>
                                  <a:ln w="9525">
                                    <a:noFill/>
                                  </a:ln>
                                </wps:spPr>
                                <wps:txbx>
                                  <w:txbxContent>
                                    <w:p>
                                      <w:pPr>
                                        <w:spacing w:before="98"/>
                                        <w:ind w:left="206" w:right="0" w:firstLine="0"/>
                                        <w:jc w:val="left"/>
                                        <w:rPr>
                                          <w:rFonts w:hint="default" w:ascii="宋体" w:hAnsi="宋体" w:eastAsia="宋体" w:cs="宋体"/>
                                          <w:sz w:val="21"/>
                                          <w:szCs w:val="21"/>
                                        </w:rPr>
                                      </w:pPr>
                                      <w:r>
                                        <w:rPr>
                                          <w:rFonts w:hint="default" w:ascii="宋体" w:hAnsi="宋体" w:eastAsia="宋体" w:cs="宋体"/>
                                          <w:sz w:val="21"/>
                                          <w:szCs w:val="21"/>
                                        </w:rPr>
                                        <w:t>主体工程</w:t>
                                      </w:r>
                                    </w:p>
                                  </w:txbxContent>
                                </wps:txbx>
                                <wps:bodyPr lIns="0" tIns="0" rIns="0" bIns="0" upright="1"/>
                              </wps:wsp>
                              <wps:wsp>
                                <wps:cNvPr id="353" name="文本框 353"/>
                                <wps:cNvSpPr txBox="1"/>
                                <wps:spPr>
                                  <a:xfrm>
                                    <a:off x="5570" y="1270"/>
                                    <a:ext cx="1229" cy="518"/>
                                  </a:xfrm>
                                  <a:prstGeom prst="rect">
                                    <a:avLst/>
                                  </a:prstGeom>
                                  <a:noFill/>
                                  <a:ln w="9525">
                                    <a:noFill/>
                                  </a:ln>
                                </wps:spPr>
                                <wps:txbx>
                                  <w:txbxContent>
                                    <w:p>
                                      <w:pPr>
                                        <w:spacing w:before="98"/>
                                        <w:ind w:left="194" w:right="0" w:firstLine="0"/>
                                        <w:jc w:val="left"/>
                                        <w:rPr>
                                          <w:rFonts w:hint="default" w:ascii="宋体" w:hAnsi="宋体" w:eastAsia="宋体" w:cs="宋体"/>
                                          <w:sz w:val="21"/>
                                          <w:szCs w:val="21"/>
                                        </w:rPr>
                                      </w:pPr>
                                      <w:r>
                                        <w:rPr>
                                          <w:rFonts w:hint="default" w:ascii="宋体" w:hAnsi="宋体" w:eastAsia="宋体" w:cs="宋体"/>
                                          <w:sz w:val="21"/>
                                          <w:szCs w:val="21"/>
                                        </w:rPr>
                                        <w:t>装饰工程</w:t>
                                      </w:r>
                                    </w:p>
                                  </w:txbxContent>
                                </wps:txbx>
                                <wps:bodyPr lIns="0" tIns="0" rIns="0" bIns="0" upright="1"/>
                              </wps:wsp>
                              <wps:wsp>
                                <wps:cNvPr id="354" name="文本框 354"/>
                                <wps:cNvSpPr txBox="1"/>
                                <wps:spPr>
                                  <a:xfrm>
                                    <a:off x="7343" y="1270"/>
                                    <a:ext cx="1180" cy="518"/>
                                  </a:xfrm>
                                  <a:prstGeom prst="rect">
                                    <a:avLst/>
                                  </a:prstGeom>
                                  <a:noFill/>
                                  <a:ln w="9525">
                                    <a:noFill/>
                                  </a:ln>
                                </wps:spPr>
                                <wps:txbx>
                                  <w:txbxContent>
                                    <w:p>
                                      <w:pPr>
                                        <w:spacing w:before="100"/>
                                        <w:ind w:left="171" w:right="0" w:firstLine="0"/>
                                        <w:jc w:val="left"/>
                                        <w:rPr>
                                          <w:rFonts w:hint="default" w:ascii="宋体" w:hAnsi="宋体" w:eastAsia="宋体" w:cs="宋体"/>
                                          <w:sz w:val="21"/>
                                          <w:szCs w:val="21"/>
                                        </w:rPr>
                                      </w:pPr>
                                      <w:r>
                                        <w:rPr>
                                          <w:rFonts w:hint="default" w:ascii="宋体" w:hAnsi="宋体" w:eastAsia="宋体" w:cs="宋体"/>
                                          <w:sz w:val="21"/>
                                          <w:szCs w:val="21"/>
                                        </w:rPr>
                                        <w:t>设备安装</w:t>
                                      </w:r>
                                    </w:p>
                                  </w:txbxContent>
                                </wps:txbx>
                                <wps:bodyPr lIns="0" tIns="0" rIns="0" bIns="0" upright="1"/>
                              </wps:wsp>
                              <wps:wsp>
                                <wps:cNvPr id="355" name="文本框 355"/>
                                <wps:cNvSpPr txBox="1"/>
                                <wps:spPr>
                                  <a:xfrm>
                                    <a:off x="8944" y="1273"/>
                                    <a:ext cx="1001" cy="516"/>
                                  </a:xfrm>
                                  <a:prstGeom prst="rect">
                                    <a:avLst/>
                                  </a:prstGeom>
                                  <a:noFill/>
                                  <a:ln w="6350" cap="flat" cmpd="sng">
                                    <a:solidFill>
                                      <a:srgbClr val="000000"/>
                                    </a:solidFill>
                                    <a:prstDash val="solid"/>
                                    <a:miter/>
                                    <a:headEnd type="none" w="med" len="med"/>
                                    <a:tailEnd type="none" w="med" len="med"/>
                                  </a:ln>
                                </wps:spPr>
                                <wps:txbx>
                                  <w:txbxContent>
                                    <w:p>
                                      <w:pPr>
                                        <w:spacing w:before="92"/>
                                        <w:ind w:left="286" w:right="0" w:firstLine="0"/>
                                        <w:jc w:val="left"/>
                                        <w:rPr>
                                          <w:rFonts w:hint="default" w:ascii="宋体" w:hAnsi="宋体" w:eastAsia="宋体" w:cs="宋体"/>
                                          <w:sz w:val="21"/>
                                          <w:szCs w:val="21"/>
                                        </w:rPr>
                                      </w:pPr>
                                      <w:r>
                                        <w:rPr>
                                          <w:rFonts w:hint="default" w:ascii="宋体" w:hAnsi="宋体" w:eastAsia="宋体" w:cs="宋体"/>
                                          <w:sz w:val="21"/>
                                          <w:szCs w:val="21"/>
                                        </w:rPr>
                                        <w:t>调试</w:t>
                                      </w:r>
                                    </w:p>
                                  </w:txbxContent>
                                </wps:txbx>
                                <wps:bodyPr lIns="0" tIns="0" rIns="0" bIns="0" upright="1"/>
                              </wps:wsp>
                              <wps:wsp>
                                <wps:cNvPr id="356" name="文本框 356"/>
                                <wps:cNvSpPr txBox="1"/>
                                <wps:spPr>
                                  <a:xfrm>
                                    <a:off x="8788" y="2225"/>
                                    <a:ext cx="1322" cy="448"/>
                                  </a:xfrm>
                                  <a:prstGeom prst="rect">
                                    <a:avLst/>
                                  </a:prstGeom>
                                  <a:noFill/>
                                  <a:ln w="6350" cap="flat" cmpd="sng">
                                    <a:solidFill>
                                      <a:srgbClr val="000000"/>
                                    </a:solidFill>
                                    <a:prstDash val="solid"/>
                                    <a:miter/>
                                    <a:headEnd type="none" w="med" len="med"/>
                                    <a:tailEnd type="none" w="med" len="med"/>
                                  </a:ln>
                                </wps:spPr>
                                <wps:txbx>
                                  <w:txbxContent>
                                    <w:p>
                                      <w:pPr>
                                        <w:spacing w:before="93"/>
                                        <w:ind w:left="235" w:right="0" w:firstLine="0"/>
                                        <w:jc w:val="left"/>
                                        <w:rPr>
                                          <w:rFonts w:hint="default" w:ascii="宋体" w:hAnsi="宋体" w:eastAsia="宋体" w:cs="宋体"/>
                                          <w:sz w:val="21"/>
                                          <w:szCs w:val="21"/>
                                        </w:rPr>
                                      </w:pPr>
                                      <w:r>
                                        <w:rPr>
                                          <w:rFonts w:hint="default" w:ascii="宋体" w:hAnsi="宋体" w:eastAsia="宋体" w:cs="宋体"/>
                                          <w:sz w:val="21"/>
                                          <w:szCs w:val="21"/>
                                        </w:rPr>
                                        <w:t>运行使用</w:t>
                                      </w:r>
                                    </w:p>
                                  </w:txbxContent>
                                </wps:txbx>
                                <wps:bodyPr lIns="0" tIns="0" rIns="0" bIns="0" upright="1"/>
                              </wps:wsp>
                            </wpg:grpSp>
                          </wpg:wgp>
                        </a:graphicData>
                      </a:graphic>
                    </wp:anchor>
                  </w:drawing>
                </mc:Choice>
                <mc:Fallback>
                  <w:pict>
                    <v:group id="_x0000_s1026" o:spid="_x0000_s1026" o:spt="203" style="position:absolute;left:0pt;margin-left:27.3pt;margin-top:4.05pt;height:111.35pt;width:401.8pt;mso-position-horizontal-relative:page;z-index:1511056384;mso-width-relative:page;mso-height-relative:page;" coordorigin="2079,451" coordsize="8036,2227" o:gfxdata="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">
                      <o:lock v:ext="edit" aspectratio="f"/>
                      <v:group id="_x0000_s1026" o:spid="_x0000_s1026" o:spt="203" style="position:absolute;left:2084;top:1271;height:518;width:1222;" coordorigin="2084,1271" coordsize="1222,518"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084;top:1271;height:518;width:1222;" filled="f" stroked="t" coordsize="1222,518" o:gfxdata="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34628AAAA&#10;3AAAAA8AAAAAAAAAAQAgAAAAIgAAAGRycy9kb3ducmV2LnhtbFBLAQIUABQAAAAIAIdO4kAzLwWe&#10;OwAAADkAAAAQAAAAAAAAAAEAIAAAAAsBAABkcnMvc2hhcGV4bWwueG1sUEsFBgAAAAAGAAYAWwEA&#10;ALUDAAAAAA==&#10;" path="m0,518l1222,518,1222,0,0,0,0,518xe">
                          <v:fill on="f" focussize="0,0"/>
                          <v:stroke weight="0.5pt" color="#000000" joinstyle="round"/>
                          <v:imagedata o:title=""/>
                          <o:lock v:ext="edit" aspectratio="f"/>
                        </v:shape>
                      </v:group>
                      <v:group id="_x0000_s1026" o:spid="_x0000_s1026" o:spt="203" style="position:absolute;left:3306;top:1529;height:2;width:398;" coordorigin="3306,1529" coordsize="398,2"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306;top:1529;height:2;width:398;" filled="f" stroked="t" coordsize="398,2" o:gfxdata="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l1H68AAAA&#10;3AAAAA8AAAAAAAAAAQAgAAAAIgAAAGRycy9kb3ducmV2LnhtbFBLAQIUABQAAAAIAIdO4kAzLwWe&#10;OwAAADkAAAAQAAAAAAAAAAEAIAAAAAsBAABkcnMvc2hhcGV4bWwueG1sUEsFBgAAAAAGAAYAWwEA&#10;ALUDAAAAAA==&#10;" path="m0,1l398,0e">
                          <v:fill on="f" focussize="0,0"/>
                          <v:stroke weight="1pt" color="#050505" joinstyle="round"/>
                          <v:imagedata o:title=""/>
                          <o:lock v:ext="edit" aspectratio="f"/>
                        </v:shape>
                      </v:group>
                      <v:group id="_x0000_s1026" o:spid="_x0000_s1026" o:spt="203" style="position:absolute;left:3804;top:1269;height:518;width:1256;" coordorigin="3804,1269" coordsize="1256,518"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04;top:1269;height:518;width:1256;" filled="f" stroked="t" coordsize="1256,518" o:gfxdata="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3NugugAAANwA&#10;AAAPAAAAAAAAAAEAIAAAACIAAABkcnMvZG93bnJldi54bWxQSwECFAAUAAAACACHTuJAMy8FnjsA&#10;AAA5AAAAEAAAAAAAAAABACAAAAAJAQAAZHJzL3NoYXBleG1sLnhtbFBLBQYAAAAABgAGAFsBAACz&#10;AwAAAAA=&#10;" path="m0,518l1256,518,1256,0,0,0,0,518xe">
                          <v:fill on="f" focussize="0,0"/>
                          <v:stroke weight="0.5pt" color="#000000" joinstyle="round"/>
                          <v:imagedata o:title=""/>
                          <o:lock v:ext="edit" aspectratio="f"/>
                        </v:shape>
                      </v:group>
                      <v:group id="_x0000_s1026" o:spid="_x0000_s1026" o:spt="203" style="position:absolute;left:3684;top:1469;height:120;width:121;" coordorigin="3684,1469" coordsize="121,120"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684;top:1469;height:120;width:121;" fillcolor="#050505" filled="t" stroked="f" coordsize="121,120" o:gfxdata="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DEcq/&#10;AAAA3AAAAA8AAAAAAAAAAQAgAAAAIgAAAGRycy9kb3ducmV2LnhtbFBLAQIUABQAAAAIAIdO4kAz&#10;LwWeOwAAADkAAAAQAAAAAAAAAAEAIAAAAA4BAABkcnMvc2hhcGV4bWwueG1sUEsFBgAAAAAGAAYA&#10;WwEAALgDAAAAAA==&#10;" path="m0,0l0,120,120,59,0,0xe">
                          <v:fill on="t" focussize="0,0"/>
                          <v:stroke on="f"/>
                          <v:imagedata o:title=""/>
                          <o:lock v:ext="edit" aspectratio="f"/>
                        </v:shape>
                      </v:group>
                      <v:group id="_x0000_s1026" o:spid="_x0000_s1026" o:spt="203" style="position:absolute;left:5060;top:1528;height:2;width:410;" coordorigin="5060,1528" coordsize="410,2"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60;top:1528;height:2;width:410;" filled="f" stroked="t" coordsize="410,1" o:gfxdata="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puBO/&#10;AAAA3AAAAA8AAAAAAAAAAQAgAAAAIgAAAGRycy9kb3ducmV2LnhtbFBLAQIUABQAAAAIAIdO4kAz&#10;LwWeOwAAADkAAAAQAAAAAAAAAAEAIAAAAA4BAABkcnMvc2hhcGV4bWwueG1sUEsFBgAAAAAGAAYA&#10;WwEAALgDAAAAAA==&#10;" path="m0,0l410,1e">
                          <v:fill on="f" focussize="0,0"/>
                          <v:stroke weight="1pt" color="#050505" joinstyle="round"/>
                          <v:imagedata o:title=""/>
                          <o:lock v:ext="edit" aspectratio="f"/>
                        </v:shape>
                      </v:group>
                      <v:group id="_x0000_s1026" o:spid="_x0000_s1026" o:spt="203" style="position:absolute;left:5570;top:1269;height:517;width:1229;" coordorigin="5570,1269" coordsize="1229,517"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570;top:1269;height:517;width:1229;" filled="f" stroked="t" coordsize="1229,517" o:gfxdata="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0TUS5AAAA3AAA&#10;AA8AAAAAAAAAAQAgAAAAIgAAAGRycy9kb3ducmV2LnhtbFBLAQIUABQAAAAIAIdO4kAzLwWeOwAA&#10;ADkAAAAQAAAAAAAAAAEAIAAAAAgBAABkcnMvc2hhcGV4bWwueG1sUEsFBgAAAAAGAAYAWwEAALID&#10;AAAAAA==&#10;" path="m0,517l1229,517,1229,0,0,0,0,517xe">
                          <v:fill on="f" focussize="0,0"/>
                          <v:stroke weight="0.5pt" color="#000000" joinstyle="round"/>
                          <v:imagedata o:title=""/>
                          <o:lock v:ext="edit" aspectratio="f"/>
                        </v:shape>
                      </v:group>
                      <v:group id="_x0000_s1026" o:spid="_x0000_s1026" o:spt="203" style="position:absolute;left:5450;top:1469;height:120;width:121;" coordorigin="5450,1469" coordsize="121,120"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450;top:1469;height:120;width:121;" fillcolor="#050505" filled="t" stroked="f" coordsize="121,120" o:gfxdata="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hgRS8AAAA&#10;3AAAAA8AAAAAAAAAAQAgAAAAIgAAAGRycy9kb3ducmV2LnhtbFBLAQIUABQAAAAIAIdO4kAzLwWe&#10;OwAAADkAAAAQAAAAAAAAAAEAIAAAAAsBAABkcnMvc2hhcGV4bWwueG1sUEsFBgAAAAAGAAYAWwEA&#10;ALUDAAAAAA==&#10;" path="m0,0l0,120,120,60,0,0xe">
                          <v:fill on="t" focussize="0,0"/>
                          <v:stroke on="f"/>
                          <v:imagedata o:title=""/>
                          <o:lock v:ext="edit" aspectratio="f"/>
                        </v:shape>
                      </v:group>
                      <v:group id="_x0000_s1026" o:spid="_x0000_s1026" o:spt="203" style="position:absolute;left:6799;top:1528;height:3;width:444;" coordorigin="6799,1528" coordsize="444,3"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799;top:1528;height:3;width:444;" filled="f" stroked="t" coordsize="444,3" o:gfxdata="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kaXi8AAAA&#10;3AAAAA8AAAAAAAAAAQAgAAAAIgAAAGRycy9kb3ducmV2LnhtbFBLAQIUABQAAAAIAIdO4kAzLwWe&#10;OwAAADkAAAAQAAAAAAAAAAEAIAAAAAsBAABkcnMvc2hhcGV4bWwueG1sUEsFBgAAAAAGAAYAWwEA&#10;ALUDAAAAAA==&#10;" path="m0,0l444,3e">
                          <v:fill on="f" focussize="0,0"/>
                          <v:stroke weight="1pt" color="#050505" joinstyle="round"/>
                          <v:imagedata o:title=""/>
                          <o:lock v:ext="edit" aspectratio="f"/>
                        </v:shape>
                      </v:group>
                      <v:group id="_x0000_s1026" o:spid="_x0000_s1026" o:spt="203" style="position:absolute;left:7343;top:1273;height:516;width:1180;" coordorigin="7343,1273" coordsize="1180,516"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343;top:1273;height:516;width:1180;" filled="f" stroked="t" coordsize="1180,516" o:gfxdata="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2QW1vQAA&#10;ANwAAAAPAAAAAAAAAAEAIAAAACIAAABkcnMvZG93bnJldi54bWxQSwECFAAUAAAACACHTuJAMy8F&#10;njsAAAA5AAAAEAAAAAAAAAABACAAAAAMAQAAZHJzL3NoYXBleG1sLnhtbFBLBQYAAAAABgAGAFsB&#10;AAC2AwAAAAA=&#10;" path="m0,516l1180,516,1180,0,0,0,0,516xe">
                          <v:fill on="f" focussize="0,0"/>
                          <v:stroke weight="0.5pt" color="#000000" joinstyle="round"/>
                          <v:imagedata o:title=""/>
                          <o:lock v:ext="edit" aspectratio="f"/>
                        </v:shape>
                      </v:group>
                      <v:group id="_x0000_s1026" o:spid="_x0000_s1026" o:spt="203" style="position:absolute;left:7223;top:1471;height:120;width:121;" coordorigin="7223,1471" coordsize="121,120"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223;top:1471;height:120;width:121;" fillcolor="#050505" filled="t" stroked="f" coordsize="121,120" o:gfxdata="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EvPu/&#10;AAAA3AAAAA8AAAAAAAAAAQAgAAAAIgAAAGRycy9kb3ducmV2LnhtbFBLAQIUABQAAAAIAIdO4kAz&#10;LwWeOwAAADkAAAAQAAAAAAAAAAEAIAAAAA4BAABkcnMvc2hhcGV4bWwueG1sUEsFBgAAAAAGAAYA&#10;WwEAALgDAAAAAA==&#10;" path="m0,0l0,120,120,60,0,0xe">
                          <v:fill on="t" focussize="0,0"/>
                          <v:stroke on="f"/>
                          <v:imagedata o:title=""/>
                          <o:lock v:ext="edit" aspectratio="f"/>
                        </v:shape>
                      </v:group>
                      <v:group id="_x0000_s1026" o:spid="_x0000_s1026" o:spt="203" style="position:absolute;left:8523;top:1531;height:2;width:321;" coordorigin="8523,1531" coordsize="321,2"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523;top:1531;height:2;width:321;" filled="f" stroked="t" coordsize="321,1" o:gfxdata="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SZUvQAA&#10;ANwAAAAPAAAAAAAAAAEAIAAAACIAAABkcnMvZG93bnJldi54bWxQSwECFAAUAAAACACHTuJAMy8F&#10;njsAAAA5AAAAEAAAAAAAAAABACAAAAAMAQAAZHJzL3NoYXBleG1sLnhtbFBLBQYAAAAABgAGAFsB&#10;AAC2AwAAAAA=&#10;" path="m0,0l321,0e">
                          <v:fill on="f" focussize="0,0"/>
                          <v:stroke weight="1pt" color="#050505" joinstyle="round"/>
                          <v:imagedata o:title=""/>
                          <o:lock v:ext="edit" aspectratio="f"/>
                        </v:shape>
                      </v:group>
                      <v:group id="_x0000_s1026" o:spid="_x0000_s1026" o:spt="203" style="position:absolute;left:8824;top:1471;height:120;width:120;" coordorigin="8824,1471" coordsize="120,120"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824;top:1471;height:120;width:120;" fillcolor="#050505" filled="t" stroked="f" coordsize="120,120" o:gfxdata="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4D/vQAA&#10;ANwAAAAPAAAAAAAAAAEAIAAAACIAAABkcnMvZG93bnJldi54bWxQSwECFAAUAAAACACHTuJAMy8F&#10;njsAAAA5AAAAEAAAAAAAAAABACAAAAAMAQAAZHJzL3NoYXBleG1sLnhtbFBLBQYAAAAABgAGAFsB&#10;AAC2AwAAAAA=&#10;" path="m0,0l0,120,120,60,0,0xe">
                          <v:fill on="t" focussize="0,0"/>
                          <v:stroke on="f"/>
                          <v:imagedata o:title=""/>
                          <o:lock v:ext="edit" aspectratio="f"/>
                        </v:shape>
                      </v:group>
                      <v:group id="_x0000_s1026" o:spid="_x0000_s1026" o:spt="203" style="position:absolute;left:2695;top:1789;height:336;width:2;" coordorigin="2695,1789" coordsize="2,336"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695;top:1789;height:336;width:2;" filled="f" stroked="t" coordsize="1,336" o:gfxdata="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dbr74A&#10;AADcAAAADwAAAAAAAAABACAAAAAiAAAAZHJzL2Rvd25yZXYueG1sUEsBAhQAFAAAAAgAh07iQDMv&#10;BZ47AAAAOQAAABAAAAAAAAAAAQAgAAAADQEAAGRycy9zaGFwZXhtbC54bWxQSwUGAAAAAAYABgBb&#10;AQAAtwMAAAAA&#10;" path="m0,0l0,336e">
                          <v:fill on="f" focussize="0,0"/>
                          <v:stroke weight="1pt" color="#050505" joinstyle="round" dashstyle="dash"/>
                          <v:imagedata o:title=""/>
                          <o:lock v:ext="edit" aspectratio="f"/>
                        </v:shape>
                      </v:group>
                      <v:group id="_x0000_s1026" o:spid="_x0000_s1026" o:spt="203" style="position:absolute;left:2635;top:2105;height:120;width:120;" coordorigin="2635,2105" coordsize="120,120"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635;top:2105;height:120;width:120;" fillcolor="#050505" filled="t" stroked="f" coordsize="120,120" o:gfxdata="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Yhvy/&#10;AAAA3AAAAA8AAAAAAAAAAQAgAAAAIgAAAGRycy9kb3ducmV2LnhtbFBLAQIUABQAAAAIAIdO4kAz&#10;LwWeOwAAADkAAAAQAAAAAAAAAAEAIAAAAA4BAABkcnMvc2hhcGV4bWwueG1sUEsFBgAAAAAGAAYA&#10;WwEAALgDAAAAAA==&#10;" path="m120,0l0,0,60,120,120,0xe">
                          <v:fill on="t" focussize="0,0"/>
                          <v:stroke on="f"/>
                          <v:imagedata o:title=""/>
                          <o:lock v:ext="edit" aspectratio="f"/>
                        </v:shape>
                      </v:group>
                      <v:group id="_x0000_s1026" o:spid="_x0000_s1026" o:spt="203" style="position:absolute;left:4432;top:1787;height:344;width:2;" coordorigin="4432,1787" coordsize="2,344"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432;top:1787;height:344;width:2;" filled="f" stroked="t" coordsize="1,344" o:gfxdata="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F1&#10;qcEAAADcAAAADwAAAAAAAAABACAAAAAiAAAAZHJzL2Rvd25yZXYueG1sUEsBAhQAFAAAAAgAh07i&#10;QDMvBZ47AAAAOQAAABAAAAAAAAAAAQAgAAAAEAEAAGRycy9zaGFwZXhtbC54bWxQSwUGAAAAAAYA&#10;BgBbAQAAugMAAAAA&#10;" path="m0,0l0,344e">
                          <v:fill on="f" focussize="0,0"/>
                          <v:stroke weight="1pt" color="#050505" joinstyle="round" dashstyle="dash"/>
                          <v:imagedata o:title=""/>
                          <o:lock v:ext="edit" aspectratio="f"/>
                        </v:shape>
                      </v:group>
                      <v:group id="_x0000_s1026" o:spid="_x0000_s1026" o:spt="203" style="position:absolute;left:4372;top:2111;height:120;width:120;" coordorigin="4372,2111" coordsize="120,120"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72;top:2111;height:120;width:120;" fillcolor="#050505" filled="t" stroked="f" coordsize="120,120" o:gfxdata="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Yz5vQAA&#10;ANwAAAAPAAAAAAAAAAEAIAAAACIAAABkcnMvZG93bnJldi54bWxQSwECFAAUAAAACACHTuJAMy8F&#10;njsAAAA5AAAAEAAAAAAAAAABACAAAAAMAQAAZHJzL3NoYXBleG1sLnhtbFBLBQYAAAAABgAGAFsB&#10;AAC2AwAAAAA=&#10;" path="m120,0l0,0,60,120,120,0xe">
                          <v:fill on="t" focussize="0,0"/>
                          <v:stroke on="f"/>
                          <v:imagedata o:title=""/>
                          <o:lock v:ext="edit" aspectratio="f"/>
                        </v:shape>
                      </v:group>
                      <v:group id="_x0000_s1026" o:spid="_x0000_s1026" o:spt="203" style="position:absolute;left:6184;top:1786;height:340;width:14;" coordorigin="6184,1786" coordsize="14,340"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184;top:1786;height:340;width:14;" filled="f" stroked="t" coordsize="14,340" o:gfxdata="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pJprsAAADc&#10;AAAADwAAAAAAAAABACAAAAAiAAAAZHJzL2Rvd25yZXYueG1sUEsBAhQAFAAAAAgAh07iQDMvBZ47&#10;AAAAOQAAABAAAAAAAAAAAQAgAAAACgEAAGRycy9zaGFwZXhtbC54bWxQSwUGAAAAAAYABgBbAQAA&#10;tAMAAAAA&#10;" path="m0,0l14,339e">
                          <v:fill on="f" focussize="0,0"/>
                          <v:stroke weight="1pt" color="#050505" joinstyle="round" dashstyle="dash"/>
                          <v:imagedata o:title=""/>
                          <o:lock v:ext="edit" aspectratio="f"/>
                        </v:shape>
                      </v:group>
                      <v:group id="_x0000_s1026" o:spid="_x0000_s1026" o:spt="203" style="position:absolute;left:6137;top:2103;height:123;width:120;" coordorigin="6137,2103" coordsize="120,123"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137;top:2103;height:123;width:120;" fillcolor="#050505" filled="t" stroked="f" coordsize="120,123" o:gfxdata="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2YFL4A&#10;AADcAAAADwAAAAAAAAABACAAAAAiAAAAZHJzL2Rvd25yZXYueG1sUEsBAhQAFAAAAAgAh07iQDMv&#10;BZ47AAAAOQAAABAAAAAAAAAAAQAgAAAADQEAAGRycy9zaGFwZXhtbC54bWxQSwUGAAAAAAYABgBb&#10;AQAAtwMAAAAA&#10;" path="m120,0l0,5,65,122,120,0xe">
                          <v:fill on="t" focussize="0,0"/>
                          <v:stroke on="f"/>
                          <v:imagedata o:title=""/>
                          <o:lock v:ext="edit" aspectratio="f"/>
                        </v:shape>
                      </v:group>
                      <v:group id="_x0000_s1026" o:spid="_x0000_s1026" o:spt="203" style="position:absolute;left:7933;top:1789;height:330;width:2;" coordorigin="7933,1789" coordsize="2,330"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33;top:1789;height:330;width:2;" filled="f" stroked="t" coordsize="1,330" o:gfxdata="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ilN&#10;wAAAANwAAAAPAAAAAAAAAAEAIAAAACIAAABkcnMvZG93bnJldi54bWxQSwECFAAUAAAACACHTuJA&#10;My8FnjsAAAA5AAAAEAAAAAAAAAABACAAAAAPAQAAZHJzL3NoYXBleG1sLnhtbFBLBQYAAAAABgAG&#10;AFsBAAC5AwAAAAA=&#10;" path="m0,0l0,330e">
                          <v:fill on="f" focussize="0,0"/>
                          <v:stroke weight="1pt" color="#050505" joinstyle="round" dashstyle="dash"/>
                          <v:imagedata o:title=""/>
                          <o:lock v:ext="edit" aspectratio="f"/>
                        </v:shape>
                      </v:group>
                      <v:group id="_x0000_s1026" o:spid="_x0000_s1026" o:spt="203" style="position:absolute;left:7873;top:2099;height:120;width:120;" coordorigin="7873,2099" coordsize="120,120"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873;top:2099;height:120;width:120;" fillcolor="#050505" filled="t" stroked="f" coordsize="120,120" o:gfxdata="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yvNvQAA&#10;ANwAAAAPAAAAAAAAAAEAIAAAACIAAABkcnMvZG93bnJldi54bWxQSwECFAAUAAAACACHTuJAMy8F&#10;njsAAAA5AAAAEAAAAAAAAAABACAAAAAMAQAAZHJzL3NoYXBleG1sLnhtbFBLBQYAAAAABgAGAFsB&#10;AAC2AwAAAAA=&#10;" path="m120,0l0,0,60,120,120,0xe">
                          <v:fill on="t" focussize="0,0"/>
                          <v:stroke on="f"/>
                          <v:imagedata o:title=""/>
                          <o:lock v:ext="edit" aspectratio="f"/>
                        </v:shape>
                      </v:group>
                      <v:group id="_x0000_s1026" o:spid="_x0000_s1026" o:spt="203" style="position:absolute;left:2695;top:870;height:401;width:2;" coordorigin="2695,870" coordsize="2,401"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2695;top:870;height:401;width:2;" filled="f" stroked="t" coordsize="1,401" o:gfxdata="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xeorsAAADc&#10;AAAADwAAAAAAAAABACAAAAAiAAAAZHJzL2Rvd25yZXYueG1sUEsBAhQAFAAAAAgAh07iQDMvBZ47&#10;AAAAOQAAABAAAAAAAAAAAQAgAAAACgEAAGRycy9zaGFwZXhtbC54bWxQSwUGAAAAAAYABgBbAQAA&#10;tAMAAAAA&#10;" path="m0,401l1,0e">
                          <v:fill on="f" focussize="0,0"/>
                          <v:stroke weight="0.5pt" color="#050505" joinstyle="round"/>
                          <v:imagedata o:title=""/>
                          <o:lock v:ext="edit" aspectratio="f"/>
                        </v:shape>
                      </v:group>
                      <v:group id="_x0000_s1026" o:spid="_x0000_s1026" o:spt="203" style="position:absolute;left:7933;top:871;height:402;width:2;" coordorigin="7933,871" coordsize="2,402"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33;top:871;height:402;width:2;" filled="f" stroked="t" coordsize="1,402" o:gfxdata="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a8YbugAAANwA&#10;AAAPAAAAAAAAAAEAIAAAACIAAABkcnMvZG93bnJldi54bWxQSwECFAAUAAAACACHTuJAMy8FnjsA&#10;AAA5AAAAEAAAAAAAAAABACAAAAAJAQAAZHJzL3NoYXBleG1sLnhtbFBLBQYAAAAABgAGAFsBAACz&#10;AwAAAAA=&#10;" path="m0,402l1,0e">
                          <v:fill on="f" focussize="0,0"/>
                          <v:stroke weight="0.5pt" color="#050505" joinstyle="round"/>
                          <v:imagedata o:title=""/>
                          <o:lock v:ext="edit" aspectratio="f"/>
                        </v:shape>
                      </v:group>
                      <v:group id="_x0000_s1026" o:spid="_x0000_s1026" o:spt="203" style="position:absolute;left:5335;top:551;height:320;width:8;" coordorigin="5335,551" coordsize="8,320"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335;top:551;height:320;width:8;" filled="f" stroked="t" coordsize="8,320" o:gfxdata="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3v74A&#10;AADcAAAADwAAAAAAAAABACAAAAAiAAAAZHJzL2Rvd25yZXYueG1sUEsBAhQAFAAAAAgAh07iQDMv&#10;BZ47AAAAOQAAABAAAAAAAAAAAQAgAAAADQEAAGRycy9zaGFwZXhtbC54bWxQSwUGAAAAAAYABgBb&#10;AQAAtwMAAAAA&#10;" path="m8,320l0,0e">
                          <v:fill on="f" focussize="0,0"/>
                          <v:stroke weight="1pt" color="#050505" joinstyle="round" dashstyle="dash"/>
                          <v:imagedata o:title=""/>
                          <o:lock v:ext="edit" aspectratio="f"/>
                        </v:shape>
                      </v:group>
                      <v:group id="_x0000_s1026" o:spid="_x0000_s1026" o:spt="203" style="position:absolute;left:5276;top:451;height:122;width:120;" coordorigin="5276,451" coordsize="120,122"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276;top:451;height:122;width:120;" fillcolor="#050505" filled="t" stroked="f" coordsize="120,122" o:gfxdata="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e8t&#10;wAAAANwAAAAPAAAAAAAAAAEAIAAAACIAAABkcnMvZG93bnJldi54bWxQSwECFAAUAAAACACHTuJA&#10;My8FnjsAAAA5AAAAEAAAAAAAAAABACAAAAAPAQAAZHJzL3NoYXBleG1sLnhtbFBLBQYAAAAABgAG&#10;AFsBAAC5AwAAAAA=&#10;" path="m57,0l0,122,120,119,57,0xe">
                          <v:fill on="t" focussize="0,0"/>
                          <v:stroke on="f"/>
                          <v:imagedata o:title=""/>
                          <o:lock v:ext="edit" aspectratio="f"/>
                        </v:shape>
                      </v:group>
                      <v:group id="_x0000_s1026" o:spid="_x0000_s1026" o:spt="203" style="position:absolute;left:2695;top:870;height:2;width:5238;" coordorigin="2695,870" coordsize="5238,2"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2695;top:870;height:2;width:5238;" filled="f" stroked="t" coordsize="5238,1" o:gfxdata="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ATjy/&#10;AAAA3AAAAA8AAAAAAAAAAQAgAAAAIgAAAGRycy9kb3ducmV2LnhtbFBLAQIUABQAAAAIAIdO4kAz&#10;LwWeOwAAADkAAAAQAAAAAAAAAAEAIAAAAA4BAABkcnMvc2hhcGV4bWwueG1sUEsFBgAAAAAGAAYA&#10;WwEAALgDAAAAAA==&#10;" path="m0,0l5238,1e">
                          <v:fill on="f" focussize="0,0"/>
                          <v:stroke weight="0.5pt" color="#050505" joinstyle="round"/>
                          <v:imagedata o:title=""/>
                          <o:lock v:ext="edit" aspectratio="f"/>
                        </v:shape>
                      </v:group>
                      <v:group id="_x0000_s1026" o:spid="_x0000_s1026" o:spt="203" style="position:absolute;left:6185;top:870;height:399;width:2;" coordorigin="6185,870" coordsize="2,399"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185;top:870;height:399;width:2;" filled="f" stroked="t" coordsize="1,399" o:gfxdata="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2TVrsAAADc&#10;AAAADwAAAAAAAAABACAAAAAiAAAAZHJzL2Rvd25yZXYueG1sUEsBAhQAFAAAAAgAh07iQDMvBZ47&#10;AAAAOQAAABAAAAAAAAAAAQAgAAAACgEAAGRycy9zaGFwZXhtbC54bWxQSwUGAAAAAAYABgBbAQAA&#10;tAMAAAAA&#10;" path="m0,399l1,0e">
                          <v:fill on="f" focussize="0,0"/>
                          <v:stroke weight="0.5pt" color="#050505" joinstyle="round"/>
                          <v:imagedata o:title=""/>
                          <o:lock v:ext="edit" aspectratio="f"/>
                        </v:shape>
                      </v:group>
                      <v:group id="_x0000_s1026" o:spid="_x0000_s1026" o:spt="203" style="position:absolute;left:4430;top:871;height:398;width:2;" coordorigin="4430,871" coordsize="2,398"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430;top:871;height:398;width:2;" filled="f" stroked="t" coordsize="2,398" o:gfxdata="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4vSW5AAAA3AAA&#10;AA8AAAAAAAAAAQAgAAAAIgAAAGRycy9kb3ducmV2LnhtbFBLAQIUABQAAAAIAIdO4kAzLwWeOwAA&#10;ADkAAAAQAAAAAAAAAAEAIAAAAAgBAABkcnMvc2hhcGV4bWwueG1sUEsFBgAAAAAGAAYAWwEAALID&#10;AAAAAA==&#10;" path="m2,398l0,0e">
                          <v:fill on="f" focussize="0,0"/>
                          <v:stroke weight="0.5pt" color="#050505" joinstyle="round"/>
                          <v:imagedata o:title=""/>
                          <o:lock v:ext="edit" aspectratio="f"/>
                        </v:shape>
                        <v:shape id="_x0000_s1026" o:spid="_x0000_s1026" o:spt="202" type="#_x0000_t202" style="position:absolute;left:2084;top:1270;height:518;width:1222;"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0"/>
                                  <w:ind w:left="188" w:right="0" w:firstLine="0"/>
                                  <w:jc w:val="left"/>
                                  <w:rPr>
                                    <w:rFonts w:hint="default" w:ascii="宋体" w:hAnsi="宋体" w:eastAsia="宋体" w:cs="宋体"/>
                                    <w:sz w:val="21"/>
                                    <w:szCs w:val="21"/>
                                  </w:rPr>
                                </w:pPr>
                                <w:r>
                                  <w:rPr>
                                    <w:rFonts w:hint="default" w:ascii="宋体" w:hAnsi="宋体" w:eastAsia="宋体" w:cs="宋体"/>
                                    <w:sz w:val="21"/>
                                    <w:szCs w:val="21"/>
                                  </w:rPr>
                                  <w:t>基础工程</w:t>
                                </w:r>
                              </w:p>
                            </w:txbxContent>
                          </v:textbox>
                        </v:shape>
                        <v:shape id="_x0000_s1026" o:spid="_x0000_s1026" o:spt="202" type="#_x0000_t202" style="position:absolute;left:3804;top:1270;height:518;width:1256;"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8"/>
                                  <w:ind w:left="206" w:right="0" w:firstLine="0"/>
                                  <w:jc w:val="left"/>
                                  <w:rPr>
                                    <w:rFonts w:hint="default" w:ascii="宋体" w:hAnsi="宋体" w:eastAsia="宋体" w:cs="宋体"/>
                                    <w:sz w:val="21"/>
                                    <w:szCs w:val="21"/>
                                  </w:rPr>
                                </w:pPr>
                                <w:r>
                                  <w:rPr>
                                    <w:rFonts w:hint="default" w:ascii="宋体" w:hAnsi="宋体" w:eastAsia="宋体" w:cs="宋体"/>
                                    <w:sz w:val="21"/>
                                    <w:szCs w:val="21"/>
                                  </w:rPr>
                                  <w:t>主体工程</w:t>
                                </w:r>
                              </w:p>
                            </w:txbxContent>
                          </v:textbox>
                        </v:shape>
                        <v:shape id="_x0000_s1026" o:spid="_x0000_s1026" o:spt="202" type="#_x0000_t202" style="position:absolute;left:5570;top:1270;height:518;width:1229;"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8"/>
                                  <w:ind w:left="194" w:right="0" w:firstLine="0"/>
                                  <w:jc w:val="left"/>
                                  <w:rPr>
                                    <w:rFonts w:hint="default" w:ascii="宋体" w:hAnsi="宋体" w:eastAsia="宋体" w:cs="宋体"/>
                                    <w:sz w:val="21"/>
                                    <w:szCs w:val="21"/>
                                  </w:rPr>
                                </w:pPr>
                                <w:r>
                                  <w:rPr>
                                    <w:rFonts w:hint="default" w:ascii="宋体" w:hAnsi="宋体" w:eastAsia="宋体" w:cs="宋体"/>
                                    <w:sz w:val="21"/>
                                    <w:szCs w:val="21"/>
                                  </w:rPr>
                                  <w:t>装饰工程</w:t>
                                </w:r>
                              </w:p>
                            </w:txbxContent>
                          </v:textbox>
                        </v:shape>
                        <v:shape id="_x0000_s1026" o:spid="_x0000_s1026" o:spt="202" type="#_x0000_t202" style="position:absolute;left:7343;top:1270;height:518;width:1180;"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0"/>
                                  <w:ind w:left="171" w:right="0" w:firstLine="0"/>
                                  <w:jc w:val="left"/>
                                  <w:rPr>
                                    <w:rFonts w:hint="default" w:ascii="宋体" w:hAnsi="宋体" w:eastAsia="宋体" w:cs="宋体"/>
                                    <w:sz w:val="21"/>
                                    <w:szCs w:val="21"/>
                                  </w:rPr>
                                </w:pPr>
                                <w:r>
                                  <w:rPr>
                                    <w:rFonts w:hint="default" w:ascii="宋体" w:hAnsi="宋体" w:eastAsia="宋体" w:cs="宋体"/>
                                    <w:sz w:val="21"/>
                                    <w:szCs w:val="21"/>
                                  </w:rPr>
                                  <w:t>设备安装</w:t>
                                </w:r>
                              </w:p>
                            </w:txbxContent>
                          </v:textbox>
                        </v:shape>
                        <v:shape id="_x0000_s1026" o:spid="_x0000_s1026" o:spt="202" type="#_x0000_t202" style="position:absolute;left:8944;top:1273;height:516;width:1001;" filled="f" stroked="t" coordsize="21600,21600" o:gfxdata="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pG4&#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inset="0mm,0mm,0mm,0mm">
                            <w:txbxContent>
                              <w:p>
                                <w:pPr>
                                  <w:spacing w:before="92"/>
                                  <w:ind w:left="286" w:right="0" w:firstLine="0"/>
                                  <w:jc w:val="left"/>
                                  <w:rPr>
                                    <w:rFonts w:hint="default" w:ascii="宋体" w:hAnsi="宋体" w:eastAsia="宋体" w:cs="宋体"/>
                                    <w:sz w:val="21"/>
                                    <w:szCs w:val="21"/>
                                  </w:rPr>
                                </w:pPr>
                                <w:r>
                                  <w:rPr>
                                    <w:rFonts w:hint="default" w:ascii="宋体" w:hAnsi="宋体" w:eastAsia="宋体" w:cs="宋体"/>
                                    <w:sz w:val="21"/>
                                    <w:szCs w:val="21"/>
                                  </w:rPr>
                                  <w:t>调试</w:t>
                                </w:r>
                              </w:p>
                            </w:txbxContent>
                          </v:textbox>
                        </v:shape>
                        <v:shape id="_x0000_s1026" o:spid="_x0000_s1026" o:spt="202" type="#_x0000_t202" style="position:absolute;left:8788;top:2225;height:448;width:1322;" filled="f" stroked="t" coordsize="21600,21600" o:gfxdata="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aAP&#10;z8EAAADcAAAADwAAAAAAAAABACAAAAAiAAAAZHJzL2Rvd25yZXYueG1sUEsBAhQAFAAAAAgAh07i&#10;QDMvBZ47AAAAOQAAABAAAAAAAAAAAQAgAAAAEAEAAGRycy9zaGFwZXhtbC54bWxQSwUGAAAAAAYA&#10;BgBbAQAAugMAAAAA&#10;">
                          <v:fill on="f" focussize="0,0"/>
                          <v:stroke weight="0.5pt" color="#000000" joinstyle="miter"/>
                          <v:imagedata o:title=""/>
                          <o:lock v:ext="edit" aspectratio="f"/>
                          <v:textbox inset="0mm,0mm,0mm,0mm">
                            <w:txbxContent>
                              <w:p>
                                <w:pPr>
                                  <w:spacing w:before="93"/>
                                  <w:ind w:left="235" w:right="0" w:firstLine="0"/>
                                  <w:jc w:val="left"/>
                                  <w:rPr>
                                    <w:rFonts w:hint="default" w:ascii="宋体" w:hAnsi="宋体" w:eastAsia="宋体" w:cs="宋体"/>
                                    <w:sz w:val="21"/>
                                    <w:szCs w:val="21"/>
                                  </w:rPr>
                                </w:pPr>
                                <w:r>
                                  <w:rPr>
                                    <w:rFonts w:hint="default" w:ascii="宋体" w:hAnsi="宋体" w:eastAsia="宋体" w:cs="宋体"/>
                                    <w:sz w:val="21"/>
                                    <w:szCs w:val="21"/>
                                  </w:rPr>
                                  <w:t>运行使用</w:t>
                                </w:r>
                              </w:p>
                            </w:txbxContent>
                          </v:textbox>
                        </v:shape>
                      </v:group>
                    </v:group>
                  </w:pict>
                </mc:Fallback>
              </mc:AlternateContent>
            </w:r>
          </w:p>
          <w:p>
            <w:pPr>
              <w:pStyle w:val="21"/>
              <w:ind w:left="0" w:leftChars="0" w:firstLine="0" w:firstLineChars="0"/>
              <w:rPr>
                <w:u w:val="none"/>
              </w:rPr>
            </w:pPr>
          </w:p>
          <w:p>
            <w:pPr>
              <w:ind w:firstLine="482"/>
              <w:jc w:val="center"/>
              <w:rPr>
                <w:b/>
                <w:bCs/>
                <w:u w:val="none"/>
              </w:rPr>
            </w:pPr>
          </w:p>
          <w:p>
            <w:pPr>
              <w:ind w:firstLine="482"/>
              <w:jc w:val="center"/>
              <w:rPr>
                <w:b/>
                <w:bCs/>
                <w:u w:val="none"/>
              </w:rPr>
            </w:pPr>
            <w:r>
              <w:rPr>
                <w:sz w:val="21"/>
              </w:rPr>
              <mc:AlternateContent>
                <mc:Choice Requires="wps">
                  <w:drawing>
                    <wp:anchor distT="0" distB="0" distL="114300" distR="114300" simplePos="0" relativeHeight="3777120256" behindDoc="0" locked="0" layoutInCell="1" allowOverlap="1">
                      <wp:simplePos x="0" y="0"/>
                      <wp:positionH relativeFrom="column">
                        <wp:posOffset>4958715</wp:posOffset>
                      </wp:positionH>
                      <wp:positionV relativeFrom="paragraph">
                        <wp:posOffset>154940</wp:posOffset>
                      </wp:positionV>
                      <wp:extent cx="635" cy="274955"/>
                      <wp:effectExtent l="37465" t="0" r="38100" b="10795"/>
                      <wp:wrapNone/>
                      <wp:docPr id="31" name="直接箭头连接符 31"/>
                      <wp:cNvGraphicFramePr/>
                      <a:graphic xmlns:a="http://schemas.openxmlformats.org/drawingml/2006/main">
                        <a:graphicData uri="http://schemas.microsoft.com/office/word/2010/wordprocessingShape">
                          <wps:wsp>
                            <wps:cNvCnPr/>
                            <wps:spPr>
                              <a:xfrm>
                                <a:off x="5422265" y="4178300"/>
                                <a:ext cx="635" cy="274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0.45pt;margin-top:12.2pt;height:21.65pt;width:0.05pt;z-index:-517847040;mso-width-relative:page;mso-height-relative:page;" filled="f" stroked="t" coordsize="21600,21600" o:gfxdata="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EwAC2gAAAAkBAAAPAAAAAAAAAAEAIAAA&#10;ACIAAABkcnMvZG93bnJldi54bWxQSwECFAAUAAAACACHTuJAW1klOQoCAADZAwAADgAAAAAAAAAB&#10;ACAAAAApAQAAZHJzL2Uyb0RvYy54bWxQSwUGAAAAAAYABgBZAQAApQUAAAAA&#10;">
                      <v:fill on="f" focussize="0,0"/>
                      <v:stroke color="#000000 [3213]" joinstyle="round" endarrow="block"/>
                      <v:imagedata o:title=""/>
                      <o:lock v:ext="edit" aspectratio="f"/>
                    </v:shape>
                  </w:pict>
                </mc:Fallback>
              </mc:AlternateContent>
            </w:r>
          </w:p>
          <w:p>
            <w:pPr>
              <w:spacing w:before="0" w:line="333" w:lineRule="auto"/>
              <w:ind w:left="712" w:right="-13" w:firstLine="0"/>
              <w:jc w:val="left"/>
              <w:rPr>
                <w:rFonts w:hint="default" w:ascii="宋体" w:hAnsi="宋体" w:eastAsia="宋体" w:cs="宋体"/>
                <w:spacing w:val="-1"/>
                <w:sz w:val="21"/>
                <w:szCs w:val="21"/>
              </w:rPr>
            </w:pPr>
          </w:p>
          <w:p>
            <w:pPr>
              <w:spacing w:before="0" w:line="333" w:lineRule="auto"/>
              <w:ind w:left="712" w:right="-13" w:firstLine="0"/>
              <w:jc w:val="left"/>
              <w:rPr>
                <w:rFonts w:hint="default" w:ascii="宋体" w:hAnsi="宋体" w:eastAsia="宋体" w:cs="宋体"/>
                <w:spacing w:val="-1"/>
                <w:sz w:val="21"/>
                <w:szCs w:val="21"/>
              </w:rPr>
            </w:pPr>
            <w:r>
              <w:rPr>
                <w:rFonts w:hint="default" w:ascii="宋体" w:hAnsi="宋体" w:eastAsia="宋体" w:cs="宋体"/>
                <w:spacing w:val="-1"/>
                <w:sz w:val="21"/>
                <w:szCs w:val="21"/>
              </w:rPr>
              <w:t>施工废水</w:t>
            </w:r>
            <w:r>
              <w:rPr>
                <w:rFonts w:hint="default"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default" w:ascii="宋体" w:hAnsi="宋体" w:eastAsia="宋体" w:cs="宋体"/>
                <w:spacing w:val="-1"/>
                <w:sz w:val="21"/>
                <w:szCs w:val="21"/>
              </w:rPr>
              <w:t>建筑垃圾</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建筑垃圾</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建筑垃圾</w:t>
            </w:r>
          </w:p>
          <w:p>
            <w:pPr>
              <w:spacing w:before="0" w:line="333" w:lineRule="auto"/>
              <w:ind w:left="712" w:right="-13" w:firstLine="0"/>
              <w:jc w:val="left"/>
              <w:rPr>
                <w:rFonts w:hint="default" w:ascii="宋体" w:hAnsi="宋体" w:eastAsia="宋体" w:cs="宋体"/>
                <w:spacing w:val="-1"/>
                <w:sz w:val="21"/>
                <w:szCs w:val="21"/>
              </w:rPr>
            </w:pPr>
            <w:r>
              <w:rPr>
                <w:rFonts w:hint="default" w:ascii="宋体" w:hAnsi="宋体" w:eastAsia="宋体" w:cs="宋体"/>
                <w:spacing w:val="-1"/>
                <w:sz w:val="21"/>
                <w:szCs w:val="21"/>
              </w:rPr>
              <w:t>生活污水</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施工废水</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施工废水</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生活垃圾</w:t>
            </w:r>
          </w:p>
          <w:p>
            <w:pPr>
              <w:spacing w:before="0" w:line="333" w:lineRule="auto"/>
              <w:ind w:left="712" w:right="-13" w:firstLine="0"/>
              <w:jc w:val="left"/>
              <w:rPr>
                <w:rFonts w:hint="default" w:ascii="宋体" w:hAnsi="宋体" w:eastAsia="宋体" w:cs="宋体"/>
                <w:spacing w:val="-1"/>
                <w:sz w:val="21"/>
                <w:szCs w:val="21"/>
              </w:rPr>
            </w:pPr>
            <w:r>
              <w:rPr>
                <w:rFonts w:hint="default" w:ascii="宋体" w:hAnsi="宋体" w:eastAsia="宋体" w:cs="宋体"/>
                <w:spacing w:val="-1"/>
                <w:sz w:val="21"/>
                <w:szCs w:val="21"/>
              </w:rPr>
              <w:t xml:space="preserve">  </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生活污水</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生活污水</w:t>
            </w:r>
            <w:r>
              <w:rPr>
                <w:rFonts w:hint="eastAsia" w:ascii="宋体" w:hAnsi="宋体" w:eastAsia="宋体" w:cs="宋体"/>
                <w:spacing w:val="-1"/>
                <w:sz w:val="21"/>
                <w:szCs w:val="21"/>
                <w:lang w:val="en-US" w:eastAsia="zh-CN"/>
              </w:rPr>
              <w:t xml:space="preserve">         </w:t>
            </w:r>
            <w:r>
              <w:rPr>
                <w:rFonts w:hint="default" w:ascii="宋体" w:hAnsi="宋体" w:eastAsia="宋体" w:cs="宋体"/>
                <w:spacing w:val="-1"/>
                <w:sz w:val="21"/>
                <w:szCs w:val="21"/>
              </w:rPr>
              <w:t>生活污水</w:t>
            </w:r>
          </w:p>
          <w:p>
            <w:pPr>
              <w:spacing w:line="360" w:lineRule="auto"/>
              <w:jc w:val="center"/>
              <w:rPr>
                <w:rFonts w:hint="eastAsia"/>
                <w:sz w:val="24"/>
                <w:lang w:val="en-US" w:eastAsia="zh-CN"/>
              </w:rPr>
            </w:pPr>
            <w:bookmarkStart w:id="35" w:name="3.3项目施工期污染源分析"/>
            <w:bookmarkEnd w:id="35"/>
            <w:r>
              <w:rPr>
                <w:rFonts w:hint="default" w:ascii="Times New Roman" w:hAnsi="Times New Roman" w:cs="Times New Roman"/>
                <w:b/>
                <w:bCs/>
                <w:u w:val="none"/>
              </w:rPr>
              <w:t>图</w:t>
            </w:r>
            <w:r>
              <w:rPr>
                <w:rFonts w:hint="eastAsia" w:cs="Times New Roman"/>
                <w:b/>
                <w:bCs/>
                <w:u w:val="none"/>
                <w:lang w:val="en-US" w:eastAsia="zh-CN"/>
              </w:rPr>
              <w:t>5</w:t>
            </w:r>
            <w:r>
              <w:rPr>
                <w:rFonts w:hint="eastAsia" w:ascii="Times New Roman" w:hAnsi="Times New Roman" w:cs="Times New Roman"/>
                <w:b/>
                <w:bCs/>
                <w:u w:val="none"/>
                <w:lang w:val="en-US" w:eastAsia="zh-CN"/>
              </w:rPr>
              <w:t>-1</w:t>
            </w:r>
            <w:r>
              <w:rPr>
                <w:rFonts w:hint="default" w:ascii="Times New Roman" w:hAnsi="Times New Roman" w:cs="Times New Roman"/>
                <w:b/>
                <w:bCs/>
                <w:u w:val="none"/>
              </w:rPr>
              <w:t xml:space="preserve"> </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rPr>
              <w:t>施工期工艺流程及产污图</w:t>
            </w:r>
            <w:r>
              <w:rPr>
                <w:rFonts w:hint="eastAsia"/>
                <w:sz w:val="24"/>
                <w:lang w:val="en-US" w:eastAsia="zh-CN"/>
              </w:rPr>
              <w:t>。</w:t>
            </w:r>
          </w:p>
          <w:p>
            <w:pPr>
              <w:adjustRightInd w:val="0"/>
              <w:snapToGrid w:val="0"/>
              <w:spacing w:line="360" w:lineRule="auto"/>
              <w:ind w:firstLine="482" w:firstLineChars="200"/>
              <w:rPr>
                <w:rFonts w:hint="eastAsia" w:ascii="Times New Roman" w:hAnsi="Times New Roman" w:cs="Times New Roman"/>
                <w:color w:val="000000"/>
                <w:sz w:val="24"/>
                <w:lang w:val="en-US" w:eastAsia="zh-CN"/>
              </w:rPr>
            </w:pPr>
            <w:r>
              <w:rPr>
                <w:rFonts w:hint="eastAsia" w:ascii="Times New Roman" w:hAnsi="Times New Roman" w:cs="Times New Roman"/>
                <w:b/>
                <w:bCs/>
                <w:color w:val="000000"/>
                <w:sz w:val="24"/>
                <w:lang w:val="en-US" w:eastAsia="zh-CN"/>
              </w:rPr>
              <w:t>施工期污染源强分析</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w:t>
            </w:r>
            <w:r>
              <w:rPr>
                <w:rFonts w:hint="default" w:ascii="Times New Roman" w:hAnsi="Times New Roman" w:cs="Times New Roman"/>
                <w:color w:val="000000"/>
                <w:sz w:val="24"/>
                <w:lang w:val="en-US" w:eastAsia="zh-CN"/>
              </w:rPr>
              <w:t>废水</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本项目施工期水污染源主要包括施工生活污水和施工废水。</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（1）生活污水</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施工生活污水包括粪便污水、清洗污水等，其主要污染因子为COD、BOD</w:t>
            </w:r>
            <w:r>
              <w:rPr>
                <w:rFonts w:hint="default" w:ascii="Times New Roman" w:hAnsi="Times New Roman" w:cs="Times New Roman"/>
                <w:color w:val="000000"/>
                <w:sz w:val="24"/>
                <w:vertAlign w:val="subscript"/>
                <w:lang w:val="en-US" w:eastAsia="zh-CN"/>
              </w:rPr>
              <w:t>5</w:t>
            </w:r>
            <w:r>
              <w:rPr>
                <w:rFonts w:hint="default" w:ascii="Times New Roman" w:hAnsi="Times New Roman" w:cs="Times New Roman"/>
                <w:color w:val="000000"/>
                <w:sz w:val="24"/>
                <w:lang w:val="en-US" w:eastAsia="zh-CN"/>
              </w:rPr>
              <w:t>、NH</w:t>
            </w:r>
            <w:r>
              <w:rPr>
                <w:rFonts w:hint="default" w:ascii="Times New Roman" w:hAnsi="Times New Roman" w:cs="Times New Roman"/>
                <w:color w:val="000000"/>
                <w:sz w:val="24"/>
                <w:vertAlign w:val="subscript"/>
                <w:lang w:val="en-US" w:eastAsia="zh-CN"/>
              </w:rPr>
              <w:t>3</w:t>
            </w:r>
            <w:r>
              <w:rPr>
                <w:rFonts w:hint="default" w:ascii="Times New Roman" w:hAnsi="Times New Roman" w:cs="Times New Roman"/>
                <w:color w:val="000000"/>
                <w:sz w:val="24"/>
                <w:lang w:val="en-US" w:eastAsia="zh-CN"/>
              </w:rPr>
              <w:t>-N、SS和TP，其中以粪便污水中的污染物数量最高。</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生活污水量以</w:t>
            </w:r>
            <w:r>
              <w:rPr>
                <w:rFonts w:hint="eastAsia" w:ascii="Times New Roman" w:hAnsi="Times New Roman" w:cs="Times New Roman"/>
                <w:color w:val="000000"/>
                <w:sz w:val="24"/>
                <w:lang w:val="en-US" w:eastAsia="zh-CN"/>
              </w:rPr>
              <w:t>80</w:t>
            </w:r>
            <w:r>
              <w:rPr>
                <w:rFonts w:hint="default" w:ascii="Times New Roman" w:hAnsi="Times New Roman" w:cs="Times New Roman"/>
                <w:color w:val="000000"/>
                <w:sz w:val="24"/>
                <w:lang w:val="en-US" w:eastAsia="zh-CN"/>
              </w:rPr>
              <w:t>L/人·天计，根据本项目的性质和规模，类比同类工程的情况，初步估计该项目的施工人员在</w:t>
            </w:r>
            <w:r>
              <w:rPr>
                <w:rFonts w:hint="eastAsia" w:ascii="Times New Roman" w:hAnsi="Times New Roman" w:cs="Times New Roman"/>
                <w:color w:val="000000"/>
                <w:sz w:val="24"/>
                <w:lang w:val="en-US" w:eastAsia="zh-CN"/>
              </w:rPr>
              <w:t>100</w:t>
            </w:r>
            <w:r>
              <w:rPr>
                <w:rFonts w:hint="default" w:ascii="Times New Roman" w:hAnsi="Times New Roman" w:cs="Times New Roman"/>
                <w:color w:val="000000"/>
                <w:sz w:val="24"/>
                <w:lang w:val="en-US" w:eastAsia="zh-CN"/>
              </w:rPr>
              <w:t>人左右，故总生活污水产生量为</w:t>
            </w:r>
            <w:r>
              <w:rPr>
                <w:rFonts w:hint="eastAsia" w:ascii="Times New Roman" w:hAnsi="Times New Roman" w:cs="Times New Roman"/>
                <w:color w:val="000000"/>
                <w:sz w:val="24"/>
                <w:lang w:val="en-US" w:eastAsia="zh-CN"/>
              </w:rPr>
              <w:t>8</w:t>
            </w:r>
            <w:r>
              <w:rPr>
                <w:rFonts w:hint="default" w:ascii="Times New Roman" w:hAnsi="Times New Roman" w:cs="Times New Roman"/>
                <w:color w:val="000000"/>
                <w:sz w:val="24"/>
                <w:lang w:val="en-US" w:eastAsia="zh-CN"/>
              </w:rPr>
              <w:t>t/d。</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生活污水中的主要污染物及其含量一般为：COD350mg/L、BOD</w:t>
            </w:r>
            <w:r>
              <w:rPr>
                <w:rFonts w:hint="default" w:ascii="Times New Roman" w:hAnsi="Times New Roman" w:cs="Times New Roman"/>
                <w:color w:val="000000"/>
                <w:sz w:val="24"/>
                <w:vertAlign w:val="subscript"/>
                <w:lang w:val="en-US" w:eastAsia="zh-CN"/>
              </w:rPr>
              <w:t>5</w:t>
            </w:r>
            <w:r>
              <w:rPr>
                <w:rFonts w:hint="default" w:ascii="Times New Roman" w:hAnsi="Times New Roman" w:cs="Times New Roman"/>
                <w:color w:val="000000"/>
                <w:sz w:val="24"/>
                <w:lang w:val="en-US" w:eastAsia="zh-CN"/>
              </w:rPr>
              <w:t>160mg/L</w:t>
            </w:r>
            <w:r>
              <w:rPr>
                <w:rFonts w:hint="eastAsia" w:ascii="Times New Roman" w:hAnsi="Times New Roman" w:cs="Times New Roman"/>
                <w:color w:val="000000"/>
                <w:sz w:val="24"/>
                <w:lang w:val="en-US" w:eastAsia="zh-CN"/>
              </w:rPr>
              <w:t>、</w:t>
            </w:r>
            <w:r>
              <w:rPr>
                <w:rFonts w:hint="default" w:ascii="Times New Roman" w:hAnsi="Times New Roman" w:cs="Times New Roman"/>
                <w:color w:val="000000"/>
                <w:sz w:val="24"/>
                <w:lang w:val="en-US" w:eastAsia="zh-CN"/>
              </w:rPr>
              <w:t>NH</w:t>
            </w:r>
            <w:r>
              <w:rPr>
                <w:rFonts w:hint="default" w:ascii="Times New Roman" w:hAnsi="Times New Roman" w:cs="Times New Roman"/>
                <w:color w:val="000000"/>
                <w:sz w:val="24"/>
                <w:vertAlign w:val="subscript"/>
                <w:lang w:val="en-US" w:eastAsia="zh-CN"/>
              </w:rPr>
              <w:t>3</w:t>
            </w:r>
            <w:r>
              <w:rPr>
                <w:rFonts w:hint="default" w:ascii="Times New Roman" w:hAnsi="Times New Roman" w:cs="Times New Roman"/>
                <w:color w:val="000000"/>
                <w:sz w:val="24"/>
                <w:lang w:val="en-US" w:eastAsia="zh-CN"/>
              </w:rPr>
              <w:t>-N30mg/L、SS230mg/L、TP3mg/L。</w:t>
            </w:r>
            <w:r>
              <w:rPr>
                <w:rFonts w:hint="eastAsia" w:ascii="Times New Roman" w:hAnsi="Times New Roman" w:cs="Times New Roman"/>
                <w:color w:val="000000"/>
                <w:sz w:val="24"/>
                <w:lang w:val="en-US" w:eastAsia="zh-CN"/>
              </w:rPr>
              <w:t>环评要求施工期生活废水采用化粪池处理后排入高新区污水管网，</w:t>
            </w:r>
            <w:r>
              <w:rPr>
                <w:rFonts w:hint="default" w:ascii="Times New Roman" w:hAnsi="Times New Roman" w:cs="Times New Roman"/>
                <w:color w:val="000000"/>
                <w:sz w:val="24"/>
                <w:lang w:val="en-US" w:eastAsia="zh-CN"/>
              </w:rPr>
              <w:t>本项目施工周期</w:t>
            </w:r>
            <w:r>
              <w:rPr>
                <w:rFonts w:hint="eastAsia" w:ascii="Times New Roman" w:hAnsi="Times New Roman" w:cs="Times New Roman"/>
                <w:color w:val="000000"/>
                <w:sz w:val="24"/>
                <w:lang w:val="en-US" w:eastAsia="zh-CN"/>
              </w:rPr>
              <w:t>总共</w:t>
            </w:r>
            <w:r>
              <w:rPr>
                <w:rFonts w:hint="default" w:ascii="Times New Roman" w:hAnsi="Times New Roman" w:cs="Times New Roman"/>
                <w:color w:val="000000"/>
                <w:sz w:val="24"/>
                <w:lang w:val="en-US" w:eastAsia="zh-CN"/>
              </w:rPr>
              <w:t>为</w:t>
            </w:r>
            <w:r>
              <w:rPr>
                <w:rFonts w:hint="eastAsia" w:ascii="Times New Roman" w:hAnsi="Times New Roman" w:cs="Times New Roman"/>
                <w:color w:val="000000"/>
                <w:sz w:val="24"/>
                <w:lang w:val="en-US" w:eastAsia="zh-CN"/>
              </w:rPr>
              <w:t>12个月</w:t>
            </w:r>
            <w:r>
              <w:rPr>
                <w:rFonts w:hint="default" w:ascii="Times New Roman" w:hAnsi="Times New Roman" w:cs="Times New Roman"/>
                <w:color w:val="000000"/>
                <w:sz w:val="24"/>
                <w:lang w:val="en-US" w:eastAsia="zh-CN"/>
              </w:rPr>
              <w:t>，年施工天数以300天计，则建设项目施工阶段</w:t>
            </w:r>
            <w:r>
              <w:rPr>
                <w:rFonts w:hint="eastAsia" w:ascii="Times New Roman" w:hAnsi="Times New Roman" w:cs="Times New Roman"/>
                <w:color w:val="000000"/>
                <w:sz w:val="24"/>
                <w:lang w:val="en-US" w:eastAsia="zh-CN"/>
              </w:rPr>
              <w:t>生活污水</w:t>
            </w:r>
            <w:r>
              <w:rPr>
                <w:rFonts w:hint="default" w:ascii="Times New Roman" w:hAnsi="Times New Roman" w:cs="Times New Roman"/>
                <w:color w:val="000000"/>
                <w:sz w:val="24"/>
                <w:lang w:val="en-US" w:eastAsia="zh-CN"/>
              </w:rPr>
              <w:t>的主要污染物及其</w:t>
            </w:r>
            <w:r>
              <w:rPr>
                <w:rFonts w:hint="eastAsia" w:ascii="Times New Roman" w:hAnsi="Times New Roman" w:cs="Times New Roman"/>
                <w:color w:val="000000"/>
                <w:sz w:val="24"/>
                <w:lang w:val="en-US" w:eastAsia="zh-CN"/>
              </w:rPr>
              <w:t>产排放情况</w:t>
            </w:r>
            <w:r>
              <w:rPr>
                <w:rFonts w:hint="default" w:ascii="Times New Roman" w:hAnsi="Times New Roman" w:cs="Times New Roman"/>
                <w:color w:val="000000"/>
                <w:sz w:val="24"/>
                <w:lang w:val="en-US" w:eastAsia="zh-CN"/>
              </w:rPr>
              <w:t>见表</w:t>
            </w:r>
            <w:r>
              <w:rPr>
                <w:rFonts w:hint="eastAsia" w:cs="Times New Roman"/>
                <w:color w:val="000000"/>
                <w:sz w:val="24"/>
                <w:lang w:val="en-US" w:eastAsia="zh-CN"/>
              </w:rPr>
              <w:t>5-1</w:t>
            </w:r>
            <w:r>
              <w:rPr>
                <w:rFonts w:hint="default" w:ascii="Times New Roman" w:hAnsi="Times New Roman" w:cs="Times New Roman"/>
                <w:color w:val="000000"/>
                <w:sz w:val="24"/>
                <w:lang w:val="en-US" w:eastAsia="zh-CN"/>
              </w:rPr>
              <w:t>。</w:t>
            </w:r>
          </w:p>
          <w:p>
            <w:pPr>
              <w:adjustRightInd w:val="0"/>
              <w:snapToGrid w:val="0"/>
              <w:spacing w:line="360" w:lineRule="auto"/>
              <w:jc w:val="center"/>
              <w:rPr>
                <w:rFonts w:hint="eastAsia" w:ascii="Times New Roman" w:hAnsi="Times New Roman" w:cs="Times New Roman"/>
                <w:b/>
                <w:szCs w:val="24"/>
                <w:lang w:val="en-US" w:eastAsia="zh-CN"/>
              </w:rPr>
            </w:pPr>
            <w:r>
              <w:rPr>
                <w:rFonts w:hint="eastAsia" w:ascii="Times New Roman" w:hAnsi="Times New Roman" w:cs="Times New Roman"/>
                <w:b/>
                <w:szCs w:val="24"/>
                <w:lang w:val="en-US" w:eastAsia="zh-CN"/>
              </w:rPr>
              <w:t>表</w:t>
            </w:r>
            <w:r>
              <w:rPr>
                <w:rFonts w:hint="eastAsia" w:cs="Times New Roman"/>
                <w:b/>
                <w:szCs w:val="24"/>
                <w:lang w:val="en-US" w:eastAsia="zh-CN"/>
              </w:rPr>
              <w:t>5-1</w:t>
            </w:r>
            <w:r>
              <w:rPr>
                <w:rFonts w:hint="eastAsia" w:ascii="Times New Roman" w:hAnsi="Times New Roman" w:cs="Times New Roman"/>
                <w:b/>
                <w:szCs w:val="24"/>
                <w:lang w:val="en-US" w:eastAsia="zh-CN"/>
              </w:rPr>
              <w:t xml:space="preserve">  施工期生活污水主要污染物及其产生量</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63"/>
              <w:gridCol w:w="1843"/>
              <w:gridCol w:w="1485"/>
              <w:gridCol w:w="1763"/>
              <w:gridCol w:w="14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4" w:hRule="atLeast"/>
                <w:jc w:val="center"/>
              </w:trPr>
              <w:tc>
                <w:tcPr>
                  <w:tcW w:w="2091"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主要污染物名称</w:t>
                  </w:r>
                </w:p>
              </w:tc>
              <w:tc>
                <w:tcPr>
                  <w:tcW w:w="1868"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产生</w:t>
                  </w:r>
                  <w:r>
                    <w:rPr>
                      <w:rFonts w:hint="default" w:ascii="Times New Roman" w:hAnsi="Times New Roman" w:cs="Times New Roman"/>
                      <w:b/>
                      <w:bCs/>
                      <w:kern w:val="0"/>
                      <w:sz w:val="21"/>
                      <w:szCs w:val="21"/>
                      <w:lang w:val="en-US" w:eastAsia="zh-CN"/>
                    </w:rPr>
                    <w:t>浓度</w:t>
                  </w:r>
                  <w:r>
                    <w:rPr>
                      <w:rFonts w:hint="eastAsia" w:ascii="Times New Roman" w:hAnsi="Times New Roman" w:cs="Times New Roman"/>
                      <w:b/>
                      <w:bCs/>
                      <w:kern w:val="0"/>
                      <w:sz w:val="21"/>
                      <w:szCs w:val="21"/>
                      <w:lang w:val="en-US" w:eastAsia="zh-CN"/>
                    </w:rPr>
                    <w:t>（</w:t>
                  </w:r>
                  <w:r>
                    <w:rPr>
                      <w:rFonts w:hint="default" w:ascii="Times New Roman" w:hAnsi="Times New Roman" w:cs="Times New Roman"/>
                      <w:b/>
                      <w:bCs/>
                      <w:kern w:val="0"/>
                      <w:sz w:val="21"/>
                      <w:szCs w:val="21"/>
                      <w:lang w:val="en-US" w:eastAsia="zh-CN"/>
                    </w:rPr>
                    <w:t>mg/L</w:t>
                  </w:r>
                  <w:r>
                    <w:rPr>
                      <w:rFonts w:hint="eastAsia" w:ascii="Times New Roman" w:hAnsi="Times New Roman" w:cs="Times New Roman"/>
                      <w:b/>
                      <w:bCs/>
                      <w:kern w:val="0"/>
                      <w:sz w:val="21"/>
                      <w:szCs w:val="21"/>
                      <w:lang w:val="en-US" w:eastAsia="zh-CN"/>
                    </w:rPr>
                    <w:t>）</w:t>
                  </w:r>
                </w:p>
              </w:tc>
              <w:tc>
                <w:tcPr>
                  <w:tcW w:w="150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b/>
                      <w:bCs/>
                      <w:kern w:val="0"/>
                      <w:sz w:val="21"/>
                      <w:szCs w:val="21"/>
                      <w:lang w:val="en-US" w:eastAsia="zh-CN"/>
                    </w:rPr>
                    <w:t>产生量</w:t>
                  </w:r>
                  <w:r>
                    <w:rPr>
                      <w:rFonts w:hint="eastAsia" w:ascii="Times New Roman" w:hAnsi="Times New Roman" w:cs="Times New Roman"/>
                      <w:b/>
                      <w:bCs/>
                      <w:kern w:val="0"/>
                      <w:sz w:val="21"/>
                      <w:szCs w:val="21"/>
                      <w:lang w:val="en-US" w:eastAsia="zh-CN"/>
                    </w:rPr>
                    <w:t>（t）</w:t>
                  </w:r>
                </w:p>
              </w:tc>
              <w:tc>
                <w:tcPr>
                  <w:tcW w:w="1786"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排放浓度（</w:t>
                  </w:r>
                  <w:r>
                    <w:rPr>
                      <w:rFonts w:hint="default" w:ascii="Times New Roman" w:hAnsi="Times New Roman" w:cs="Times New Roman"/>
                      <w:b/>
                      <w:bCs/>
                      <w:kern w:val="0"/>
                      <w:sz w:val="21"/>
                      <w:szCs w:val="21"/>
                      <w:lang w:val="en-US" w:eastAsia="zh-CN"/>
                    </w:rPr>
                    <w:t>mg/L</w:t>
                  </w:r>
                  <w:r>
                    <w:rPr>
                      <w:rFonts w:hint="eastAsia" w:ascii="Times New Roman" w:hAnsi="Times New Roman" w:cs="Times New Roman"/>
                      <w:b/>
                      <w:bCs/>
                      <w:kern w:val="0"/>
                      <w:sz w:val="21"/>
                      <w:szCs w:val="21"/>
                      <w:lang w:val="en-US" w:eastAsia="zh-CN"/>
                    </w:rPr>
                    <w:t>）</w:t>
                  </w:r>
                </w:p>
              </w:tc>
              <w:tc>
                <w:tcPr>
                  <w:tcW w:w="1482"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排放量（t）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9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COD</w:t>
                  </w:r>
                </w:p>
              </w:tc>
              <w:tc>
                <w:tcPr>
                  <w:tcW w:w="186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350</w:t>
                  </w:r>
                </w:p>
              </w:tc>
              <w:tc>
                <w:tcPr>
                  <w:tcW w:w="1504"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1.59</w:t>
                  </w:r>
                </w:p>
              </w:tc>
              <w:tc>
                <w:tcPr>
                  <w:tcW w:w="178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200</w:t>
                  </w:r>
                </w:p>
              </w:tc>
              <w:tc>
                <w:tcPr>
                  <w:tcW w:w="148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9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BOD</w:t>
                  </w:r>
                  <w:r>
                    <w:rPr>
                      <w:rFonts w:hint="eastAsia" w:ascii="Times New Roman" w:hAnsi="Times New Roman" w:cs="Times New Roman"/>
                      <w:kern w:val="0"/>
                      <w:sz w:val="21"/>
                      <w:szCs w:val="21"/>
                      <w:vertAlign w:val="subscript"/>
                      <w:lang w:val="en-US" w:eastAsia="zh-CN"/>
                    </w:rPr>
                    <w:t>5</w:t>
                  </w:r>
                </w:p>
              </w:tc>
              <w:tc>
                <w:tcPr>
                  <w:tcW w:w="186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160</w:t>
                  </w:r>
                </w:p>
              </w:tc>
              <w:tc>
                <w:tcPr>
                  <w:tcW w:w="1504"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0.73</w:t>
                  </w:r>
                </w:p>
              </w:tc>
              <w:tc>
                <w:tcPr>
                  <w:tcW w:w="178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100</w:t>
                  </w:r>
                </w:p>
              </w:tc>
              <w:tc>
                <w:tcPr>
                  <w:tcW w:w="148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9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NH</w:t>
                  </w:r>
                  <w:r>
                    <w:rPr>
                      <w:rFonts w:hint="default" w:ascii="Times New Roman" w:hAnsi="Times New Roman" w:cs="Times New Roman"/>
                      <w:kern w:val="0"/>
                      <w:sz w:val="21"/>
                      <w:szCs w:val="21"/>
                      <w:vertAlign w:val="subscript"/>
                      <w:lang w:val="en-US" w:eastAsia="zh-CN"/>
                    </w:rPr>
                    <w:t>3</w:t>
                  </w:r>
                  <w:r>
                    <w:rPr>
                      <w:rFonts w:hint="default" w:ascii="Times New Roman" w:hAnsi="Times New Roman" w:cs="Times New Roman"/>
                      <w:kern w:val="0"/>
                      <w:sz w:val="21"/>
                      <w:szCs w:val="21"/>
                      <w:lang w:val="en-US" w:eastAsia="zh-CN"/>
                    </w:rPr>
                    <w:t>-N</w:t>
                  </w:r>
                </w:p>
              </w:tc>
              <w:tc>
                <w:tcPr>
                  <w:tcW w:w="186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30</w:t>
                  </w:r>
                </w:p>
              </w:tc>
              <w:tc>
                <w:tcPr>
                  <w:tcW w:w="1504"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0.14</w:t>
                  </w:r>
                </w:p>
              </w:tc>
              <w:tc>
                <w:tcPr>
                  <w:tcW w:w="178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25</w:t>
                  </w:r>
                </w:p>
              </w:tc>
              <w:tc>
                <w:tcPr>
                  <w:tcW w:w="148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9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SS</w:t>
                  </w:r>
                </w:p>
              </w:tc>
              <w:tc>
                <w:tcPr>
                  <w:tcW w:w="186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230</w:t>
                  </w:r>
                </w:p>
              </w:tc>
              <w:tc>
                <w:tcPr>
                  <w:tcW w:w="1504"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1.05</w:t>
                  </w:r>
                </w:p>
              </w:tc>
              <w:tc>
                <w:tcPr>
                  <w:tcW w:w="178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150</w:t>
                  </w:r>
                </w:p>
              </w:tc>
              <w:tc>
                <w:tcPr>
                  <w:tcW w:w="148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0.68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09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TP</w:t>
                  </w:r>
                </w:p>
              </w:tc>
              <w:tc>
                <w:tcPr>
                  <w:tcW w:w="1868"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w:t>
                  </w:r>
                </w:p>
              </w:tc>
              <w:tc>
                <w:tcPr>
                  <w:tcW w:w="150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0.01</w:t>
                  </w:r>
                </w:p>
              </w:tc>
              <w:tc>
                <w:tcPr>
                  <w:tcW w:w="178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148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0.009</w:t>
                  </w:r>
                </w:p>
              </w:tc>
            </w:tr>
          </w:tbl>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（2）施工废水</w:t>
            </w:r>
          </w:p>
          <w:p>
            <w:pPr>
              <w:adjustRightInd w:val="0"/>
              <w:snapToGrid w:val="0"/>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施工废水主要是施工期间开挖和钻孔产生的泥浆水、浇注砼后的冲洗水、机械设备运转的冷却水和洗涤水、车辆清洗水等；具有污水量小，泥砂含量高（泥砂含量与施工机械、工程性质及工程进度等有关，一般含量为</w:t>
            </w:r>
            <w:r>
              <w:rPr>
                <w:rFonts w:hint="eastAsia" w:ascii="Times New Roman" w:hAnsi="Times New Roman" w:cs="Times New Roman"/>
                <w:color w:val="000000"/>
                <w:sz w:val="24"/>
                <w:lang w:val="en-US" w:eastAsia="zh-CN"/>
              </w:rPr>
              <w:t>（</w:t>
            </w:r>
            <w:r>
              <w:rPr>
                <w:rFonts w:hint="default" w:ascii="Times New Roman" w:hAnsi="Times New Roman" w:cs="Times New Roman"/>
                <w:color w:val="000000"/>
                <w:sz w:val="24"/>
                <w:lang w:val="en-US" w:eastAsia="zh-CN"/>
              </w:rPr>
              <w:t>80-120g/L</w:t>
            </w:r>
            <w:r>
              <w:rPr>
                <w:rFonts w:hint="eastAsia" w:ascii="Times New Roman" w:hAnsi="Times New Roman" w:cs="Times New Roman"/>
                <w:color w:val="000000"/>
                <w:sz w:val="24"/>
                <w:lang w:val="en-US" w:eastAsia="zh-CN"/>
              </w:rPr>
              <w:t>）</w:t>
            </w:r>
            <w:r>
              <w:rPr>
                <w:rFonts w:hint="default" w:ascii="Times New Roman" w:hAnsi="Times New Roman" w:cs="Times New Roman"/>
                <w:color w:val="000000"/>
                <w:sz w:val="24"/>
                <w:lang w:val="en-US" w:eastAsia="zh-CN"/>
              </w:rPr>
              <w:t>的特点，且废水含有少量的废机油等污染物。</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据类比调查，建筑类施工废水</w:t>
            </w:r>
            <w:r>
              <w:rPr>
                <w:rFonts w:hint="eastAsia" w:ascii="Times New Roman" w:hAnsi="Times New Roman" w:cs="Times New Roman"/>
                <w:color w:val="000000"/>
                <w:sz w:val="24"/>
                <w:lang w:val="en-US" w:eastAsia="zh-CN"/>
              </w:rPr>
              <w:t>产生</w:t>
            </w:r>
            <w:r>
              <w:rPr>
                <w:rFonts w:hint="default" w:ascii="Times New Roman" w:hAnsi="Times New Roman" w:cs="Times New Roman"/>
                <w:color w:val="000000"/>
                <w:sz w:val="24"/>
                <w:lang w:val="en-US" w:eastAsia="zh-CN"/>
              </w:rPr>
              <w:t>量约为</w:t>
            </w:r>
            <w:r>
              <w:rPr>
                <w:rFonts w:hint="eastAsia" w:ascii="Times New Roman" w:hAnsi="Times New Roman" w:cs="Times New Roman"/>
                <w:color w:val="000000"/>
                <w:sz w:val="24"/>
                <w:lang w:val="en-US" w:eastAsia="zh-CN"/>
              </w:rPr>
              <w:t>1</w:t>
            </w:r>
            <w:r>
              <w:rPr>
                <w:rFonts w:hint="default" w:ascii="Times New Roman" w:hAnsi="Times New Roman" w:cs="Times New Roman"/>
                <w:color w:val="000000"/>
                <w:sz w:val="24"/>
                <w:lang w:val="en-US" w:eastAsia="zh-CN"/>
              </w:rPr>
              <w:t>kg/m</w:t>
            </w:r>
            <w:r>
              <w:rPr>
                <w:rFonts w:hint="default" w:ascii="Times New Roman" w:hAnsi="Times New Roman" w:cs="Times New Roman"/>
                <w:color w:val="000000"/>
                <w:sz w:val="24"/>
                <w:vertAlign w:val="superscript"/>
                <w:lang w:val="en-US" w:eastAsia="zh-CN"/>
              </w:rPr>
              <w:t>2</w:t>
            </w:r>
            <w:r>
              <w:rPr>
                <w:rFonts w:hint="default" w:ascii="Times New Roman" w:hAnsi="Times New Roman" w:cs="Times New Roman"/>
                <w:color w:val="000000"/>
                <w:sz w:val="24"/>
                <w:lang w:val="en-US" w:eastAsia="zh-CN"/>
              </w:rPr>
              <w:t>，即每平方米建筑面积产生的建筑施工废水为</w:t>
            </w:r>
            <w:r>
              <w:rPr>
                <w:rFonts w:hint="eastAsia" w:ascii="Times New Roman" w:hAnsi="Times New Roman" w:cs="Times New Roman"/>
                <w:color w:val="000000"/>
                <w:sz w:val="24"/>
                <w:lang w:val="en-US" w:eastAsia="zh-CN"/>
              </w:rPr>
              <w:t>1</w:t>
            </w:r>
            <w:r>
              <w:rPr>
                <w:rFonts w:hint="default" w:ascii="Times New Roman" w:hAnsi="Times New Roman" w:cs="Times New Roman"/>
                <w:color w:val="000000"/>
                <w:sz w:val="24"/>
                <w:lang w:val="en-US" w:eastAsia="zh-CN"/>
              </w:rPr>
              <w:t>kg，SS浓度为100g/L</w:t>
            </w:r>
            <w:r>
              <w:rPr>
                <w:rFonts w:hint="eastAsia" w:ascii="Times New Roman" w:hAnsi="Times New Roman" w:cs="Times New Roman"/>
                <w:color w:val="000000"/>
                <w:sz w:val="24"/>
                <w:lang w:val="en-US" w:eastAsia="zh-CN"/>
              </w:rPr>
              <w:t>，石油类为20mg/L</w:t>
            </w:r>
            <w:r>
              <w:rPr>
                <w:rFonts w:hint="default" w:ascii="Times New Roman" w:hAnsi="Times New Roman" w:cs="Times New Roman"/>
                <w:color w:val="000000"/>
                <w:sz w:val="24"/>
                <w:lang w:val="en-US" w:eastAsia="zh-CN"/>
              </w:rPr>
              <w:t>。本项目建筑面积为</w:t>
            </w:r>
            <w:r>
              <w:rPr>
                <w:rFonts w:hint="eastAsia" w:ascii="Times New Roman" w:hAnsi="Times New Roman" w:cs="Times New Roman"/>
                <w:color w:val="000000"/>
                <w:sz w:val="24"/>
                <w:lang w:val="en-US" w:eastAsia="zh-CN"/>
              </w:rPr>
              <w:t>34510.35</w:t>
            </w:r>
            <w:r>
              <w:rPr>
                <w:rFonts w:hint="default" w:ascii="Times New Roman" w:hAnsi="Times New Roman" w:cs="Times New Roman"/>
                <w:color w:val="000000"/>
                <w:sz w:val="24"/>
                <w:lang w:val="en-US" w:eastAsia="zh-CN"/>
              </w:rPr>
              <w:t>m</w:t>
            </w:r>
            <w:r>
              <w:rPr>
                <w:rFonts w:hint="default" w:ascii="Times New Roman" w:hAnsi="Times New Roman" w:cs="Times New Roman"/>
                <w:color w:val="000000"/>
                <w:sz w:val="24"/>
                <w:vertAlign w:val="superscript"/>
                <w:lang w:val="en-US" w:eastAsia="zh-CN"/>
              </w:rPr>
              <w:t>2</w:t>
            </w:r>
            <w:r>
              <w:rPr>
                <w:rFonts w:hint="default" w:ascii="Times New Roman" w:hAnsi="Times New Roman" w:cs="Times New Roman"/>
                <w:color w:val="000000"/>
                <w:sz w:val="24"/>
                <w:lang w:val="en-US" w:eastAsia="zh-CN"/>
              </w:rPr>
              <w:t>，则项目施工期间建筑施工废水</w:t>
            </w:r>
            <w:r>
              <w:rPr>
                <w:rFonts w:hint="eastAsia" w:ascii="Times New Roman" w:hAnsi="Times New Roman" w:cs="Times New Roman"/>
                <w:color w:val="000000"/>
                <w:sz w:val="24"/>
                <w:lang w:val="en-US" w:eastAsia="zh-CN"/>
              </w:rPr>
              <w:t>产生</w:t>
            </w:r>
            <w:r>
              <w:rPr>
                <w:rFonts w:hint="default" w:ascii="Times New Roman" w:hAnsi="Times New Roman" w:cs="Times New Roman"/>
                <w:color w:val="000000"/>
                <w:sz w:val="24"/>
                <w:lang w:val="en-US" w:eastAsia="zh-CN"/>
              </w:rPr>
              <w:t>量为</w:t>
            </w:r>
            <w:r>
              <w:rPr>
                <w:rFonts w:hint="eastAsia" w:ascii="Times New Roman" w:hAnsi="Times New Roman" w:cs="Times New Roman"/>
                <w:color w:val="000000"/>
                <w:sz w:val="24"/>
                <w:lang w:val="en-US" w:eastAsia="zh-CN"/>
              </w:rPr>
              <w:t>34.5</w:t>
            </w:r>
            <w:r>
              <w:rPr>
                <w:rFonts w:hint="default" w:ascii="Times New Roman" w:hAnsi="Times New Roman" w:cs="Times New Roman"/>
                <w:color w:val="000000"/>
                <w:sz w:val="24"/>
                <w:lang w:val="en-US" w:eastAsia="zh-CN"/>
              </w:rPr>
              <w:t>吨。</w:t>
            </w:r>
            <w:r>
              <w:rPr>
                <w:rFonts w:hint="eastAsia" w:ascii="Times New Roman" w:hAnsi="Times New Roman" w:cs="Times New Roman"/>
                <w:color w:val="000000"/>
                <w:sz w:val="24"/>
                <w:lang w:val="en-US" w:eastAsia="zh-CN"/>
              </w:rPr>
              <w:t>环评要求施工期应修建施工废水沉淀池，施工废水经沉淀处理后回用于施工场地洒水降尘，不外排。</w:t>
            </w:r>
            <w:r>
              <w:rPr>
                <w:rFonts w:hint="default" w:ascii="Times New Roman" w:hAnsi="Times New Roman" w:cs="Times New Roman"/>
                <w:color w:val="000000"/>
                <w:sz w:val="24"/>
                <w:lang w:val="en-US" w:eastAsia="zh-CN"/>
              </w:rPr>
              <w:t>施工期建筑施工废水</w:t>
            </w:r>
            <w:r>
              <w:rPr>
                <w:rFonts w:hint="eastAsia" w:ascii="Times New Roman" w:hAnsi="Times New Roman" w:cs="Times New Roman"/>
                <w:color w:val="000000"/>
                <w:sz w:val="24"/>
                <w:lang w:val="en-US" w:eastAsia="zh-CN"/>
              </w:rPr>
              <w:t>产生及排放情况</w:t>
            </w:r>
            <w:r>
              <w:rPr>
                <w:rFonts w:hint="default" w:ascii="Times New Roman" w:hAnsi="Times New Roman" w:cs="Times New Roman"/>
                <w:color w:val="000000"/>
                <w:sz w:val="24"/>
                <w:lang w:val="en-US" w:eastAsia="zh-CN"/>
              </w:rPr>
              <w:t>见表</w:t>
            </w:r>
            <w:r>
              <w:rPr>
                <w:rFonts w:hint="eastAsia" w:cs="Times New Roman"/>
                <w:color w:val="000000"/>
                <w:sz w:val="24"/>
                <w:lang w:val="en-US" w:eastAsia="zh-CN"/>
              </w:rPr>
              <w:t>5-2</w:t>
            </w:r>
            <w:r>
              <w:rPr>
                <w:rFonts w:hint="eastAsia" w:ascii="Times New Roman" w:hAnsi="Times New Roman" w:cs="Times New Roman"/>
                <w:color w:val="000000"/>
                <w:sz w:val="24"/>
                <w:lang w:val="en-US" w:eastAsia="zh-CN"/>
              </w:rPr>
              <w:t>。</w:t>
            </w:r>
          </w:p>
          <w:p>
            <w:pPr>
              <w:adjustRightInd w:val="0"/>
              <w:snapToGrid w:val="0"/>
              <w:spacing w:line="360" w:lineRule="auto"/>
              <w:jc w:val="center"/>
              <w:rPr>
                <w:rFonts w:hint="eastAsia" w:ascii="Times New Roman" w:hAnsi="Times New Roman" w:cs="Times New Roman"/>
                <w:b/>
                <w:szCs w:val="24"/>
                <w:lang w:val="en-US" w:eastAsia="zh-CN"/>
              </w:rPr>
            </w:pPr>
            <w:r>
              <w:rPr>
                <w:rFonts w:hint="eastAsia" w:ascii="Times New Roman" w:hAnsi="Times New Roman" w:cs="Times New Roman"/>
                <w:b/>
                <w:szCs w:val="24"/>
                <w:lang w:val="en-US" w:eastAsia="zh-CN"/>
              </w:rPr>
              <w:t>表</w:t>
            </w:r>
            <w:r>
              <w:rPr>
                <w:rFonts w:hint="eastAsia" w:cs="Times New Roman"/>
                <w:b/>
                <w:szCs w:val="24"/>
                <w:lang w:val="en-US" w:eastAsia="zh-CN"/>
              </w:rPr>
              <w:t>5-2</w:t>
            </w:r>
            <w:r>
              <w:rPr>
                <w:rFonts w:hint="eastAsia" w:ascii="Times New Roman" w:hAnsi="Times New Roman" w:cs="Times New Roman"/>
                <w:b/>
                <w:szCs w:val="24"/>
                <w:lang w:val="en-US" w:eastAsia="zh-CN"/>
              </w:rPr>
              <w:t xml:space="preserve">  施工污水产生量预测一览表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4"/>
              <w:gridCol w:w="2147"/>
              <w:gridCol w:w="2153"/>
              <w:gridCol w:w="21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9" w:hRule="atLeast"/>
                <w:jc w:val="center"/>
              </w:trPr>
              <w:tc>
                <w:tcPr>
                  <w:tcW w:w="2194"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类别</w:t>
                  </w:r>
                </w:p>
              </w:tc>
              <w:tc>
                <w:tcPr>
                  <w:tcW w:w="2175"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污水总量</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SS</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石油类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1" w:hRule="atLeast"/>
                <w:jc w:val="center"/>
              </w:trPr>
              <w:tc>
                <w:tcPr>
                  <w:tcW w:w="219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产生</w:t>
                  </w:r>
                  <w:r>
                    <w:rPr>
                      <w:rFonts w:hint="default" w:ascii="Times New Roman" w:hAnsi="Times New Roman" w:cs="Times New Roman"/>
                      <w:kern w:val="0"/>
                      <w:sz w:val="21"/>
                      <w:szCs w:val="21"/>
                      <w:lang w:val="en-US" w:eastAsia="zh-CN"/>
                    </w:rPr>
                    <w:t>量（</w:t>
                  </w:r>
                  <w:r>
                    <w:rPr>
                      <w:rFonts w:hint="eastAsia" w:ascii="Times New Roman" w:hAnsi="Times New Roman" w:cs="Times New Roman"/>
                      <w:kern w:val="0"/>
                      <w:sz w:val="21"/>
                      <w:szCs w:val="21"/>
                      <w:lang w:val="en-US" w:eastAsia="zh-CN"/>
                    </w:rPr>
                    <w:t>t</w:t>
                  </w:r>
                  <w:r>
                    <w:rPr>
                      <w:rFonts w:hint="default" w:ascii="Times New Roman" w:hAnsi="Times New Roman" w:cs="Times New Roman"/>
                      <w:kern w:val="0"/>
                      <w:sz w:val="21"/>
                      <w:szCs w:val="21"/>
                      <w:lang w:val="en-US" w:eastAsia="zh-CN"/>
                    </w:rPr>
                    <w:t>）</w:t>
                  </w:r>
                </w:p>
              </w:tc>
              <w:tc>
                <w:tcPr>
                  <w:tcW w:w="2175"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34.5</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3.45</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 w:hRule="atLeast"/>
                <w:jc w:val="center"/>
              </w:trPr>
              <w:tc>
                <w:tcPr>
                  <w:tcW w:w="2194"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产生</w:t>
                  </w:r>
                  <w:r>
                    <w:rPr>
                      <w:rFonts w:hint="default" w:ascii="Times New Roman" w:hAnsi="Times New Roman" w:cs="Times New Roman"/>
                      <w:kern w:val="0"/>
                      <w:sz w:val="21"/>
                      <w:szCs w:val="21"/>
                      <w:lang w:val="en-US" w:eastAsia="zh-CN"/>
                    </w:rPr>
                    <w:t>浓度（mg/L）</w:t>
                  </w:r>
                </w:p>
              </w:tc>
              <w:tc>
                <w:tcPr>
                  <w:tcW w:w="2175"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100</w:t>
                  </w:r>
                </w:p>
              </w:tc>
              <w:tc>
                <w:tcPr>
                  <w:tcW w:w="2181"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w:t>
                  </w:r>
                </w:p>
              </w:tc>
            </w:tr>
          </w:tbl>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2、废气</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施工过程中造成大气污染的主要产生源有：施工期场地平整及运输车辆、施工机械所带来的扬尘；施工建筑材料（水泥、石灰、砂石料）的装卸、运输、堆砌过程以及开挖弃土的堆砌、运输过程中产生的扬尘；各类施工机械和运输车辆所排放的废气；房屋装修的油漆废气。</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（1）施工扬尘</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扬尘是建设施工过程中的主要大气污染物。项目使用商品混凝土，不设混凝土拌合站。在整个施工期，产生扬尘的作业有土地平整、打桩、开挖、回填、建材运输、露天堆放、装卸等过程。施工现场近地面的粉尘量受施工机械、施工方式、管理方式及天气、地表土质等多种因素影响，一般施工现场的大气环境中TSP浓度可达到1.5~3.0mg/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lang w:val="en-US" w:eastAsia="zh-CN"/>
              </w:rPr>
              <w:t>。</w:t>
            </w:r>
          </w:p>
          <w:p>
            <w:pPr>
              <w:adjustRightInd w:val="0"/>
              <w:snapToGrid w:val="0"/>
              <w:spacing w:line="360" w:lineRule="auto"/>
              <w:ind w:firstLine="480" w:firstLineChars="200"/>
              <w:rPr>
                <w:rFonts w:ascii="Times New Roman" w:hAnsi="Times New Roman" w:cs="Times New Roman"/>
                <w:snapToGrid w:val="0"/>
                <w:kern w:val="0"/>
                <w:szCs w:val="24"/>
              </w:rPr>
            </w:pPr>
            <w:r>
              <w:rPr>
                <w:rFonts w:hint="eastAsia" w:ascii="Times New Roman" w:hAnsi="Times New Roman" w:cs="Times New Roman"/>
                <w:color w:val="000000"/>
                <w:sz w:val="24"/>
                <w:lang w:val="en-US" w:eastAsia="zh-CN"/>
              </w:rPr>
              <w:t>据有关调查显示，施工工地的扬尘主要是由运输车辆的行驶产生，约占扬尘总量的60%，在完全干燥情况下，可按下列经验公式计算：</w:t>
            </w:r>
          </w:p>
          <w:p>
            <w:pPr>
              <w:pStyle w:val="21"/>
              <w:ind w:left="0" w:leftChars="0" w:firstLine="0" w:firstLineChars="0"/>
              <w:jc w:val="center"/>
              <w:rPr>
                <w:rFonts w:ascii="Times New Roman" w:hAnsi="Times New Roman" w:cs="Times New Roman"/>
                <w:snapToGrid w:val="0"/>
                <w:kern w:val="0"/>
                <w:szCs w:val="24"/>
              </w:rPr>
            </w:pPr>
            <w:r>
              <w:rPr>
                <w:rFonts w:ascii="Times New Roman" w:hAnsi="Times New Roman" w:cs="Times New Roman"/>
                <w:snapToGrid w:val="0"/>
                <w:kern w:val="0"/>
                <w:szCs w:val="24"/>
              </w:rPr>
              <w:drawing>
                <wp:inline distT="0" distB="0" distL="114300" distR="114300">
                  <wp:extent cx="1955800" cy="469900"/>
                  <wp:effectExtent l="0" t="0" r="6350" b="571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1"/>
                          <a:stretch>
                            <a:fillRect/>
                          </a:stretch>
                        </pic:blipFill>
                        <pic:spPr>
                          <a:xfrm>
                            <a:off x="0" y="0"/>
                            <a:ext cx="1955800" cy="469900"/>
                          </a:xfrm>
                          <a:prstGeom prst="rect">
                            <a:avLst/>
                          </a:prstGeom>
                          <a:noFill/>
                          <a:ln w="9525">
                            <a:noFill/>
                          </a:ln>
                        </pic:spPr>
                      </pic:pic>
                    </a:graphicData>
                  </a:graphic>
                </wp:inline>
              </w:drawing>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式中：Q——汽车行驶的扬尘，kg/km·辆；</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 xml:space="preserve">      V——汽车速度，km/h；</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 xml:space="preserve">      W——汽车载重量，t；</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 xml:space="preserve">      P——道路表面粉尘量，kg/m</w:t>
            </w:r>
            <w:r>
              <w:rPr>
                <w:rFonts w:hint="eastAsia" w:ascii="Times New Roman" w:hAnsi="Times New Roman" w:cs="Times New Roman"/>
                <w:color w:val="000000"/>
                <w:sz w:val="24"/>
                <w:vertAlign w:val="superscript"/>
                <w:lang w:val="en-US" w:eastAsia="zh-CN"/>
              </w:rPr>
              <w:t>2</w:t>
            </w:r>
            <w:r>
              <w:rPr>
                <w:rFonts w:hint="eastAsia" w:ascii="Times New Roman" w:hAnsi="Times New Roman" w:cs="Times New Roman"/>
                <w:color w:val="000000"/>
                <w:sz w:val="24"/>
                <w:lang w:val="en-US" w:eastAsia="zh-CN"/>
              </w:rPr>
              <w:t>。</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本项目车辆在施工场地内行驶距离按200m计，平均每天发车50辆·次；空车重约10.0t，重车重约30.0t，以速度20km/h行驶，其在不同路面清洁度情况下的扬尘量如表</w:t>
            </w:r>
            <w:r>
              <w:rPr>
                <w:rFonts w:hint="eastAsia" w:cs="Times New Roman"/>
                <w:color w:val="000000"/>
                <w:sz w:val="24"/>
                <w:lang w:val="en-US" w:eastAsia="zh-CN"/>
              </w:rPr>
              <w:t>5-3</w:t>
            </w:r>
            <w:r>
              <w:rPr>
                <w:rFonts w:hint="eastAsia" w:ascii="Times New Roman" w:hAnsi="Times New Roman" w:cs="Times New Roman"/>
                <w:color w:val="000000"/>
                <w:sz w:val="24"/>
                <w:lang w:val="en-US" w:eastAsia="zh-CN"/>
              </w:rPr>
              <w:t>。环评选取的道路路况以0.2kg/m</w:t>
            </w:r>
            <w:r>
              <w:rPr>
                <w:rFonts w:hint="eastAsia" w:ascii="Times New Roman" w:hAnsi="Times New Roman" w:cs="Times New Roman"/>
                <w:color w:val="000000"/>
                <w:sz w:val="24"/>
                <w:vertAlign w:val="superscript"/>
                <w:lang w:val="en-US" w:eastAsia="zh-CN"/>
              </w:rPr>
              <w:t>2</w:t>
            </w:r>
            <w:r>
              <w:rPr>
                <w:rFonts w:hint="eastAsia" w:ascii="Times New Roman" w:hAnsi="Times New Roman" w:cs="Times New Roman"/>
                <w:color w:val="000000"/>
                <w:sz w:val="24"/>
                <w:lang w:val="en-US" w:eastAsia="zh-CN"/>
              </w:rPr>
              <w:t>计，本项目施工期为300天，经计算，项目汽车动力起尘量为3.73t，其在不同路面清洁度情况下的扬尘量见下表。</w:t>
            </w:r>
          </w:p>
          <w:p>
            <w:pPr>
              <w:adjustRightInd w:val="0"/>
              <w:snapToGrid w:val="0"/>
              <w:spacing w:line="360" w:lineRule="auto"/>
              <w:jc w:val="center"/>
              <w:rPr>
                <w:rFonts w:hint="eastAsia" w:ascii="Times New Roman" w:hAnsi="Times New Roman" w:cs="Times New Roman"/>
                <w:b/>
                <w:szCs w:val="24"/>
                <w:lang w:val="en-US" w:eastAsia="zh-CN"/>
              </w:rPr>
            </w:pPr>
            <w:r>
              <w:rPr>
                <w:rFonts w:hint="eastAsia" w:ascii="Times New Roman" w:hAnsi="Times New Roman" w:cs="Times New Roman"/>
                <w:b/>
                <w:szCs w:val="24"/>
                <w:lang w:val="en-US" w:eastAsia="zh-CN"/>
              </w:rPr>
              <w:t>表</w:t>
            </w:r>
            <w:r>
              <w:rPr>
                <w:rFonts w:hint="eastAsia" w:cs="Times New Roman"/>
                <w:b/>
                <w:szCs w:val="24"/>
                <w:lang w:val="en-US" w:eastAsia="zh-CN"/>
              </w:rPr>
              <w:t>5-3</w:t>
            </w:r>
            <w:r>
              <w:rPr>
                <w:rFonts w:hint="eastAsia" w:ascii="Times New Roman" w:hAnsi="Times New Roman" w:cs="Times New Roman"/>
                <w:b/>
                <w:szCs w:val="24"/>
                <w:lang w:val="en-US" w:eastAsia="zh-CN"/>
              </w:rPr>
              <w:t xml:space="preserve">  车辆行驶扬尘量   单位：kg/</w:t>
            </w:r>
            <w:r>
              <w:rPr>
                <w:rFonts w:hint="eastAsia" w:cs="Times New Roman"/>
                <w:b/>
                <w:szCs w:val="24"/>
                <w:lang w:val="en-US" w:eastAsia="zh-CN"/>
              </w:rPr>
              <w:t>d</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77"/>
              <w:gridCol w:w="1558"/>
              <w:gridCol w:w="1561"/>
              <w:gridCol w:w="1560"/>
              <w:gridCol w:w="15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2284" w:type="dxa"/>
                  <w:tcBorders>
                    <w:tl2br w:val="nil"/>
                    <w:tr2bl w:val="nil"/>
                  </w:tcBorders>
                  <w:noWrap w:val="0"/>
                  <w:vAlign w:val="center"/>
                </w:tcPr>
                <w:p>
                  <w:pPr>
                    <w:wordWrap w:val="0"/>
                    <w:adjustRightInd w:val="0"/>
                    <w:snapToGrid w:val="0"/>
                    <w:jc w:val="right"/>
                    <w:rPr>
                      <w:rFonts w:hint="default" w:ascii="Times New Roman" w:hAnsi="Times New Roman" w:cs="Times New Roman"/>
                      <w:b/>
                      <w:bCs/>
                      <w:szCs w:val="21"/>
                    </w:rPr>
                  </w:pPr>
                  <w:r>
                    <w:rPr>
                      <w:sz w:val="21"/>
                    </w:rPr>
                    <mc:AlternateContent>
                      <mc:Choice Requires="wps">
                        <w:drawing>
                          <wp:anchor distT="0" distB="0" distL="114300" distR="114300" simplePos="0" relativeHeight="3777119232" behindDoc="0" locked="0" layoutInCell="1" allowOverlap="1">
                            <wp:simplePos x="0" y="0"/>
                            <wp:positionH relativeFrom="column">
                              <wp:posOffset>-56515</wp:posOffset>
                            </wp:positionH>
                            <wp:positionV relativeFrom="paragraph">
                              <wp:posOffset>9525</wp:posOffset>
                            </wp:positionV>
                            <wp:extent cx="1503045" cy="330835"/>
                            <wp:effectExtent l="1270" t="4445" r="635" b="7620"/>
                            <wp:wrapNone/>
                            <wp:docPr id="48" name="直接连接符 48"/>
                            <wp:cNvGraphicFramePr/>
                            <a:graphic xmlns:a="http://schemas.openxmlformats.org/drawingml/2006/main">
                              <a:graphicData uri="http://schemas.microsoft.com/office/word/2010/wordprocessingShape">
                                <wps:wsp>
                                  <wps:cNvCnPr/>
                                  <wps:spPr>
                                    <a:xfrm>
                                      <a:off x="1043305" y="2056765"/>
                                      <a:ext cx="1503045" cy="330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45pt;margin-top:0.75pt;height:26.05pt;width:118.35pt;z-index:-517848064;mso-width-relative:page;mso-height-relative:page;" filled="f" stroked="t" coordsize="21600,21600" o:gfxdata="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X/8k&#10;1gAAAAcBAAAPAAAAAAAAAAEAIAAAACIAAABkcnMvZG93bnJldi54bWxQSwECFAAUAAAACACHTuJA&#10;j+hJvOoBAACtAwAADgAAAAAAAAABACAAAAAlAQAAZHJzL2Uyb0RvYy54bWxQSwUGAAAAAAYABgBZ&#10;AQAAgQUAAAAA&#10;">
                            <v:fill on="f" focussize="0,0"/>
                            <v:stroke color="#000000 [3213]" joinstyle="round"/>
                            <v:imagedata o:title=""/>
                            <o:lock v:ext="edit" aspectratio="f"/>
                          </v:line>
                        </w:pict>
                      </mc:Fallback>
                    </mc:AlternateContent>
                  </w:r>
                  <w:r>
                    <w:rPr>
                      <w:rFonts w:hint="default" w:ascii="Times New Roman" w:hAnsi="Times New Roman" w:cs="Times New Roman"/>
                      <w:b/>
                      <w:bCs/>
                      <w:szCs w:val="21"/>
                    </w:rPr>
                    <w:t xml:space="preserve">        路况</w:t>
                  </w:r>
                </w:p>
                <w:p>
                  <w:pPr>
                    <w:adjustRightInd w:val="0"/>
                    <w:snapToGrid w:val="0"/>
                    <w:rPr>
                      <w:rFonts w:hint="default" w:ascii="Times New Roman" w:hAnsi="Times New Roman" w:cs="Times New Roman"/>
                      <w:b/>
                      <w:bCs/>
                      <w:szCs w:val="21"/>
                    </w:rPr>
                  </w:pPr>
                  <w:r>
                    <w:rPr>
                      <w:rFonts w:hint="default" w:ascii="Times New Roman" w:hAnsi="Times New Roman" w:cs="Times New Roman"/>
                      <w:b/>
                      <w:bCs/>
                      <w:szCs w:val="21"/>
                    </w:rPr>
                    <w:t>车况</w:t>
                  </w:r>
                </w:p>
              </w:tc>
              <w:tc>
                <w:tcPr>
                  <w:tcW w:w="1497" w:type="dxa"/>
                  <w:tcBorders>
                    <w:tl2br w:val="nil"/>
                    <w:tr2bl w:val="nil"/>
                  </w:tcBorders>
                  <w:noWrap w:val="0"/>
                  <w:vAlign w:val="center"/>
                </w:tcPr>
                <w:p>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0.1kg/m</w:t>
                  </w:r>
                  <w:r>
                    <w:rPr>
                      <w:rFonts w:hint="default" w:ascii="Times New Roman" w:hAnsi="Times New Roman" w:cs="Times New Roman"/>
                      <w:b/>
                      <w:bCs/>
                      <w:sz w:val="21"/>
                      <w:szCs w:val="21"/>
                      <w:vertAlign w:val="superscript"/>
                    </w:rPr>
                    <w:t>2</w:t>
                  </w:r>
                </w:p>
              </w:tc>
              <w:tc>
                <w:tcPr>
                  <w:tcW w:w="1499" w:type="dxa"/>
                  <w:tcBorders>
                    <w:tl2br w:val="nil"/>
                    <w:tr2bl w:val="nil"/>
                  </w:tcBorders>
                  <w:noWrap w:val="0"/>
                  <w:vAlign w:val="center"/>
                </w:tcPr>
                <w:p>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0.2kg/m</w:t>
                  </w:r>
                  <w:r>
                    <w:rPr>
                      <w:rFonts w:hint="default" w:ascii="Times New Roman" w:hAnsi="Times New Roman" w:cs="Times New Roman"/>
                      <w:b/>
                      <w:bCs/>
                      <w:sz w:val="21"/>
                      <w:szCs w:val="21"/>
                      <w:vertAlign w:val="superscript"/>
                    </w:rPr>
                    <w:t>2</w:t>
                  </w:r>
                </w:p>
              </w:tc>
              <w:tc>
                <w:tcPr>
                  <w:tcW w:w="1498" w:type="dxa"/>
                  <w:tcBorders>
                    <w:tl2br w:val="nil"/>
                    <w:tr2bl w:val="nil"/>
                  </w:tcBorders>
                  <w:noWrap w:val="0"/>
                  <w:vAlign w:val="center"/>
                </w:tcPr>
                <w:p>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0.3kg/m</w:t>
                  </w:r>
                  <w:r>
                    <w:rPr>
                      <w:rFonts w:hint="default" w:ascii="Times New Roman" w:hAnsi="Times New Roman" w:cs="Times New Roman"/>
                      <w:b/>
                      <w:bCs/>
                      <w:sz w:val="21"/>
                      <w:szCs w:val="21"/>
                      <w:vertAlign w:val="superscript"/>
                    </w:rPr>
                    <w:t>2</w:t>
                  </w:r>
                </w:p>
              </w:tc>
              <w:tc>
                <w:tcPr>
                  <w:tcW w:w="1499" w:type="dxa"/>
                  <w:tcBorders>
                    <w:tl2br w:val="nil"/>
                    <w:tr2bl w:val="nil"/>
                  </w:tcBorders>
                  <w:noWrap w:val="0"/>
                  <w:vAlign w:val="center"/>
                </w:tcPr>
                <w:p>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0.4kg/m</w:t>
                  </w:r>
                  <w:r>
                    <w:rPr>
                      <w:rFonts w:hint="default" w:ascii="Times New Roman" w:hAnsi="Times New Roman" w:cs="Times New Roman"/>
                      <w:b/>
                      <w:bCs/>
                      <w:sz w:val="21"/>
                      <w:szCs w:val="21"/>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4" w:hRule="atLeast"/>
                <w:jc w:val="center"/>
              </w:trPr>
              <w:tc>
                <w:tcPr>
                  <w:tcW w:w="2284"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bookmarkStart w:id="36" w:name="_Hlk382667657"/>
                  <w:r>
                    <w:rPr>
                      <w:rFonts w:hint="default" w:ascii="Times New Roman" w:hAnsi="Times New Roman" w:cs="Times New Roman"/>
                      <w:bCs/>
                      <w:szCs w:val="21"/>
                    </w:rPr>
                    <w:t>空车</w:t>
                  </w:r>
                </w:p>
              </w:tc>
              <w:tc>
                <w:tcPr>
                  <w:tcW w:w="1497"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612.6</w:t>
                  </w:r>
                </w:p>
              </w:tc>
              <w:tc>
                <w:tcPr>
                  <w:tcW w:w="1499" w:type="dxa"/>
                  <w:tcBorders>
                    <w:tl2br w:val="nil"/>
                    <w:tr2bl w:val="nil"/>
                  </w:tcBorders>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931.73</w:t>
                  </w:r>
                </w:p>
              </w:tc>
              <w:tc>
                <w:tcPr>
                  <w:tcW w:w="1498"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1396.6</w:t>
                  </w:r>
                </w:p>
              </w:tc>
              <w:tc>
                <w:tcPr>
                  <w:tcW w:w="1499"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1732.8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6" w:hRule="atLeast"/>
                <w:jc w:val="center"/>
              </w:trPr>
              <w:tc>
                <w:tcPr>
                  <w:tcW w:w="2284"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重车</w:t>
                  </w:r>
                </w:p>
              </w:tc>
              <w:tc>
                <w:tcPr>
                  <w:tcW w:w="1497"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1558.8</w:t>
                  </w:r>
                </w:p>
              </w:tc>
              <w:tc>
                <w:tcPr>
                  <w:tcW w:w="1499" w:type="dxa"/>
                  <w:tcBorders>
                    <w:tl2br w:val="nil"/>
                    <w:tr2bl w:val="nil"/>
                  </w:tcBorders>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2795.18</w:t>
                  </w:r>
                </w:p>
              </w:tc>
              <w:tc>
                <w:tcPr>
                  <w:tcW w:w="1498"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3553.2</w:t>
                  </w:r>
                </w:p>
              </w:tc>
              <w:tc>
                <w:tcPr>
                  <w:tcW w:w="1499" w:type="dxa"/>
                  <w:tcBorders>
                    <w:tl2br w:val="nil"/>
                    <w:tr2bl w:val="nil"/>
                  </w:tcBorders>
                  <w:noWrap w:val="0"/>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4408.8</w:t>
                  </w:r>
                </w:p>
              </w:tc>
            </w:tr>
            <w:bookmarkEnd w:id="36"/>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2284"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合计</w:t>
                  </w:r>
                </w:p>
              </w:tc>
              <w:tc>
                <w:tcPr>
                  <w:tcW w:w="1497"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2171.4</w:t>
                  </w:r>
                </w:p>
              </w:tc>
              <w:tc>
                <w:tcPr>
                  <w:tcW w:w="1499" w:type="dxa"/>
                  <w:tcBorders>
                    <w:tl2br w:val="nil"/>
                    <w:tr2bl w:val="nil"/>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3726.91</w:t>
                  </w:r>
                </w:p>
              </w:tc>
              <w:tc>
                <w:tcPr>
                  <w:tcW w:w="1498"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4949.8</w:t>
                  </w:r>
                </w:p>
              </w:tc>
              <w:tc>
                <w:tcPr>
                  <w:tcW w:w="149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6141.6</w:t>
                  </w:r>
                </w:p>
              </w:tc>
            </w:tr>
          </w:tbl>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根据本项目的情况，施工场地内通过控制车速、道路清扫及洒水，粉尘可减少90%，则排放量为0.373t。</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（2）施工机械尾气</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施工机械排放废气主要集中在土方开挖阶段，主要为施工车辆、挖土机等因燃油产生的二氧化硫、氮氧化物、一氧化碳、烃类、铅等污染物，废气排放量与同时运转的机械设备的数量有关；而运输车辆的废气排放，除与进出施工场地的车辆数量相关外，还与汽车的行驶状态有关。施工机械尾气对大气环境有一定影响，但考虑其排放量不大，且表现为间歇特征，影响范围有限，故可以认为其对环境影响比较小，在后面的评价中也不再予以考虑。本项目施工期应合理地进行施工作业，加强施工现场管理。</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3、噪声</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施工期间产生的施工噪声主要可分为机械噪声、施工作业噪声和施工车辆噪声。机械噪声主要由施工机械所造成，如挖土机械、升降机等，多为点声源；施工作业噪声主要指一些零星的敲打声、装卸车辆的撞击声、拆卸模板的撞击声等，多为瞬时噪声；施工车辆的噪声属于交通噪声。在这些施工噪声中，对声环境影响最大的是机械噪声。施工机械噪声源强及影响范围与机械种类有关，不同施工机械的源强及影响状况见表</w:t>
            </w:r>
            <w:r>
              <w:rPr>
                <w:rFonts w:hint="eastAsia" w:cs="Times New Roman"/>
                <w:color w:val="000000"/>
                <w:sz w:val="24"/>
                <w:lang w:val="en-US" w:eastAsia="zh-CN"/>
              </w:rPr>
              <w:t>5-4</w:t>
            </w:r>
            <w:r>
              <w:rPr>
                <w:rFonts w:hint="eastAsia" w:ascii="Times New Roman" w:hAnsi="Times New Roman" w:cs="Times New Roman"/>
                <w:color w:val="000000"/>
                <w:sz w:val="24"/>
                <w:lang w:val="en-US" w:eastAsia="zh-CN"/>
              </w:rPr>
              <w:t>。</w:t>
            </w:r>
          </w:p>
          <w:p>
            <w:pPr>
              <w:adjustRightInd w:val="0"/>
              <w:snapToGrid w:val="0"/>
              <w:spacing w:line="360" w:lineRule="auto"/>
              <w:jc w:val="center"/>
              <w:rPr>
                <w:rFonts w:hint="eastAsia" w:ascii="Times New Roman" w:hAnsi="Times New Roman" w:cs="Times New Roman"/>
                <w:b/>
                <w:szCs w:val="24"/>
                <w:lang w:val="en-US" w:eastAsia="zh-CN"/>
              </w:rPr>
            </w:pPr>
            <w:r>
              <w:rPr>
                <w:rFonts w:hint="eastAsia" w:ascii="Times New Roman" w:hAnsi="Times New Roman" w:cs="Times New Roman"/>
                <w:b/>
                <w:szCs w:val="24"/>
                <w:lang w:val="en-US" w:eastAsia="zh-CN"/>
              </w:rPr>
              <w:t>表</w:t>
            </w:r>
            <w:r>
              <w:rPr>
                <w:rFonts w:hint="eastAsia" w:cs="Times New Roman"/>
                <w:b/>
                <w:szCs w:val="24"/>
                <w:lang w:val="en-US" w:eastAsia="zh-CN"/>
              </w:rPr>
              <w:t>5-4</w:t>
            </w:r>
            <w:r>
              <w:rPr>
                <w:rFonts w:hint="eastAsia" w:ascii="Times New Roman" w:hAnsi="Times New Roman" w:cs="Times New Roman"/>
                <w:b/>
                <w:szCs w:val="24"/>
                <w:lang w:val="en-US" w:eastAsia="zh-CN"/>
              </w:rPr>
              <w:t xml:space="preserve">  主要施工机械设备的噪声声级</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2"/>
              <w:gridCol w:w="1340"/>
              <w:gridCol w:w="1855"/>
              <w:gridCol w:w="1280"/>
              <w:gridCol w:w="27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exact"/>
                <w:jc w:val="center"/>
              </w:trPr>
              <w:tc>
                <w:tcPr>
                  <w:tcW w:w="1441" w:type="dxa"/>
                  <w:tcBorders>
                    <w:tl2br w:val="nil"/>
                    <w:tr2bl w:val="nil"/>
                  </w:tcBorders>
                  <w:vAlign w:val="center"/>
                </w:tcPr>
                <w:p>
                  <w:pPr>
                    <w:pStyle w:val="65"/>
                    <w:spacing w:line="243" w:lineRule="exact"/>
                    <w:ind w:right="0"/>
                    <w:jc w:val="center"/>
                    <w:rPr>
                      <w:rFonts w:hint="default" w:ascii="宋体" w:hAnsi="宋体" w:eastAsia="宋体" w:cs="宋体"/>
                      <w:sz w:val="21"/>
                      <w:szCs w:val="21"/>
                    </w:rPr>
                  </w:pPr>
                  <w:r>
                    <w:rPr>
                      <w:rFonts w:hint="default" w:ascii="宋体" w:hAnsi="宋体" w:eastAsia="宋体" w:cs="宋体"/>
                      <w:b/>
                      <w:bCs/>
                      <w:sz w:val="21"/>
                      <w:szCs w:val="21"/>
                    </w:rPr>
                    <w:t>施工阶段</w:t>
                  </w:r>
                </w:p>
              </w:tc>
              <w:tc>
                <w:tcPr>
                  <w:tcW w:w="1358" w:type="dxa"/>
                  <w:tcBorders>
                    <w:tl2br w:val="nil"/>
                    <w:tr2bl w:val="nil"/>
                  </w:tcBorders>
                  <w:vAlign w:val="center"/>
                </w:tcPr>
                <w:p>
                  <w:pPr>
                    <w:pStyle w:val="65"/>
                    <w:spacing w:line="243" w:lineRule="exact"/>
                    <w:ind w:right="0"/>
                    <w:jc w:val="center"/>
                    <w:rPr>
                      <w:rFonts w:hint="default" w:ascii="宋体" w:hAnsi="宋体" w:eastAsia="宋体" w:cs="宋体"/>
                      <w:sz w:val="21"/>
                      <w:szCs w:val="21"/>
                    </w:rPr>
                  </w:pPr>
                  <w:r>
                    <w:rPr>
                      <w:rFonts w:hint="default" w:ascii="宋体" w:hAnsi="宋体" w:eastAsia="宋体" w:cs="宋体"/>
                      <w:b/>
                      <w:bCs/>
                      <w:sz w:val="21"/>
                      <w:szCs w:val="21"/>
                    </w:rPr>
                    <w:t>声源</w:t>
                  </w:r>
                </w:p>
              </w:tc>
              <w:tc>
                <w:tcPr>
                  <w:tcW w:w="1880" w:type="dxa"/>
                  <w:tcBorders>
                    <w:tl2br w:val="nil"/>
                    <w:tr2bl w:val="nil"/>
                  </w:tcBorders>
                  <w:vAlign w:val="center"/>
                </w:tcPr>
                <w:p>
                  <w:pPr>
                    <w:pStyle w:val="65"/>
                    <w:spacing w:line="259" w:lineRule="exact"/>
                    <w:ind w:right="0"/>
                    <w:jc w:val="center"/>
                    <w:rPr>
                      <w:rFonts w:hint="default" w:ascii="宋体" w:hAnsi="宋体" w:eastAsia="宋体" w:cs="宋体"/>
                      <w:sz w:val="21"/>
                      <w:szCs w:val="21"/>
                    </w:rPr>
                  </w:pPr>
                  <w:r>
                    <w:rPr>
                      <w:rFonts w:hint="default" w:ascii="宋体" w:hAnsi="宋体" w:eastAsia="宋体" w:cs="宋体"/>
                      <w:b/>
                      <w:bCs/>
                      <w:sz w:val="21"/>
                      <w:szCs w:val="21"/>
                    </w:rPr>
                    <w:t>声源强度（</w:t>
                  </w:r>
                  <w:r>
                    <w:rPr>
                      <w:rFonts w:hint="default" w:ascii="Times New Roman" w:hAnsi="Times New Roman" w:eastAsia="Times New Roman" w:cs="Times New Roman"/>
                      <w:b/>
                      <w:bCs/>
                      <w:sz w:val="21"/>
                      <w:szCs w:val="21"/>
                    </w:rPr>
                    <w:t>dB(A)</w:t>
                  </w:r>
                  <w:r>
                    <w:rPr>
                      <w:rFonts w:hint="default" w:ascii="宋体" w:hAnsi="宋体" w:eastAsia="宋体" w:cs="宋体"/>
                      <w:b/>
                      <w:bCs/>
                      <w:sz w:val="21"/>
                      <w:szCs w:val="21"/>
                    </w:rPr>
                    <w:t>）</w:t>
                  </w:r>
                </w:p>
              </w:tc>
              <w:tc>
                <w:tcPr>
                  <w:tcW w:w="1297" w:type="dxa"/>
                  <w:tcBorders>
                    <w:tl2br w:val="nil"/>
                    <w:tr2bl w:val="nil"/>
                  </w:tcBorders>
                  <w:vAlign w:val="center"/>
                </w:tcPr>
                <w:p>
                  <w:pPr>
                    <w:pStyle w:val="65"/>
                    <w:spacing w:line="259" w:lineRule="exact"/>
                    <w:ind w:right="7"/>
                    <w:jc w:val="center"/>
                    <w:rPr>
                      <w:rFonts w:hint="default" w:ascii="宋体" w:hAnsi="宋体" w:eastAsia="宋体" w:cs="宋体"/>
                      <w:sz w:val="21"/>
                      <w:szCs w:val="21"/>
                    </w:rPr>
                  </w:pPr>
                  <w:r>
                    <w:rPr>
                      <w:rFonts w:hint="default" w:ascii="宋体" w:hAnsi="宋体" w:eastAsia="宋体" w:cs="宋体"/>
                      <w:b/>
                      <w:bCs/>
                      <w:sz w:val="21"/>
                      <w:szCs w:val="21"/>
                    </w:rPr>
                    <w:t>距离（</w:t>
                  </w:r>
                  <w:r>
                    <w:rPr>
                      <w:rFonts w:hint="default" w:ascii="Times New Roman" w:hAnsi="Times New Roman" w:eastAsia="Times New Roman" w:cs="Times New Roman"/>
                      <w:b/>
                      <w:bCs/>
                      <w:sz w:val="21"/>
                      <w:szCs w:val="21"/>
                    </w:rPr>
                    <w:t>m</w:t>
                  </w:r>
                  <w:r>
                    <w:rPr>
                      <w:rFonts w:hint="default" w:ascii="宋体" w:hAnsi="宋体" w:eastAsia="宋体" w:cs="宋体"/>
                      <w:b/>
                      <w:bCs/>
                      <w:sz w:val="21"/>
                      <w:szCs w:val="21"/>
                    </w:rPr>
                    <w:t>）</w:t>
                  </w:r>
                </w:p>
              </w:tc>
              <w:tc>
                <w:tcPr>
                  <w:tcW w:w="2755" w:type="dxa"/>
                  <w:tcBorders>
                    <w:tl2br w:val="nil"/>
                    <w:tr2bl w:val="nil"/>
                  </w:tcBorders>
                  <w:vAlign w:val="center"/>
                </w:tcPr>
                <w:p>
                  <w:pPr>
                    <w:pStyle w:val="65"/>
                    <w:spacing w:line="259" w:lineRule="exact"/>
                    <w:ind w:right="7"/>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采取措施后噪声源强</w:t>
                  </w:r>
                  <w:r>
                    <w:rPr>
                      <w:rFonts w:hint="default" w:ascii="宋体" w:hAnsi="宋体" w:eastAsia="宋体" w:cs="宋体"/>
                      <w:b/>
                      <w:bCs/>
                      <w:sz w:val="21"/>
                      <w:szCs w:val="21"/>
                    </w:rPr>
                    <w:t>（</w:t>
                  </w:r>
                  <w:r>
                    <w:rPr>
                      <w:rFonts w:hint="default" w:ascii="Times New Roman" w:hAnsi="Times New Roman" w:eastAsia="Times New Roman" w:cs="Times New Roman"/>
                      <w:b/>
                      <w:bCs/>
                      <w:sz w:val="21"/>
                      <w:szCs w:val="21"/>
                    </w:rPr>
                    <w:t>dB(A)</w:t>
                  </w:r>
                  <w:r>
                    <w:rPr>
                      <w:rFonts w:hint="default" w:ascii="宋体" w:hAnsi="宋体" w:eastAsia="宋体" w:cs="宋体"/>
                      <w:b/>
                      <w:bCs/>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restart"/>
                  <w:tcBorders>
                    <w:tl2br w:val="nil"/>
                    <w:tr2bl w:val="nil"/>
                  </w:tcBorders>
                  <w:vAlign w:val="center"/>
                </w:tcPr>
                <w:p>
                  <w:pPr>
                    <w:pStyle w:val="65"/>
                    <w:spacing w:before="138" w:line="240" w:lineRule="auto"/>
                    <w:ind w:right="0"/>
                    <w:jc w:val="center"/>
                    <w:rPr>
                      <w:rFonts w:hint="default" w:ascii="宋体" w:hAnsi="宋体" w:eastAsia="宋体" w:cs="宋体"/>
                      <w:sz w:val="21"/>
                      <w:szCs w:val="21"/>
                    </w:rPr>
                  </w:pPr>
                  <w:r>
                    <w:rPr>
                      <w:rFonts w:hint="default" w:ascii="宋体" w:hAnsi="宋体" w:eastAsia="宋体" w:cs="宋体"/>
                      <w:sz w:val="21"/>
                      <w:szCs w:val="21"/>
                    </w:rPr>
                    <w:t>土石方阶段</w:t>
                  </w: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翻斗车</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85</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ascii="Times New Roman"/>
                      <w:sz w:val="21"/>
                    </w:rPr>
                    <w:t>3</w:t>
                  </w:r>
                </w:p>
              </w:tc>
              <w:tc>
                <w:tcPr>
                  <w:tcW w:w="2755" w:type="dxa"/>
                  <w:tcBorders>
                    <w:tl2br w:val="nil"/>
                    <w:tr2bl w:val="nil"/>
                  </w:tcBorders>
                  <w:vAlign w:val="center"/>
                </w:tcPr>
                <w:p>
                  <w:pPr>
                    <w:pStyle w:val="65"/>
                    <w:spacing w:before="10" w:line="240" w:lineRule="auto"/>
                    <w:ind w:right="7"/>
                    <w:jc w:val="center"/>
                    <w:rPr>
                      <w:rFonts w:hint="eastAsia" w:ascii="Times New Roman" w:eastAsiaTheme="minorEastAsia"/>
                      <w:sz w:val="21"/>
                      <w:lang w:val="en-US" w:eastAsia="zh-CN"/>
                    </w:rPr>
                  </w:pPr>
                  <w:r>
                    <w:rPr>
                      <w:rFonts w:hint="eastAsia" w:ascii="Times New Roman"/>
                      <w:sz w:val="21"/>
                      <w:lang w:val="en-US"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推土机</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90</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5</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装载机</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86</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ascii="Times New Roman"/>
                      <w:sz w:val="21"/>
                    </w:rPr>
                    <w:t>5</w:t>
                  </w:r>
                </w:p>
              </w:tc>
              <w:tc>
                <w:tcPr>
                  <w:tcW w:w="2755" w:type="dxa"/>
                  <w:tcBorders>
                    <w:tl2br w:val="nil"/>
                    <w:tr2bl w:val="nil"/>
                  </w:tcBorders>
                  <w:vAlign w:val="center"/>
                </w:tcPr>
                <w:p>
                  <w:pPr>
                    <w:pStyle w:val="65"/>
                    <w:spacing w:before="10" w:line="240" w:lineRule="auto"/>
                    <w:ind w:right="7"/>
                    <w:jc w:val="center"/>
                    <w:rPr>
                      <w:rFonts w:hint="eastAsia" w:ascii="Times New Roman" w:eastAsiaTheme="minorEastAsia"/>
                      <w:sz w:val="21"/>
                      <w:lang w:val="en-US" w:eastAsia="zh-CN"/>
                    </w:rPr>
                  </w:pPr>
                  <w:r>
                    <w:rPr>
                      <w:rFonts w:hint="eastAsia" w:ascii="Times New Roman"/>
                      <w:sz w:val="21"/>
                      <w:lang w:val="en-US"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挖掘机</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85</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5</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exact"/>
                <w:jc w:val="center"/>
              </w:trPr>
              <w:tc>
                <w:tcPr>
                  <w:tcW w:w="1441" w:type="dxa"/>
                  <w:vMerge w:val="restart"/>
                  <w:tcBorders>
                    <w:tl2br w:val="nil"/>
                    <w:tr2bl w:val="nil"/>
                  </w:tcBorders>
                  <w:vAlign w:val="center"/>
                </w:tcPr>
                <w:p>
                  <w:pPr>
                    <w:pStyle w:val="65"/>
                    <w:spacing w:line="240" w:lineRule="auto"/>
                    <w:ind w:right="0"/>
                    <w:jc w:val="center"/>
                    <w:rPr>
                      <w:rFonts w:hint="default" w:ascii="宋体" w:hAnsi="宋体" w:eastAsia="宋体" w:cs="宋体"/>
                      <w:sz w:val="21"/>
                      <w:szCs w:val="21"/>
                    </w:rPr>
                  </w:pPr>
                  <w:r>
                    <w:rPr>
                      <w:rFonts w:hint="default" w:ascii="宋体" w:hAnsi="宋体" w:eastAsia="宋体" w:cs="宋体"/>
                      <w:sz w:val="21"/>
                      <w:szCs w:val="21"/>
                    </w:rPr>
                    <w:t>基础施工阶段</w:t>
                  </w:r>
                </w:p>
              </w:tc>
              <w:tc>
                <w:tcPr>
                  <w:tcW w:w="1358" w:type="dxa"/>
                  <w:tcBorders>
                    <w:tl2br w:val="nil"/>
                    <w:tr2bl w:val="nil"/>
                  </w:tcBorders>
                  <w:vAlign w:val="center"/>
                </w:tcPr>
                <w:p>
                  <w:pPr>
                    <w:pStyle w:val="65"/>
                    <w:spacing w:line="241" w:lineRule="exact"/>
                    <w:ind w:right="0"/>
                    <w:jc w:val="center"/>
                    <w:rPr>
                      <w:rFonts w:hint="default" w:ascii="宋体" w:hAnsi="宋体" w:eastAsia="宋体" w:cs="宋体"/>
                      <w:sz w:val="21"/>
                      <w:szCs w:val="21"/>
                    </w:rPr>
                  </w:pPr>
                  <w:r>
                    <w:rPr>
                      <w:rFonts w:hint="default" w:ascii="宋体" w:hAnsi="宋体" w:eastAsia="宋体" w:cs="宋体"/>
                      <w:sz w:val="21"/>
                      <w:szCs w:val="21"/>
                    </w:rPr>
                    <w:t>吊机</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70-80</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ascii="Times New Roman"/>
                      <w:sz w:val="21"/>
                    </w:rPr>
                    <w:t>15</w:t>
                  </w:r>
                </w:p>
              </w:tc>
              <w:tc>
                <w:tcPr>
                  <w:tcW w:w="2755" w:type="dxa"/>
                  <w:tcBorders>
                    <w:tl2br w:val="nil"/>
                    <w:tr2bl w:val="nil"/>
                  </w:tcBorders>
                  <w:vAlign w:val="center"/>
                </w:tcPr>
                <w:p>
                  <w:pPr>
                    <w:pStyle w:val="65"/>
                    <w:spacing w:before="10" w:line="240" w:lineRule="auto"/>
                    <w:ind w:right="7"/>
                    <w:jc w:val="center"/>
                    <w:rPr>
                      <w:rFonts w:hint="eastAsia" w:ascii="Times New Roman" w:eastAsiaTheme="minorEastAsia"/>
                      <w:sz w:val="21"/>
                      <w:lang w:val="en-US" w:eastAsia="zh-CN"/>
                    </w:rPr>
                  </w:pPr>
                  <w:r>
                    <w:rPr>
                      <w:rFonts w:hint="eastAsia" w:ascii="Times New Roman"/>
                      <w:sz w:val="21"/>
                      <w:lang w:val="en-US" w:eastAsia="zh-CN"/>
                    </w:rPr>
                    <w:t>50-60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平地机</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86</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15</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right="0"/>
                    <w:jc w:val="center"/>
                    <w:rPr>
                      <w:rFonts w:hint="default" w:ascii="宋体" w:hAnsi="宋体" w:eastAsia="宋体" w:cs="宋体"/>
                      <w:sz w:val="21"/>
                      <w:szCs w:val="21"/>
                    </w:rPr>
                  </w:pPr>
                  <w:r>
                    <w:rPr>
                      <w:rFonts w:hint="default" w:ascii="宋体" w:hAnsi="宋体" w:eastAsia="宋体" w:cs="宋体"/>
                      <w:sz w:val="21"/>
                      <w:szCs w:val="21"/>
                    </w:rPr>
                    <w:t>风镐</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103</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ascii="Times New Roman"/>
                      <w:sz w:val="21"/>
                    </w:rPr>
                    <w:t>1</w:t>
                  </w:r>
                </w:p>
              </w:tc>
              <w:tc>
                <w:tcPr>
                  <w:tcW w:w="2755" w:type="dxa"/>
                  <w:tcBorders>
                    <w:tl2br w:val="nil"/>
                    <w:tr2bl w:val="nil"/>
                  </w:tcBorders>
                  <w:vAlign w:val="center"/>
                </w:tcPr>
                <w:p>
                  <w:pPr>
                    <w:pStyle w:val="65"/>
                    <w:spacing w:before="10" w:line="240" w:lineRule="auto"/>
                    <w:ind w:right="7"/>
                    <w:jc w:val="center"/>
                    <w:rPr>
                      <w:rFonts w:hint="eastAsia" w:ascii="Times New Roman" w:eastAsiaTheme="minorEastAsia"/>
                      <w:sz w:val="21"/>
                      <w:lang w:val="en-US" w:eastAsia="zh-CN"/>
                    </w:rPr>
                  </w:pPr>
                  <w:r>
                    <w:rPr>
                      <w:rFonts w:hint="eastAsia" w:ascii="Times New Roman"/>
                      <w:sz w:val="21"/>
                      <w:lang w:val="en-US" w:eastAsia="zh-CN"/>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打井机</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85</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3</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2" w:right="0"/>
                    <w:jc w:val="center"/>
                    <w:rPr>
                      <w:rFonts w:hint="default" w:ascii="宋体" w:hAnsi="宋体" w:eastAsia="宋体" w:cs="宋体"/>
                      <w:sz w:val="21"/>
                      <w:szCs w:val="21"/>
                    </w:rPr>
                  </w:pPr>
                  <w:r>
                    <w:rPr>
                      <w:rFonts w:hint="default" w:ascii="宋体" w:hAnsi="宋体" w:eastAsia="宋体" w:cs="宋体"/>
                      <w:sz w:val="21"/>
                      <w:szCs w:val="21"/>
                    </w:rPr>
                    <w:t>工程钻机</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63</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ascii="Times New Roman"/>
                      <w:sz w:val="21"/>
                    </w:rPr>
                    <w:t>15</w:t>
                  </w:r>
                </w:p>
              </w:tc>
              <w:tc>
                <w:tcPr>
                  <w:tcW w:w="2755" w:type="dxa"/>
                  <w:tcBorders>
                    <w:tl2br w:val="nil"/>
                    <w:tr2bl w:val="nil"/>
                  </w:tcBorders>
                  <w:vAlign w:val="center"/>
                </w:tcPr>
                <w:p>
                  <w:pPr>
                    <w:pStyle w:val="65"/>
                    <w:spacing w:before="10" w:line="240" w:lineRule="auto"/>
                    <w:ind w:right="7"/>
                    <w:jc w:val="center"/>
                    <w:rPr>
                      <w:rFonts w:hint="eastAsia" w:ascii="Times New Roman" w:eastAsiaTheme="minorEastAsia"/>
                      <w:sz w:val="21"/>
                      <w:lang w:val="en-US" w:eastAsia="zh-CN"/>
                    </w:rPr>
                  </w:pPr>
                  <w:r>
                    <w:rPr>
                      <w:rFonts w:hint="eastAsia" w:ascii="Times New Roman"/>
                      <w:sz w:val="21"/>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空压机</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82</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3</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restart"/>
                  <w:tcBorders>
                    <w:tl2br w:val="nil"/>
                    <w:tr2bl w:val="nil"/>
                  </w:tcBorders>
                  <w:vAlign w:val="center"/>
                </w:tcPr>
                <w:p>
                  <w:pPr>
                    <w:pStyle w:val="65"/>
                    <w:spacing w:line="240" w:lineRule="auto"/>
                    <w:ind w:right="0"/>
                    <w:jc w:val="center"/>
                    <w:rPr>
                      <w:rFonts w:hint="default" w:ascii="宋体" w:hAnsi="宋体" w:eastAsia="宋体" w:cs="宋体"/>
                      <w:sz w:val="21"/>
                      <w:szCs w:val="21"/>
                    </w:rPr>
                  </w:pPr>
                  <w:r>
                    <w:rPr>
                      <w:rFonts w:hint="default" w:ascii="宋体" w:hAnsi="宋体" w:eastAsia="宋体" w:cs="宋体"/>
                      <w:sz w:val="21"/>
                      <w:szCs w:val="21"/>
                    </w:rPr>
                    <w:t>结构施工阶段</w:t>
                  </w:r>
                </w:p>
              </w:tc>
              <w:tc>
                <w:tcPr>
                  <w:tcW w:w="1358" w:type="dxa"/>
                  <w:tcBorders>
                    <w:tl2br w:val="nil"/>
                    <w:tr2bl w:val="nil"/>
                  </w:tcBorders>
                  <w:vAlign w:val="center"/>
                </w:tcPr>
                <w:p>
                  <w:pPr>
                    <w:pStyle w:val="65"/>
                    <w:spacing w:line="243" w:lineRule="exact"/>
                    <w:ind w:left="4" w:right="0"/>
                    <w:jc w:val="center"/>
                    <w:rPr>
                      <w:rFonts w:hint="default" w:ascii="宋体" w:hAnsi="宋体" w:eastAsia="宋体" w:cs="宋体"/>
                      <w:sz w:val="21"/>
                      <w:szCs w:val="21"/>
                    </w:rPr>
                  </w:pPr>
                  <w:r>
                    <w:rPr>
                      <w:rFonts w:hint="default" w:ascii="宋体" w:hAnsi="宋体" w:eastAsia="宋体" w:cs="宋体"/>
                      <w:sz w:val="21"/>
                      <w:szCs w:val="21"/>
                    </w:rPr>
                    <w:t>吊车</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70-80</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ascii="Times New Roman"/>
                      <w:sz w:val="21"/>
                    </w:rPr>
                    <w:t>15</w:t>
                  </w:r>
                </w:p>
              </w:tc>
              <w:tc>
                <w:tcPr>
                  <w:tcW w:w="2755" w:type="dxa"/>
                  <w:tcBorders>
                    <w:tl2br w:val="nil"/>
                    <w:tr2bl w:val="nil"/>
                  </w:tcBorders>
                  <w:vAlign w:val="center"/>
                </w:tcPr>
                <w:p>
                  <w:pPr>
                    <w:pStyle w:val="65"/>
                    <w:spacing w:before="10" w:line="240" w:lineRule="auto"/>
                    <w:ind w:right="7"/>
                    <w:jc w:val="center"/>
                    <w:rPr>
                      <w:rFonts w:hint="eastAsia" w:ascii="Times New Roman" w:eastAsiaTheme="minorEastAsia"/>
                      <w:sz w:val="21"/>
                      <w:lang w:val="en-US" w:eastAsia="zh-CN"/>
                    </w:rPr>
                  </w:pPr>
                  <w:r>
                    <w:rPr>
                      <w:rFonts w:hint="eastAsia" w:ascii="Times New Roman"/>
                      <w:sz w:val="21"/>
                      <w:lang w:val="en-US" w:eastAsia="zh-CN"/>
                    </w:rPr>
                    <w:t>50-60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振捣棒</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87</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2</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电锯</w:t>
                  </w:r>
                </w:p>
              </w:tc>
              <w:tc>
                <w:tcPr>
                  <w:tcW w:w="1880" w:type="dxa"/>
                  <w:tcBorders>
                    <w:tl2br w:val="nil"/>
                    <w:tr2bl w:val="nil"/>
                  </w:tcBorders>
                  <w:vAlign w:val="center"/>
                </w:tcPr>
                <w:p>
                  <w:pPr>
                    <w:pStyle w:val="65"/>
                    <w:spacing w:before="8" w:line="240" w:lineRule="auto"/>
                    <w:ind w:left="4" w:right="0"/>
                    <w:jc w:val="center"/>
                    <w:rPr>
                      <w:rFonts w:hint="default" w:ascii="Times New Roman" w:hAnsi="Times New Roman" w:eastAsia="Times New Roman" w:cs="Times New Roman"/>
                      <w:sz w:val="21"/>
                      <w:szCs w:val="21"/>
                    </w:rPr>
                  </w:pPr>
                  <w:r>
                    <w:rPr>
                      <w:rFonts w:ascii="Times New Roman"/>
                      <w:sz w:val="21"/>
                    </w:rPr>
                    <w:t>103</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1</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restart"/>
                  <w:tcBorders>
                    <w:tl2br w:val="nil"/>
                    <w:tr2bl w:val="nil"/>
                  </w:tcBorders>
                  <w:vAlign w:val="center"/>
                </w:tcPr>
                <w:p>
                  <w:pPr>
                    <w:pStyle w:val="65"/>
                    <w:spacing w:line="240" w:lineRule="auto"/>
                    <w:ind w:right="0"/>
                    <w:jc w:val="center"/>
                    <w:rPr>
                      <w:rFonts w:hint="default" w:ascii="宋体" w:hAnsi="宋体" w:eastAsia="宋体" w:cs="宋体"/>
                      <w:sz w:val="21"/>
                      <w:szCs w:val="21"/>
                    </w:rPr>
                  </w:pPr>
                  <w:r>
                    <w:rPr>
                      <w:rFonts w:hint="default" w:ascii="宋体" w:hAnsi="宋体" w:eastAsia="宋体" w:cs="宋体"/>
                      <w:sz w:val="21"/>
                      <w:szCs w:val="21"/>
                    </w:rPr>
                    <w:t>装修施工阶段</w:t>
                  </w: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砂轮车</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91-105</w:t>
                  </w:r>
                </w:p>
              </w:tc>
              <w:tc>
                <w:tcPr>
                  <w:tcW w:w="1297" w:type="dxa"/>
                  <w:tcBorders>
                    <w:tl2br w:val="nil"/>
                    <w:tr2bl w:val="nil"/>
                  </w:tcBorders>
                  <w:vAlign w:val="center"/>
                </w:tcPr>
                <w:p>
                  <w:pPr>
                    <w:pStyle w:val="65"/>
                    <w:spacing w:before="10" w:line="240" w:lineRule="auto"/>
                    <w:ind w:right="7"/>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755" w:type="dxa"/>
                  <w:tcBorders>
                    <w:tl2br w:val="nil"/>
                    <w:tr2bl w:val="nil"/>
                  </w:tcBorders>
                  <w:vAlign w:val="center"/>
                </w:tcPr>
                <w:p>
                  <w:pPr>
                    <w:pStyle w:val="65"/>
                    <w:spacing w:before="10" w:line="240" w:lineRule="auto"/>
                    <w:ind w:right="7"/>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4" w:right="0"/>
                    <w:jc w:val="center"/>
                    <w:rPr>
                      <w:rFonts w:hint="default" w:ascii="宋体" w:hAnsi="宋体" w:eastAsia="宋体" w:cs="宋体"/>
                      <w:sz w:val="21"/>
                      <w:szCs w:val="21"/>
                    </w:rPr>
                  </w:pPr>
                  <w:r>
                    <w:rPr>
                      <w:rFonts w:hint="default" w:ascii="宋体" w:hAnsi="宋体" w:eastAsia="宋体" w:cs="宋体"/>
                      <w:sz w:val="21"/>
                      <w:szCs w:val="21"/>
                    </w:rPr>
                    <w:t>吊车</w:t>
                  </w:r>
                </w:p>
              </w:tc>
              <w:tc>
                <w:tcPr>
                  <w:tcW w:w="1880" w:type="dxa"/>
                  <w:tcBorders>
                    <w:tl2br w:val="nil"/>
                    <w:tr2bl w:val="nil"/>
                  </w:tcBorders>
                  <w:vAlign w:val="center"/>
                </w:tcPr>
                <w:p>
                  <w:pPr>
                    <w:pStyle w:val="65"/>
                    <w:spacing w:before="8" w:line="240" w:lineRule="auto"/>
                    <w:ind w:right="0"/>
                    <w:jc w:val="center"/>
                    <w:rPr>
                      <w:rFonts w:hint="default" w:ascii="Times New Roman" w:hAnsi="Times New Roman" w:eastAsia="Times New Roman" w:cs="Times New Roman"/>
                      <w:sz w:val="21"/>
                      <w:szCs w:val="21"/>
                    </w:rPr>
                  </w:pPr>
                  <w:r>
                    <w:rPr>
                      <w:rFonts w:ascii="Times New Roman"/>
                      <w:sz w:val="21"/>
                    </w:rPr>
                    <w:t>70-80</w:t>
                  </w:r>
                </w:p>
              </w:tc>
              <w:tc>
                <w:tcPr>
                  <w:tcW w:w="1297" w:type="dxa"/>
                  <w:tcBorders>
                    <w:tl2br w:val="nil"/>
                    <w:tr2bl w:val="nil"/>
                  </w:tcBorders>
                  <w:vAlign w:val="center"/>
                </w:tcPr>
                <w:p>
                  <w:pPr>
                    <w:pStyle w:val="65"/>
                    <w:spacing w:before="8" w:line="240" w:lineRule="auto"/>
                    <w:ind w:right="7"/>
                    <w:jc w:val="center"/>
                    <w:rPr>
                      <w:rFonts w:hint="default" w:ascii="Times New Roman" w:hAnsi="Times New Roman" w:eastAsia="Times New Roman" w:cs="Times New Roman"/>
                      <w:sz w:val="21"/>
                      <w:szCs w:val="21"/>
                    </w:rPr>
                  </w:pPr>
                  <w:r>
                    <w:rPr>
                      <w:rFonts w:ascii="Times New Roman"/>
                      <w:sz w:val="21"/>
                    </w:rPr>
                    <w:t>15</w:t>
                  </w:r>
                </w:p>
              </w:tc>
              <w:tc>
                <w:tcPr>
                  <w:tcW w:w="2755" w:type="dxa"/>
                  <w:tcBorders>
                    <w:tl2br w:val="nil"/>
                    <w:tr2bl w:val="nil"/>
                  </w:tcBorders>
                  <w:vAlign w:val="center"/>
                </w:tcPr>
                <w:p>
                  <w:pPr>
                    <w:pStyle w:val="65"/>
                    <w:spacing w:before="8" w:line="240" w:lineRule="auto"/>
                    <w:ind w:right="7"/>
                    <w:jc w:val="center"/>
                    <w:rPr>
                      <w:rFonts w:hint="eastAsia" w:ascii="Times New Roman" w:eastAsiaTheme="minorEastAsia"/>
                      <w:sz w:val="21"/>
                      <w:lang w:val="en-US" w:eastAsia="zh-CN"/>
                    </w:rPr>
                  </w:pPr>
                  <w:r>
                    <w:rPr>
                      <w:rFonts w:hint="eastAsia" w:ascii="Times New Roman"/>
                      <w:sz w:val="21"/>
                      <w:lang w:val="en-US" w:eastAsia="zh-CN"/>
                    </w:rPr>
                    <w:t>50-60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exact"/>
                <w:jc w:val="center"/>
              </w:trPr>
              <w:tc>
                <w:tcPr>
                  <w:tcW w:w="1441" w:type="dxa"/>
                  <w:vMerge w:val="continue"/>
                  <w:tcBorders>
                    <w:tl2br w:val="nil"/>
                    <w:tr2bl w:val="nil"/>
                  </w:tcBorders>
                  <w:vAlign w:val="center"/>
                </w:tcPr>
                <w:p>
                  <w:pPr>
                    <w:jc w:val="center"/>
                  </w:pPr>
                </w:p>
              </w:tc>
              <w:tc>
                <w:tcPr>
                  <w:tcW w:w="1358" w:type="dxa"/>
                  <w:tcBorders>
                    <w:tl2br w:val="nil"/>
                    <w:tr2bl w:val="nil"/>
                  </w:tcBorders>
                  <w:vAlign w:val="center"/>
                </w:tcPr>
                <w:p>
                  <w:pPr>
                    <w:pStyle w:val="65"/>
                    <w:spacing w:line="241" w:lineRule="exact"/>
                    <w:ind w:left="2" w:right="0"/>
                    <w:jc w:val="center"/>
                    <w:rPr>
                      <w:rFonts w:hint="default" w:ascii="宋体" w:hAnsi="宋体" w:eastAsia="宋体" w:cs="宋体"/>
                      <w:sz w:val="21"/>
                      <w:szCs w:val="21"/>
                    </w:rPr>
                  </w:pPr>
                  <w:r>
                    <w:rPr>
                      <w:rFonts w:hint="default" w:ascii="宋体" w:hAnsi="宋体" w:eastAsia="宋体" w:cs="宋体"/>
                      <w:sz w:val="21"/>
                      <w:szCs w:val="21"/>
                    </w:rPr>
                    <w:t>木工圆锯机</w:t>
                  </w:r>
                </w:p>
              </w:tc>
              <w:tc>
                <w:tcPr>
                  <w:tcW w:w="1880" w:type="dxa"/>
                  <w:tcBorders>
                    <w:tl2br w:val="nil"/>
                    <w:tr2bl w:val="nil"/>
                  </w:tcBorders>
                  <w:vAlign w:val="center"/>
                </w:tcPr>
                <w:p>
                  <w:pPr>
                    <w:pStyle w:val="65"/>
                    <w:spacing w:before="10" w:line="240" w:lineRule="auto"/>
                    <w:ind w:right="0"/>
                    <w:jc w:val="center"/>
                    <w:rPr>
                      <w:rFonts w:hint="default" w:ascii="Times New Roman" w:hAnsi="Times New Roman" w:eastAsia="Times New Roman" w:cs="Times New Roman"/>
                      <w:sz w:val="21"/>
                      <w:szCs w:val="21"/>
                    </w:rPr>
                  </w:pPr>
                  <w:r>
                    <w:rPr>
                      <w:rFonts w:ascii="Times New Roman"/>
                      <w:sz w:val="21"/>
                    </w:rPr>
                    <w:t>93-101</w:t>
                  </w:r>
                </w:p>
              </w:tc>
              <w:tc>
                <w:tcPr>
                  <w:tcW w:w="1297" w:type="dxa"/>
                  <w:tcBorders>
                    <w:tl2br w:val="nil"/>
                    <w:tr2bl w:val="nil"/>
                  </w:tcBorders>
                  <w:vAlign w:val="center"/>
                </w:tcPr>
                <w:p>
                  <w:pPr>
                    <w:pStyle w:val="65"/>
                    <w:spacing w:before="10" w:line="240" w:lineRule="auto"/>
                    <w:ind w:right="8"/>
                    <w:jc w:val="center"/>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755" w:type="dxa"/>
                  <w:tcBorders>
                    <w:tl2br w:val="nil"/>
                    <w:tr2bl w:val="nil"/>
                  </w:tcBorders>
                  <w:vAlign w:val="center"/>
                </w:tcPr>
                <w:p>
                  <w:pPr>
                    <w:pStyle w:val="65"/>
                    <w:spacing w:before="10" w:line="240" w:lineRule="auto"/>
                    <w:ind w:right="8"/>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73-81</w:t>
                  </w:r>
                </w:p>
              </w:tc>
            </w:tr>
          </w:tbl>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从表</w:t>
            </w:r>
            <w:r>
              <w:rPr>
                <w:rFonts w:hint="eastAsia" w:cs="Times New Roman"/>
                <w:color w:val="000000"/>
                <w:sz w:val="24"/>
                <w:lang w:val="en-US" w:eastAsia="zh-CN"/>
              </w:rPr>
              <w:t>5-4</w:t>
            </w:r>
            <w:r>
              <w:rPr>
                <w:rFonts w:hint="eastAsia" w:ascii="Times New Roman" w:hAnsi="Times New Roman" w:cs="Times New Roman"/>
                <w:color w:val="000000"/>
                <w:sz w:val="24"/>
                <w:lang w:val="en-US" w:eastAsia="zh-CN"/>
              </w:rPr>
              <w:t>可以看出，各类机械施工的噪声级均比较大，加之人为噪声及其它施工噪声，若未经妥善的隔声降噪处理，将对周围环境造成较大的影响，环评建议采取合理布局、选用低噪声设备、基础减震等措施降低施工期噪声对周边环境的影响。</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4、施工期振动影响</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施工中的振动源主要来自打桩，液压打桩过程产生较大振动主要有以下几种情况：</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①压桩过程中遇地下坚硬物阻挡，如孤石和坚硬底层等，导致重型压桩机被顶起后而向下夯击地面，这种情况产生的能量较大，会引起较大的低频振动，对周边建筑物影响较大；</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②当高强管桩被压到持力层的瞬间，往往压桩机会被轻微抬升，此时当压桩机卸载过快时，同样会导致类似重物夯击地面而引起的振动效应；</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③压桩过程中由于夹具打滑引起的压桩力瞬间释放，引起整个压桩机振动；</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④压桩机在移位过程中，若操作过急，机械晃动幅度较大、机械升降速度较快、底船落地较快，也将产生一定的振动能量；</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⑤两台压桩机同时有振动产生的时候，会产生振动叠加效应，相对外围振动较强。</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5、固体废物</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项目施工过程中固体废弃物主要有生活垃圾、建筑垃圾及废弃土石方。</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（1）生活垃圾</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本项目按照生活垃圾产生系数0.5kg/人·d计算，施工人员为100人，施工周期为12个月，生活垃圾产生量为50kg/d，施工期间生活垃圾产生总量为15t。</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（2）建筑垃圾</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施工过程将产生一定量的建筑废弃物，如废弃砂石、水泥、砖瓦等。根据同类施工统计资料，项目土建施工期碎砖、过剩混凝土等建筑垃圾产生定额为1.5kg/m</w:t>
            </w:r>
            <w:r>
              <w:rPr>
                <w:rFonts w:hint="eastAsia" w:ascii="Times New Roman" w:hAnsi="Times New Roman" w:cs="Times New Roman"/>
                <w:color w:val="000000"/>
                <w:sz w:val="24"/>
                <w:vertAlign w:val="superscript"/>
                <w:lang w:val="en-US" w:eastAsia="zh-CN"/>
              </w:rPr>
              <w:t>2</w:t>
            </w:r>
            <w:r>
              <w:rPr>
                <w:rFonts w:hint="eastAsia" w:ascii="Times New Roman" w:hAnsi="Times New Roman" w:cs="Times New Roman"/>
                <w:color w:val="000000"/>
                <w:sz w:val="24"/>
                <w:lang w:val="en-US" w:eastAsia="zh-CN"/>
              </w:rPr>
              <w:t>建筑面积，总建筑面积为34510.35m</w:t>
            </w:r>
            <w:r>
              <w:rPr>
                <w:rFonts w:hint="eastAsia" w:ascii="Times New Roman" w:hAnsi="Times New Roman" w:cs="Times New Roman"/>
                <w:color w:val="000000"/>
                <w:sz w:val="24"/>
                <w:vertAlign w:val="superscript"/>
                <w:lang w:val="en-US" w:eastAsia="zh-CN"/>
              </w:rPr>
              <w:t>2</w:t>
            </w:r>
            <w:r>
              <w:rPr>
                <w:rFonts w:hint="eastAsia" w:ascii="Times New Roman" w:hAnsi="Times New Roman" w:cs="Times New Roman"/>
                <w:color w:val="000000"/>
                <w:sz w:val="24"/>
                <w:lang w:val="en-US" w:eastAsia="zh-CN"/>
              </w:rPr>
              <w:t>，因此整个施工期建筑垃圾产生量约51.77t，建筑垃圾进行集中堆放，按类分检予以回收，不能回收利用的运往市政部门指定的场所填埋处置。</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（3）废弃土石方</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根据环评现场勘查，项目拟建地目前已完成三通一平，施工期土石方开挖与回填基本可做到平衡，无废弃土石方外运。</w:t>
            </w:r>
          </w:p>
          <w:p>
            <w:pPr>
              <w:adjustRightInd w:val="0"/>
              <w:snapToGrid w:val="0"/>
              <w:spacing w:line="360" w:lineRule="auto"/>
              <w:rPr>
                <w:rFonts w:hint="eastAsia"/>
                <w:b/>
                <w:bCs/>
                <w:sz w:val="28"/>
                <w:szCs w:val="28"/>
                <w:lang w:eastAsia="zh-CN"/>
              </w:rPr>
            </w:pPr>
            <w:r>
              <w:rPr>
                <w:rFonts w:hint="eastAsia"/>
                <w:b/>
                <w:bCs/>
                <w:sz w:val="28"/>
                <w:szCs w:val="28"/>
                <w:lang w:eastAsia="zh-CN"/>
              </w:rPr>
              <w:t>二、运营期工程分析</w:t>
            </w:r>
          </w:p>
          <w:p>
            <w:pPr>
              <w:adjustRightInd w:val="0"/>
              <w:snapToGrid w:val="0"/>
              <w:spacing w:line="360" w:lineRule="auto"/>
              <w:ind w:firstLine="482" w:firstLineChars="200"/>
              <w:rPr>
                <w:rFonts w:hint="eastAsia" w:ascii="Times New Roman" w:hAnsi="Times New Roman" w:cs="Times New Roman"/>
                <w:b/>
                <w:bCs/>
                <w:kern w:val="2"/>
                <w:sz w:val="24"/>
                <w:szCs w:val="24"/>
                <w:u w:val="single"/>
                <w:lang w:val="en-US" w:eastAsia="zh-CN" w:bidi="ar-SA"/>
              </w:rPr>
            </w:pPr>
            <w:r>
              <w:rPr>
                <w:rFonts w:hint="eastAsia" w:ascii="Times New Roman" w:hAnsi="Times New Roman" w:cs="Times New Roman"/>
                <w:b/>
                <w:bCs/>
                <w:kern w:val="2"/>
                <w:sz w:val="24"/>
                <w:szCs w:val="24"/>
                <w:u w:val="single"/>
                <w:lang w:val="en-US" w:eastAsia="zh-CN" w:bidi="ar-SA"/>
              </w:rPr>
              <w:t>环保型猪料及普通水产料生产工艺流程</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single"/>
                <w:lang w:val="en-US" w:eastAsia="zh-CN"/>
              </w:rPr>
              <w:t>运营期环保型猪料及普通水产料生产工艺流程见下图</w:t>
            </w:r>
            <w:r>
              <w:rPr>
                <w:rFonts w:hint="eastAsia" w:cs="Times New Roman"/>
                <w:sz w:val="24"/>
                <w:u w:val="single"/>
                <w:lang w:val="en-US" w:eastAsia="zh-CN"/>
              </w:rPr>
              <w:t>5</w:t>
            </w:r>
            <w:r>
              <w:rPr>
                <w:rFonts w:hint="eastAsia" w:ascii="Times New Roman" w:hAnsi="Times New Roman" w:cs="Times New Roman"/>
                <w:sz w:val="24"/>
                <w:u w:val="single"/>
                <w:lang w:val="en-US" w:eastAsia="zh-CN"/>
              </w:rPr>
              <w:t>-2。</w:t>
            </w:r>
          </w:p>
          <w:p>
            <w:pPr>
              <w:jc w:val="left"/>
              <w:rPr>
                <w:rFonts w:hint="eastAsia" w:ascii="Times New Roman" w:hAnsi="Times New Roman" w:cs="Times New Roman" w:eastAsiaTheme="minorEastAsia"/>
                <w:kern w:val="2"/>
                <w:sz w:val="24"/>
                <w:szCs w:val="24"/>
                <w:u w:val="none"/>
                <w:lang w:val="en-US" w:eastAsia="zh-CN" w:bidi="ar-SA"/>
              </w:rPr>
            </w:pPr>
            <w:r>
              <w:rPr>
                <w:rFonts w:hint="eastAsia" w:ascii="Times New Roman" w:hAnsi="Times New Roman" w:cs="Times New Roman" w:eastAsiaTheme="minorEastAsia"/>
                <w:kern w:val="2"/>
                <w:sz w:val="24"/>
                <w:szCs w:val="24"/>
                <w:u w:val="none"/>
                <w:lang w:val="en-US" w:eastAsia="zh-CN" w:bidi="ar-SA"/>
              </w:rPr>
              <w:object>
                <v:shape id="_x0000_i1030" o:spt="75" type="#_x0000_t75" style="height:404.15pt;width:436.65pt;" o:ole="t" filled="f" o:preferrelative="t" stroked="f" coordsize="21600,21600">
                  <v:path/>
                  <v:fill on="f" focussize="0,0"/>
                  <v:stroke on="f"/>
                  <v:imagedata r:id="rId23" o:title=""/>
                  <o:lock v:ext="edit" aspectratio="f"/>
                  <w10:wrap type="none"/>
                  <w10:anchorlock/>
                </v:shape>
                <o:OLEObject Type="Embed" ProgID="Visio.Drawing.11" ShapeID="_x0000_i1030" DrawAspect="Content" ObjectID="_1468075730" r:id="rId22">
                  <o:LockedField>false</o:LockedField>
                </o:OLEObject>
              </w:object>
            </w:r>
          </w:p>
          <w:p>
            <w:pPr>
              <w:pStyle w:val="29"/>
              <w:ind w:left="0" w:leftChars="0" w:firstLine="0" w:firstLineChars="0"/>
              <w:jc w:val="center"/>
              <w:rPr>
                <w:rFonts w:hint="eastAsia"/>
                <w:b/>
                <w:bCs/>
                <w:sz w:val="21"/>
                <w:szCs w:val="21"/>
                <w:u w:val="single"/>
                <w:lang w:val="en-US" w:eastAsia="zh-CN"/>
              </w:rPr>
            </w:pPr>
            <w:r>
              <w:rPr>
                <w:rFonts w:hint="eastAsia" w:ascii="Times New Roman" w:hAnsi="Times New Roman" w:cs="Times New Roman"/>
                <w:b/>
                <w:bCs/>
                <w:sz w:val="21"/>
                <w:szCs w:val="21"/>
                <w:u w:val="single"/>
                <w:lang w:val="en-US" w:eastAsia="zh-CN"/>
              </w:rPr>
              <w:t>图5-2  运营期环保型猪料及普通水产料生产工艺流程及产污环节图</w:t>
            </w:r>
          </w:p>
          <w:p>
            <w:pPr>
              <w:adjustRightInd w:val="0"/>
              <w:snapToGrid w:val="0"/>
              <w:spacing w:line="360" w:lineRule="auto"/>
              <w:ind w:firstLine="482" w:firstLineChars="200"/>
              <w:rPr>
                <w:rFonts w:hint="eastAsia" w:ascii="Times New Roman" w:hAnsi="Times New Roman" w:cs="Times New Roman"/>
                <w:b/>
                <w:bCs/>
                <w:sz w:val="24"/>
                <w:u w:val="none"/>
                <w:lang w:val="en-US" w:eastAsia="zh-CN"/>
              </w:rPr>
            </w:pPr>
            <w:r>
              <w:rPr>
                <w:rFonts w:hint="eastAsia" w:ascii="Times New Roman" w:hAnsi="Times New Roman" w:cs="Times New Roman"/>
                <w:b/>
                <w:bCs/>
                <w:sz w:val="24"/>
                <w:u w:val="none"/>
                <w:lang w:val="en-US" w:eastAsia="zh-CN"/>
              </w:rPr>
              <w:t>工艺流程简述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1、原料接收：</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大批量的原料设计用立式筒仓储存(如玉米、小麦等)，其它的原料仓库设计存放在投料口旁边，方便原料通过输送设各进入下一工序，本工序主要污染物为粉尘及噪声。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2、原料初清：</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清理是饲料厂保证饲料质量，设备安全运行的关键工序，主要有初清和吸铁两个环节，初清筛安装在原料进入车间待粉碎仓之前，吸铁器安装在初清筛之后，保证清洁的原料进入下工序，本工序主要污染物为粉尘、噪声及杂质。</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3、粉碎工序：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饲料粉碎的工艺流程是根据要求的粒度，饲料的品种等条件而定，是一个关键性工序，它关系到配合饲料的质量，产量，电耗和成本。饲料原料经过粉碎有利于畜禽的消化和吸收，提高饲料的转化率，同时益于均匀混合，使添加剂类的饲料成分容易均匀地添加到饲料中，本项目分一次粉碎和二次粉碎，根据产品要求，经过一次粉碎后达到要求的原材料直接进入后续生产环节，经过筛分后达不到产品要求的原材料进行二次粉碎，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4、配料工序：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配料工序对成品，产量等有很大的关系，采用重量式电子称自动配料系统，精度高，速度快，工艺流程简单，操作维修方便，本工序主要污染物为粉尘及噪声。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5、混合工序：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混合工序是保证饲料质量的关键，也决定饲料厂的规模，采用与配料称相匹配的双轴浆叶式混合机，使全部按配方要求计量的物料都混合均匀，本工序主要污染物为粉尘及噪声。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6、制粒工序：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饲料压粒前通入蒸汽，饲料与蒸汽搅拌混合、湿热调质作用，使饲料中淀粉糊化提高消率和营养价值，杀菌，增加饲料粘着性（有利饲料成型），提高制粒机生产效率，降低饲料粉化率提高产品质量。通常调质蒸汽的添加量是进料3%，物料调质时间为15~30min。然后通过制粒机压成不同粒径的颗粒料，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7、冷却工序：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在制粒过程中由于通入高温、高湿的蒸汽同时物料被挤压产生大量的热，使得颗粒饲料刚从制粒机出来时，含水量达16%-18%，温度高达85℃左右，在这种条件下，颗粒饲料容易变形破碎，贮藏时也会产生粘结和霉变现象，必须使其水分降至 14%以下，温度降低至比气温高8℃以下，这就需要冷却，本项目冷却工序主要利用负压风机将产品中热蒸汽抽出，从而达到冷却目的，本工序主要向外环境排放热蒸汽。</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8、成品筛分</w:t>
            </w:r>
          </w:p>
          <w:p>
            <w:pPr>
              <w:adjustRightInd w:val="0"/>
              <w:snapToGrid w:val="0"/>
              <w:spacing w:line="360" w:lineRule="auto"/>
              <w:ind w:firstLine="480" w:firstLineChars="200"/>
              <w:rPr>
                <w:rFonts w:hint="default" w:ascii="Times New Roman" w:hAnsi="Times New Roman" w:cs="Times New Roman"/>
                <w:sz w:val="24"/>
                <w:u w:val="none"/>
                <w:lang w:val="en-US" w:eastAsia="zh-CN"/>
              </w:rPr>
            </w:pPr>
            <w:r>
              <w:rPr>
                <w:rFonts w:hint="eastAsia" w:ascii="Times New Roman" w:hAnsi="Times New Roman" w:cs="Times New Roman"/>
                <w:sz w:val="24"/>
                <w:u w:val="none"/>
                <w:lang w:val="en-US" w:eastAsia="zh-CN"/>
              </w:rPr>
              <w:t>成品进入打包工序前需进行筛分，去除制粒过程中夹带的粉尘及冷却过程中破碎的成品料，筛下物直接返回前端工序再加工，本工序主要污染物为粉尘及噪声。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9、产品检验</w:t>
            </w:r>
            <w:bookmarkStart w:id="73" w:name="_GoBack"/>
            <w:bookmarkEnd w:id="73"/>
          </w:p>
          <w:p>
            <w:pPr>
              <w:adjustRightInd w:val="0"/>
              <w:snapToGrid w:val="0"/>
              <w:spacing w:line="360" w:lineRule="auto"/>
              <w:ind w:firstLine="480" w:firstLineChars="200"/>
              <w:rPr>
                <w:rFonts w:hint="default" w:ascii="Times New Roman" w:hAnsi="Times New Roman" w:cs="Times New Roman"/>
                <w:sz w:val="24"/>
                <w:u w:val="none"/>
                <w:lang w:val="en-US" w:eastAsia="zh-CN"/>
              </w:rPr>
            </w:pPr>
            <w:r>
              <w:rPr>
                <w:rFonts w:hint="eastAsia" w:ascii="Times New Roman" w:hAnsi="Times New Roman" w:cs="Times New Roman"/>
                <w:sz w:val="24"/>
                <w:u w:val="none"/>
                <w:lang w:val="en-US" w:eastAsia="zh-CN"/>
              </w:rPr>
              <w:t>根据建设单位介绍，每批次成品需进行抽样检查，主要对产品中蛋白质含量进行检验，检验过程仅为普通生化实验，不涉及重金属等污染物，本工序主要污染物为危险废物。</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10、打包工序：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采用计量精度高的电子计量打包称将合格的饲料成品包装，存放到成品仓中，本工序主要污染物为粉尘、噪声及固废。</w:t>
            </w:r>
          </w:p>
          <w:p>
            <w:pPr>
              <w:adjustRightInd w:val="0"/>
              <w:snapToGrid w:val="0"/>
              <w:spacing w:line="360" w:lineRule="auto"/>
              <w:ind w:firstLine="482" w:firstLineChars="200"/>
              <w:rPr>
                <w:rFonts w:hint="eastAsia" w:ascii="Times New Roman" w:hAnsi="Times New Roman" w:cs="Times New Roman"/>
                <w:b/>
                <w:bCs/>
                <w:color w:val="000000"/>
                <w:sz w:val="24"/>
                <w:lang w:val="en-US" w:eastAsia="zh-CN"/>
              </w:rPr>
            </w:pPr>
            <w:r>
              <w:rPr>
                <w:rFonts w:hint="eastAsia" w:ascii="Times New Roman" w:hAnsi="Times New Roman" w:cs="Times New Roman"/>
                <w:b/>
                <w:bCs/>
                <w:kern w:val="2"/>
                <w:sz w:val="24"/>
                <w:szCs w:val="24"/>
                <w:u w:val="single"/>
                <w:lang w:val="en-US" w:eastAsia="zh-CN" w:bidi="ar-SA"/>
              </w:rPr>
              <w:t>发酵料生产</w:t>
            </w:r>
            <w:r>
              <w:rPr>
                <w:rFonts w:hint="eastAsia" w:ascii="Times New Roman" w:hAnsi="Times New Roman" w:cs="Times New Roman" w:eastAsiaTheme="minorEastAsia"/>
                <w:b/>
                <w:bCs/>
                <w:kern w:val="2"/>
                <w:sz w:val="24"/>
                <w:szCs w:val="24"/>
                <w:u w:val="single"/>
                <w:lang w:val="en-US" w:eastAsia="zh-CN" w:bidi="ar-SA"/>
              </w:rPr>
              <w:t>工艺流程</w:t>
            </w:r>
          </w:p>
          <w:p>
            <w:pPr>
              <w:adjustRightInd w:val="0"/>
              <w:snapToGrid w:val="0"/>
              <w:spacing w:line="360" w:lineRule="auto"/>
              <w:jc w:val="center"/>
              <w:rPr>
                <w:b/>
                <w:bCs/>
              </w:rPr>
            </w:pPr>
            <w:r>
              <w:rPr>
                <w:b/>
                <w:bCs/>
              </w:rPr>
              <w:object>
                <v:shape id="_x0000_i1031" o:spt="75" type="#_x0000_t75" style="height:199pt;width:297pt;" o:ole="t" filled="f" o:preferrelative="t" stroked="f" coordsize="21600,21600">
                  <v:path/>
                  <v:fill on="f" focussize="0,0"/>
                  <v:stroke on="f"/>
                  <v:imagedata r:id="rId25" o:title=""/>
                  <o:lock v:ext="edit" aspectratio="f"/>
                  <w10:wrap type="none"/>
                  <w10:anchorlock/>
                </v:shape>
                <o:OLEObject Type="Embed" ProgID="Visio.Drawing.11" ShapeID="_x0000_i1031" DrawAspect="Content" ObjectID="_1468075731" r:id="rId24">
                  <o:LockedField>false</o:LockedField>
                </o:OLEObject>
              </w:object>
            </w:r>
          </w:p>
          <w:p>
            <w:pPr>
              <w:adjustRightInd w:val="0"/>
              <w:snapToGrid w:val="0"/>
              <w:spacing w:line="360" w:lineRule="auto"/>
              <w:jc w:val="center"/>
              <w:rPr>
                <w:rFonts w:hint="eastAsia" w:ascii="Times New Roman" w:hAnsi="Times New Roman" w:cs="Times New Roman"/>
                <w:color w:val="000000"/>
                <w:sz w:val="24"/>
                <w:u w:val="single"/>
                <w:lang w:val="en-US" w:eastAsia="zh-CN"/>
              </w:rPr>
            </w:pPr>
            <w:r>
              <w:rPr>
                <w:b/>
                <w:bCs/>
                <w:u w:val="single"/>
              </w:rPr>
              <w:t>图</w:t>
            </w:r>
            <w:r>
              <w:rPr>
                <w:b/>
                <w:bCs/>
                <w:spacing w:val="-61"/>
                <w:u w:val="single"/>
              </w:rPr>
              <w:t xml:space="preserve"> </w:t>
            </w:r>
            <w:r>
              <w:rPr>
                <w:rFonts w:hint="eastAsia" w:cs="Times New Roman"/>
                <w:b/>
                <w:bCs/>
                <w:u w:val="single"/>
                <w:lang w:val="en-US" w:eastAsia="zh-CN"/>
              </w:rPr>
              <w:t>5-3</w:t>
            </w:r>
            <w:r>
              <w:rPr>
                <w:rFonts w:hint="eastAsia" w:ascii="Times New Roman" w:hAnsi="Times New Roman" w:eastAsia="宋体" w:cs="Times New Roman"/>
                <w:b/>
                <w:bCs/>
                <w:u w:val="single"/>
                <w:lang w:val="en-US" w:eastAsia="zh-CN"/>
              </w:rPr>
              <w:t xml:space="preserve">  </w:t>
            </w:r>
            <w:r>
              <w:rPr>
                <w:rFonts w:hint="eastAsia" w:eastAsia="宋体"/>
                <w:b/>
                <w:bCs/>
                <w:u w:val="single"/>
                <w:lang w:eastAsia="zh-CN"/>
              </w:rPr>
              <w:t>发酵料</w:t>
            </w:r>
            <w:r>
              <w:rPr>
                <w:b/>
                <w:bCs/>
                <w:u w:val="single"/>
              </w:rPr>
              <w:t>生产工艺流程及产污环节图</w:t>
            </w:r>
          </w:p>
          <w:p>
            <w:pPr>
              <w:adjustRightInd w:val="0"/>
              <w:snapToGrid w:val="0"/>
              <w:spacing w:line="360" w:lineRule="auto"/>
              <w:ind w:firstLine="482" w:firstLineChars="200"/>
              <w:rPr>
                <w:rFonts w:hint="eastAsia" w:ascii="Times New Roman" w:hAnsi="Times New Roman" w:cs="Times New Roman"/>
                <w:b/>
                <w:bCs/>
                <w:sz w:val="24"/>
                <w:lang w:val="en-US" w:eastAsia="zh-CN"/>
              </w:rPr>
            </w:pPr>
            <w:r>
              <w:rPr>
                <w:rFonts w:hint="eastAsia" w:ascii="Times New Roman" w:hAnsi="Times New Roman" w:cs="Times New Roman"/>
                <w:b/>
                <w:bCs/>
                <w:kern w:val="2"/>
                <w:sz w:val="24"/>
                <w:szCs w:val="24"/>
                <w:u w:val="none"/>
                <w:lang w:val="en-US" w:eastAsia="zh-CN" w:bidi="ar-SA"/>
              </w:rPr>
              <w:t>工艺流程简述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1、原料称重后通过输送直接送入双轴高效混合机，菌种通过电子液体称同时喷入，计量精准、混合均匀度高、占地面积小，实现精准接种混合生产。</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2、固态发酵系统：采用车阵+呼吸袋二次接种发酵工艺。第一次接种为好氧发酵，由车阵式发酵系统完成，技术成熟可靠，实现发酵作业的连续化、规模化生产。 发酵为24小时。从发酵车排出的物料通过称重计量送入混合机进行第二次接种，然后由电子秤打包送至呼吸袋，再由自动码包系统码包后送入仓库进行厌氧发酵，本工序主要污染物为发酵床产生的恶臭气体。</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3、产品检验</w:t>
            </w:r>
          </w:p>
          <w:p>
            <w:pPr>
              <w:adjustRightInd w:val="0"/>
              <w:snapToGrid w:val="0"/>
              <w:spacing w:line="360" w:lineRule="auto"/>
              <w:ind w:firstLine="480" w:firstLineChars="200"/>
              <w:rPr>
                <w:rFonts w:hint="default" w:ascii="Times New Roman" w:hAnsi="Times New Roman" w:cs="Times New Roman"/>
                <w:sz w:val="24"/>
                <w:u w:val="none"/>
                <w:lang w:val="en-US" w:eastAsia="zh-CN"/>
              </w:rPr>
            </w:pPr>
            <w:r>
              <w:rPr>
                <w:rFonts w:hint="eastAsia" w:ascii="Times New Roman" w:hAnsi="Times New Roman" w:cs="Times New Roman"/>
                <w:sz w:val="24"/>
                <w:u w:val="none"/>
                <w:lang w:val="en-US" w:eastAsia="zh-CN"/>
              </w:rPr>
              <w:t>根据建设单位介绍，每批次成品需进行抽样检查，主要对产品中蛋白质含量进行检验，检验过程仅为普通生化实验，不涉及重金属等污染物，本工序主要污染物为危险废物。</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4、打包工序：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采用计量精度高的电子计量打包称将合格的饲料成品包装，存放到成品仓中，本工序主要污染物为粉尘、噪声及固废。</w:t>
            </w:r>
          </w:p>
          <w:p>
            <w:pPr>
              <w:adjustRightInd w:val="0"/>
              <w:snapToGrid w:val="0"/>
              <w:spacing w:line="360" w:lineRule="auto"/>
              <w:ind w:firstLine="482" w:firstLineChars="200"/>
              <w:rPr>
                <w:rFonts w:hint="eastAsia" w:ascii="Times New Roman"/>
                <w:b/>
                <w:bCs/>
                <w:sz w:val="21"/>
                <w:lang w:val="en-US" w:eastAsia="zh-CN"/>
              </w:rPr>
            </w:pPr>
            <w:r>
              <w:rPr>
                <w:rFonts w:hint="eastAsia" w:ascii="Times New Roman" w:hAnsi="Times New Roman" w:cs="Times New Roman"/>
                <w:b/>
                <w:bCs/>
                <w:kern w:val="2"/>
                <w:sz w:val="24"/>
                <w:szCs w:val="24"/>
                <w:u w:val="single"/>
                <w:lang w:val="en-US" w:eastAsia="zh-CN" w:bidi="ar-SA"/>
              </w:rPr>
              <w:t>膨化水产料生产工艺流程</w:t>
            </w:r>
          </w:p>
          <w:p>
            <w:pPr>
              <w:pStyle w:val="22"/>
              <w:ind w:left="0" w:leftChars="0" w:firstLine="0" w:firstLineChars="0"/>
              <w:jc w:val="center"/>
              <w:rPr>
                <w:rFonts w:hint="default" w:ascii="Times New Roman"/>
                <w:b/>
                <w:bCs/>
                <w:sz w:val="21"/>
                <w:u w:val="single"/>
                <w:lang w:val="en-US" w:eastAsia="zh-CN"/>
              </w:rPr>
            </w:pPr>
            <w:r>
              <w:rPr>
                <w:rFonts w:hint="eastAsia" w:ascii="Times New Roman"/>
                <w:b/>
                <w:bCs/>
                <w:sz w:val="21"/>
                <w:lang w:val="en-US" w:eastAsia="zh-CN"/>
              </w:rPr>
              <w:object>
                <v:shape id="_x0000_i1032" o:spt="75" type="#_x0000_t75" style="height:327.85pt;width:436.6pt;" o:ole="t" filled="f" o:preferrelative="t" stroked="f" coordsize="21600,21600">
                  <v:path/>
                  <v:fill on="f" focussize="0,0"/>
                  <v:stroke on="f"/>
                  <v:imagedata r:id="rId27" o:title=""/>
                  <o:lock v:ext="edit" aspectratio="f"/>
                  <w10:wrap type="none"/>
                  <w10:anchorlock/>
                </v:shape>
                <o:OLEObject Type="Embed" ProgID="Visio.Drawing.11" ShapeID="_x0000_i1032" DrawAspect="Content" ObjectID="_1468075732" r:id="rId26">
                  <o:LockedField>false</o:LockedField>
                </o:OLEObject>
              </w:object>
            </w:r>
            <w:r>
              <w:rPr>
                <w:rFonts w:hint="default" w:ascii="Times New Roman"/>
                <w:b/>
                <w:bCs/>
                <w:sz w:val="21"/>
                <w:u w:val="single"/>
                <w:lang w:val="en-US" w:eastAsia="zh-CN"/>
              </w:rPr>
              <w:t>图</w:t>
            </w:r>
            <w:r>
              <w:rPr>
                <w:rFonts w:hint="eastAsia"/>
                <w:b/>
                <w:bCs/>
                <w:sz w:val="21"/>
                <w:u w:val="single"/>
                <w:lang w:val="en-US" w:eastAsia="zh-CN"/>
              </w:rPr>
              <w:t>5-4</w:t>
            </w:r>
            <w:r>
              <w:rPr>
                <w:rFonts w:hint="default" w:ascii="Times New Roman"/>
                <w:b/>
                <w:bCs/>
                <w:sz w:val="21"/>
                <w:u w:val="single"/>
                <w:lang w:val="en-US" w:eastAsia="zh-CN"/>
              </w:rPr>
              <w:tab/>
            </w:r>
            <w:r>
              <w:rPr>
                <w:rFonts w:hint="eastAsia" w:ascii="Times New Roman"/>
                <w:b/>
                <w:bCs/>
                <w:sz w:val="21"/>
                <w:u w:val="single"/>
                <w:lang w:val="en-US" w:eastAsia="zh-CN"/>
              </w:rPr>
              <w:t>膨化水产料生产工艺流程及产污环节图</w:t>
            </w:r>
          </w:p>
          <w:p>
            <w:pPr>
              <w:pStyle w:val="18"/>
              <w:spacing w:line="360" w:lineRule="auto"/>
              <w:ind w:left="0" w:leftChars="0" w:firstLine="482" w:firstLineChars="200"/>
              <w:rPr>
                <w:rFonts w:hint="eastAsia" w:ascii="Times New Roman" w:hAnsi="Times New Roman" w:cs="Times New Roman"/>
                <w:b/>
                <w:bCs/>
                <w:kern w:val="2"/>
                <w:sz w:val="24"/>
                <w:szCs w:val="24"/>
                <w:u w:val="none"/>
                <w:lang w:val="en-US" w:eastAsia="zh-CN" w:bidi="ar-SA"/>
              </w:rPr>
            </w:pPr>
            <w:r>
              <w:rPr>
                <w:rFonts w:hint="eastAsia" w:ascii="Times New Roman" w:hAnsi="Times New Roman" w:cs="Times New Roman"/>
                <w:b/>
                <w:bCs/>
                <w:kern w:val="2"/>
                <w:sz w:val="24"/>
                <w:szCs w:val="24"/>
                <w:u w:val="none"/>
                <w:lang w:val="en-US" w:eastAsia="zh-CN" w:bidi="ar-SA"/>
              </w:rPr>
              <w:t>工艺流程简述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1、原料接收：</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大批量的原料设计用立式筒仓储存(如玉米、小麦等)，其它的原料仓库设计存放在投料口旁边，方便原料通过输送设各进入下一工序，本工序主要污染物为粉尘及噪声。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2、原料初清：</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清理是饲料厂保证饲料质量，设备安全运行的关键工序，主要有初清和吸铁两个环节，初清筛安装在原料进入车间待粉碎仓之前，吸铁器安装在初清筛之后，保证清洁的原料进入下工序，本工序主要污染物为粉尘、噪声及杂质。</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3、粉碎工序：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饲料粉碎的工艺流程是根据要求的粒度，饲料的品种等条件而定，是一个关键性工序，它关系到配合饲料的质量，产量，电耗和成本。饲料原料经过粉碎有利于畜禽的消化和吸收，提高饲料的转化率，同时益于均匀混合，使添加剂类的饲料成分容易均匀地添加到饲料中，本项目分一次粉碎和二次粉碎，根据产品要求，经过一次粉碎后达到要求的原材料直接进入后续生产环节，经过筛分后达不到产品要求的原材料进行二次粉碎，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4、配料工序：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配料工序对成品，产量等有很大的关系，采用重量式电子称自动配料系统，精度高，速度快，工艺流程简单，操作维修方便，本工序主要污染物为粉尘及噪声。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5、混合工序：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混合工序是保证饲料质量的关键，也决定饲料厂的规模，采用与配料称相匹配的双轴浆叶式混合机，使全部按配方要求计量的物料都混合均匀，本工序主要污染物为粉尘及噪声。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6、膨化工序：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膨化饲料是将粉状原料（含淀粉或蛋白质）送入膨化机内，经过一次连续的混合、剪切、调质、升温、增压、挤出模孔、骤然降压、切粒、干燥、稳定等过程所制得的一种膨松多孔的颗粒饲料，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7、冷却工序：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在制粒过程中由于通入高温、高湿的蒸汽同时物料被挤压产生大量的热，使得颗粒饲料刚从制粒机出来时，含水量达16%-18%，温度高达85℃左右，在这种条件下，颗粒饲料容易变形破碎，贮藏时也会产生粘结和霉变现象，必须使其水分降至 14%以下，温度降低至比气温高8℃以下，这就需要冷却，本项目冷却工序主要利用负压风机将产品中热蒸汽抽出，从而达到冷却目的，本工序主要向外环境排放热蒸汽。</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8、成品筛分</w:t>
            </w:r>
          </w:p>
          <w:p>
            <w:pPr>
              <w:adjustRightInd w:val="0"/>
              <w:snapToGrid w:val="0"/>
              <w:spacing w:line="360" w:lineRule="auto"/>
              <w:ind w:firstLine="480" w:firstLineChars="200"/>
              <w:rPr>
                <w:rFonts w:hint="default" w:ascii="Times New Roman" w:hAnsi="Times New Roman" w:cs="Times New Roman"/>
                <w:sz w:val="24"/>
                <w:u w:val="none"/>
                <w:lang w:val="en-US" w:eastAsia="zh-CN"/>
              </w:rPr>
            </w:pPr>
            <w:r>
              <w:rPr>
                <w:rFonts w:hint="eastAsia" w:ascii="Times New Roman" w:hAnsi="Times New Roman" w:cs="Times New Roman"/>
                <w:sz w:val="24"/>
                <w:u w:val="none"/>
                <w:lang w:val="en-US" w:eastAsia="zh-CN"/>
              </w:rPr>
              <w:t>成品进入打包工序前需进行筛分，去除制粒过程中夹带的粉尘及冷却过程中破碎的成品料，筛下物直接返回前端工序再加工，本工序主要污染物为粉尘及噪声。</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9、产品检验</w:t>
            </w:r>
          </w:p>
          <w:p>
            <w:pPr>
              <w:adjustRightInd w:val="0"/>
              <w:snapToGrid w:val="0"/>
              <w:spacing w:line="360" w:lineRule="auto"/>
              <w:ind w:firstLine="480" w:firstLineChars="200"/>
              <w:rPr>
                <w:rFonts w:hint="default" w:ascii="Times New Roman" w:hAnsi="Times New Roman" w:cs="Times New Roman"/>
                <w:sz w:val="24"/>
                <w:u w:val="none"/>
                <w:lang w:val="en-US" w:eastAsia="zh-CN"/>
              </w:rPr>
            </w:pPr>
            <w:r>
              <w:rPr>
                <w:rFonts w:hint="eastAsia" w:ascii="Times New Roman" w:hAnsi="Times New Roman" w:cs="Times New Roman"/>
                <w:sz w:val="24"/>
                <w:u w:val="none"/>
                <w:lang w:val="en-US" w:eastAsia="zh-CN"/>
              </w:rPr>
              <w:t>根据建设单位介绍，每批次成品需进行抽样检查，主要对产品中蛋白质含量进行检验，检验过程仅为普通生化实验，不涉及重金属等污染物，本工序主要污染物为危险废物。</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10、打包工序：</w:t>
            </w:r>
          </w:p>
          <w:p>
            <w:pPr>
              <w:adjustRightInd w:val="0"/>
              <w:snapToGrid w:val="0"/>
              <w:spacing w:line="360" w:lineRule="auto"/>
              <w:ind w:firstLine="480" w:firstLineChars="200"/>
              <w:rPr>
                <w:rFonts w:hint="eastAsia" w:ascii="Times New Roman" w:hAnsi="Times New Roman" w:cs="Times New Roman"/>
                <w:sz w:val="24"/>
                <w:u w:val="none"/>
                <w:lang w:val="en-US" w:eastAsia="zh-CN"/>
              </w:rPr>
            </w:pPr>
            <w:r>
              <w:rPr>
                <w:rFonts w:hint="eastAsia" w:ascii="Times New Roman" w:hAnsi="Times New Roman" w:cs="Times New Roman"/>
                <w:sz w:val="24"/>
                <w:u w:val="none"/>
                <w:lang w:val="en-US" w:eastAsia="zh-CN"/>
              </w:rPr>
              <w:t>采用计量精度高的电子计量打包称将合格的饲料成品包装，存放到成品仓中，本工序主要污染物为粉尘、噪声及固废。</w:t>
            </w:r>
          </w:p>
          <w:p>
            <w:pPr>
              <w:adjustRightInd w:val="0"/>
              <w:snapToGrid w:val="0"/>
              <w:spacing w:line="360" w:lineRule="auto"/>
              <w:jc w:val="center"/>
              <w:rPr>
                <w:b/>
                <w:szCs w:val="21"/>
                <w:u w:val="single"/>
              </w:rPr>
            </w:pPr>
            <w:r>
              <w:rPr>
                <w:rFonts w:hint="eastAsia"/>
                <w:b/>
                <w:szCs w:val="21"/>
                <w:u w:val="single"/>
              </w:rPr>
              <w:t>表5-</w:t>
            </w:r>
            <w:r>
              <w:rPr>
                <w:rFonts w:hint="eastAsia"/>
                <w:b/>
                <w:szCs w:val="21"/>
                <w:u w:val="single"/>
                <w:lang w:val="en-US" w:eastAsia="zh-CN"/>
              </w:rPr>
              <w:t>5</w:t>
            </w:r>
            <w:r>
              <w:rPr>
                <w:rFonts w:hint="eastAsia"/>
                <w:b/>
                <w:szCs w:val="21"/>
                <w:u w:val="single"/>
              </w:rPr>
              <w:t xml:space="preserve">  项目营运期产污情况一览表</w:t>
            </w:r>
          </w:p>
          <w:tbl>
            <w:tblPr>
              <w:tblStyle w:val="23"/>
              <w:tblW w:w="86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8"/>
              <w:gridCol w:w="1940"/>
              <w:gridCol w:w="1956"/>
              <w:gridCol w:w="3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8"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u w:val="single"/>
                      <w:lang w:val="en-US" w:eastAsia="zh-CN"/>
                    </w:rPr>
                  </w:pPr>
                  <w:r>
                    <w:rPr>
                      <w:rFonts w:hint="default" w:ascii="Times New Roman" w:hAnsi="Times New Roman" w:cs="Times New Roman"/>
                      <w:b/>
                      <w:bCs/>
                      <w:kern w:val="0"/>
                      <w:sz w:val="21"/>
                      <w:szCs w:val="21"/>
                      <w:u w:val="single"/>
                      <w:lang w:val="en-US" w:eastAsia="zh-CN"/>
                    </w:rPr>
                    <w:t>污染因素</w:t>
                  </w:r>
                </w:p>
              </w:tc>
              <w:tc>
                <w:tcPr>
                  <w:tcW w:w="194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u w:val="single"/>
                      <w:lang w:val="en-US" w:eastAsia="zh-CN"/>
                    </w:rPr>
                  </w:pPr>
                  <w:r>
                    <w:rPr>
                      <w:rFonts w:hint="default" w:ascii="Times New Roman" w:hAnsi="Times New Roman" w:cs="Times New Roman"/>
                      <w:b/>
                      <w:bCs/>
                      <w:kern w:val="0"/>
                      <w:sz w:val="21"/>
                      <w:szCs w:val="21"/>
                      <w:u w:val="single"/>
                      <w:lang w:val="en-US" w:eastAsia="zh-CN"/>
                    </w:rPr>
                    <w:t>污染工序</w:t>
                  </w:r>
                </w:p>
              </w:tc>
              <w:tc>
                <w:tcPr>
                  <w:tcW w:w="1956"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u w:val="single"/>
                      <w:lang w:val="en-US" w:eastAsia="zh-CN"/>
                    </w:rPr>
                  </w:pPr>
                  <w:r>
                    <w:rPr>
                      <w:rFonts w:hint="default" w:ascii="Times New Roman" w:hAnsi="Times New Roman" w:cs="Times New Roman"/>
                      <w:b/>
                      <w:bCs/>
                      <w:kern w:val="0"/>
                      <w:sz w:val="21"/>
                      <w:szCs w:val="21"/>
                      <w:u w:val="single"/>
                      <w:lang w:val="en-US" w:eastAsia="zh-CN"/>
                    </w:rPr>
                    <w:t>污染物</w:t>
                  </w:r>
                </w:p>
              </w:tc>
              <w:tc>
                <w:tcPr>
                  <w:tcW w:w="3603"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21"/>
                      <w:szCs w:val="21"/>
                      <w:u w:val="single"/>
                      <w:lang w:val="en-US" w:eastAsia="zh-CN"/>
                    </w:rPr>
                  </w:pPr>
                  <w:r>
                    <w:rPr>
                      <w:rFonts w:hint="default" w:ascii="Times New Roman" w:hAnsi="Times New Roman" w:cs="Times New Roman"/>
                      <w:b/>
                      <w:bCs/>
                      <w:kern w:val="0"/>
                      <w:sz w:val="21"/>
                      <w:szCs w:val="21"/>
                      <w:u w:val="single"/>
                      <w:lang w:val="en-US" w:eastAsia="zh-CN"/>
                    </w:rPr>
                    <w:t>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8"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kern w:val="0"/>
                      <w:sz w:val="21"/>
                      <w:szCs w:val="21"/>
                      <w:u w:val="single"/>
                      <w:lang w:val="en-US" w:eastAsia="zh-CN"/>
                    </w:rPr>
                    <w:t>废气</w:t>
                  </w:r>
                </w:p>
              </w:tc>
              <w:tc>
                <w:tcPr>
                  <w:tcW w:w="19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筒仓原料接收G1</w:t>
                  </w:r>
                </w:p>
              </w:tc>
              <w:tc>
                <w:tcPr>
                  <w:tcW w:w="19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颗粒物</w:t>
                  </w:r>
                </w:p>
              </w:tc>
              <w:tc>
                <w:tcPr>
                  <w:tcW w:w="360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布袋除尘器2套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u w:val="single"/>
                      <w:lang w:val="en-US" w:eastAsia="zh-CN"/>
                    </w:rPr>
                  </w:pPr>
                </w:p>
              </w:tc>
              <w:tc>
                <w:tcPr>
                  <w:tcW w:w="19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1#车间原料接收G2</w:t>
                  </w:r>
                </w:p>
              </w:tc>
              <w:tc>
                <w:tcPr>
                  <w:tcW w:w="19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颗粒物</w:t>
                  </w:r>
                </w:p>
              </w:tc>
              <w:tc>
                <w:tcPr>
                  <w:tcW w:w="360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布袋除尘器2套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21"/>
                      <w:szCs w:val="21"/>
                      <w:u w:val="single"/>
                      <w:lang w:val="en-US" w:eastAsia="zh-CN"/>
                    </w:rPr>
                  </w:pPr>
                </w:p>
              </w:tc>
              <w:tc>
                <w:tcPr>
                  <w:tcW w:w="19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主车间</w:t>
                  </w:r>
                  <w:r>
                    <w:rPr>
                      <w:rFonts w:hint="eastAsia" w:cs="Times New Roman"/>
                      <w:kern w:val="0"/>
                      <w:sz w:val="21"/>
                      <w:szCs w:val="21"/>
                      <w:u w:val="single"/>
                      <w:lang w:val="en-US" w:eastAsia="zh-CN"/>
                    </w:rPr>
                    <w:t>G3</w:t>
                  </w:r>
                </w:p>
              </w:tc>
              <w:tc>
                <w:tcPr>
                  <w:tcW w:w="19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水蒸气</w:t>
                  </w:r>
                </w:p>
              </w:tc>
              <w:tc>
                <w:tcPr>
                  <w:tcW w:w="360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cs="Times New Roman"/>
                      <w:kern w:val="0"/>
                      <w:sz w:val="21"/>
                      <w:szCs w:val="21"/>
                      <w:u w:val="single"/>
                      <w:lang w:val="en-US" w:eastAsia="zh-CN"/>
                    </w:rPr>
                    <w:t>负压风机+45m排气筒（P1）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1118"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主车间</w:t>
                  </w:r>
                  <w:r>
                    <w:rPr>
                      <w:rFonts w:hint="eastAsia" w:cs="Times New Roman"/>
                      <w:kern w:val="0"/>
                      <w:sz w:val="21"/>
                      <w:szCs w:val="21"/>
                      <w:u w:val="single"/>
                      <w:lang w:val="en-US" w:eastAsia="zh-CN"/>
                    </w:rPr>
                    <w:t>G4</w:t>
                  </w:r>
                </w:p>
              </w:tc>
              <w:tc>
                <w:tcPr>
                  <w:tcW w:w="195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颗粒物</w:t>
                  </w:r>
                </w:p>
              </w:tc>
              <w:tc>
                <w:tcPr>
                  <w:tcW w:w="3603"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cs="Times New Roman"/>
                      <w:kern w:val="0"/>
                      <w:sz w:val="21"/>
                      <w:szCs w:val="21"/>
                      <w:u w:val="single"/>
                      <w:lang w:val="en-US" w:eastAsia="zh-CN"/>
                    </w:rPr>
                    <w:t xml:space="preserve"> </w:t>
                  </w:r>
                  <w:r>
                    <w:rPr>
                      <w:rFonts w:hint="eastAsia" w:ascii="Times New Roman" w:hAnsi="Times New Roman" w:cs="Times New Roman"/>
                      <w:kern w:val="0"/>
                      <w:sz w:val="21"/>
                      <w:szCs w:val="21"/>
                      <w:u w:val="single"/>
                      <w:lang w:val="en-US" w:eastAsia="zh-CN"/>
                    </w:rPr>
                    <w:t>脉冲布袋除尘器</w:t>
                  </w:r>
                  <w:r>
                    <w:rPr>
                      <w:rFonts w:hint="eastAsia" w:cs="Times New Roman"/>
                      <w:kern w:val="0"/>
                      <w:sz w:val="21"/>
                      <w:szCs w:val="21"/>
                      <w:u w:val="single"/>
                      <w:lang w:val="en-US" w:eastAsia="zh-CN"/>
                    </w:rPr>
                    <w:t>5套+45m排气筒（P2）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18"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cs="Times New Roman"/>
                      <w:kern w:val="0"/>
                      <w:sz w:val="21"/>
                      <w:szCs w:val="21"/>
                      <w:u w:val="single"/>
                      <w:lang w:val="en-US" w:eastAsia="zh-CN"/>
                    </w:rPr>
                    <w:t>2</w:t>
                  </w:r>
                  <w:r>
                    <w:rPr>
                      <w:rFonts w:hint="eastAsia" w:ascii="Times New Roman" w:hAnsi="Times New Roman" w:cs="Times New Roman"/>
                      <w:kern w:val="0"/>
                      <w:sz w:val="21"/>
                      <w:szCs w:val="21"/>
                      <w:u w:val="single"/>
                      <w:lang w:val="en-US" w:eastAsia="zh-CN"/>
                    </w:rPr>
                    <w:t>#车间内发酵料生产线（G</w:t>
                  </w:r>
                  <w:r>
                    <w:rPr>
                      <w:rFonts w:hint="eastAsia" w:cs="Times New Roman"/>
                      <w:kern w:val="0"/>
                      <w:sz w:val="21"/>
                      <w:szCs w:val="21"/>
                      <w:u w:val="single"/>
                      <w:lang w:val="en-US" w:eastAsia="zh-CN"/>
                    </w:rPr>
                    <w:t>5</w:t>
                  </w:r>
                  <w:r>
                    <w:rPr>
                      <w:rFonts w:hint="eastAsia" w:ascii="Times New Roman" w:hAnsi="Times New Roman" w:cs="Times New Roman"/>
                      <w:kern w:val="0"/>
                      <w:sz w:val="21"/>
                      <w:szCs w:val="21"/>
                      <w:u w:val="single"/>
                      <w:lang w:val="en-US" w:eastAsia="zh-CN"/>
                    </w:rPr>
                    <w:t>）</w:t>
                  </w:r>
                </w:p>
              </w:tc>
              <w:tc>
                <w:tcPr>
                  <w:tcW w:w="195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 xml:space="preserve"> 氨、硫化氢、臭气浓度</w:t>
                  </w:r>
                </w:p>
              </w:tc>
              <w:tc>
                <w:tcPr>
                  <w:tcW w:w="3603"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 xml:space="preserve"> </w:t>
                  </w:r>
                  <w:r>
                    <w:rPr>
                      <w:rFonts w:hint="eastAsia" w:cs="Times New Roman"/>
                      <w:kern w:val="0"/>
                      <w:sz w:val="21"/>
                      <w:szCs w:val="21"/>
                      <w:u w:val="single"/>
                      <w:lang w:val="en-US" w:eastAsia="zh-CN"/>
                    </w:rPr>
                    <w:t>发酵床封闭，采用负压风机收集+环保水池+喷淋塔+生物除臭+15m高排气筒（P3）排放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18"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食堂（G</w:t>
                  </w:r>
                  <w:r>
                    <w:rPr>
                      <w:rFonts w:hint="eastAsia" w:cs="Times New Roman"/>
                      <w:kern w:val="0"/>
                      <w:sz w:val="21"/>
                      <w:szCs w:val="21"/>
                      <w:u w:val="single"/>
                      <w:lang w:val="en-US" w:eastAsia="zh-CN"/>
                    </w:rPr>
                    <w:t>6</w:t>
                  </w:r>
                  <w:r>
                    <w:rPr>
                      <w:rFonts w:hint="eastAsia" w:ascii="Times New Roman" w:hAnsi="Times New Roman" w:cs="Times New Roman"/>
                      <w:kern w:val="0"/>
                      <w:sz w:val="21"/>
                      <w:szCs w:val="21"/>
                      <w:u w:val="single"/>
                      <w:lang w:val="en-US" w:eastAsia="zh-CN"/>
                    </w:rPr>
                    <w:t>）</w:t>
                  </w:r>
                </w:p>
              </w:tc>
              <w:tc>
                <w:tcPr>
                  <w:tcW w:w="195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油烟</w:t>
                  </w:r>
                </w:p>
              </w:tc>
              <w:tc>
                <w:tcPr>
                  <w:tcW w:w="360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油烟净化器，油烟去除效率不低于60%。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118"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kern w:val="0"/>
                      <w:sz w:val="21"/>
                      <w:szCs w:val="21"/>
                      <w:u w:val="single"/>
                      <w:lang w:val="en-US" w:eastAsia="zh-CN"/>
                    </w:rPr>
                    <w:t>废水</w:t>
                  </w:r>
                </w:p>
              </w:tc>
              <w:tc>
                <w:tcPr>
                  <w:tcW w:w="19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办公生活（W1）</w:t>
                  </w:r>
                </w:p>
              </w:tc>
              <w:tc>
                <w:tcPr>
                  <w:tcW w:w="195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kern w:val="0"/>
                      <w:sz w:val="21"/>
                      <w:szCs w:val="21"/>
                      <w:u w:val="single"/>
                      <w:lang w:val="en-US" w:eastAsia="zh-CN"/>
                    </w:rPr>
                    <w:t>COD、BOD</w:t>
                  </w:r>
                  <w:r>
                    <w:rPr>
                      <w:rFonts w:hint="default" w:ascii="Times New Roman" w:hAnsi="Times New Roman" w:cs="Times New Roman"/>
                      <w:kern w:val="0"/>
                      <w:sz w:val="21"/>
                      <w:szCs w:val="21"/>
                      <w:u w:val="single"/>
                      <w:vertAlign w:val="subscript"/>
                      <w:lang w:val="en-US" w:eastAsia="zh-CN"/>
                    </w:rPr>
                    <w:t>5</w:t>
                  </w:r>
                  <w:r>
                    <w:rPr>
                      <w:rFonts w:hint="default" w:ascii="Times New Roman" w:hAnsi="Times New Roman" w:cs="Times New Roman"/>
                      <w:kern w:val="0"/>
                      <w:sz w:val="21"/>
                      <w:szCs w:val="21"/>
                      <w:u w:val="single"/>
                      <w:lang w:val="en-US" w:eastAsia="zh-CN"/>
                    </w:rPr>
                    <w:t>、 NH</w:t>
                  </w:r>
                  <w:r>
                    <w:rPr>
                      <w:rFonts w:hint="default" w:ascii="Times New Roman" w:hAnsi="Times New Roman" w:cs="Times New Roman"/>
                      <w:kern w:val="0"/>
                      <w:sz w:val="21"/>
                      <w:szCs w:val="21"/>
                      <w:u w:val="single"/>
                      <w:vertAlign w:val="subscript"/>
                      <w:lang w:val="en-US" w:eastAsia="zh-CN"/>
                    </w:rPr>
                    <w:t>3</w:t>
                  </w:r>
                  <w:r>
                    <w:rPr>
                      <w:rFonts w:hint="default" w:ascii="Times New Roman" w:hAnsi="Times New Roman" w:cs="Times New Roman"/>
                      <w:kern w:val="0"/>
                      <w:sz w:val="21"/>
                      <w:szCs w:val="21"/>
                      <w:u w:val="single"/>
                      <w:lang w:val="en-US" w:eastAsia="zh-CN"/>
                    </w:rPr>
                    <w:t>-N、SS</w:t>
                  </w:r>
                </w:p>
              </w:tc>
              <w:tc>
                <w:tcPr>
                  <w:tcW w:w="3603"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kern w:val="0"/>
                      <w:sz w:val="21"/>
                      <w:szCs w:val="21"/>
                      <w:u w:val="single"/>
                      <w:lang w:val="en-US" w:eastAsia="zh-CN"/>
                    </w:rPr>
                    <w:t>经</w:t>
                  </w:r>
                  <w:r>
                    <w:rPr>
                      <w:rFonts w:hint="eastAsia" w:ascii="Times New Roman" w:hAnsi="Times New Roman" w:cs="Times New Roman"/>
                      <w:kern w:val="0"/>
                      <w:sz w:val="21"/>
                      <w:szCs w:val="21"/>
                      <w:u w:val="single"/>
                      <w:lang w:val="en-US" w:eastAsia="zh-CN"/>
                    </w:rPr>
                    <w:t>隔油池及</w:t>
                  </w:r>
                  <w:r>
                    <w:rPr>
                      <w:rFonts w:hint="default" w:ascii="Times New Roman" w:hAnsi="Times New Roman" w:cs="Times New Roman"/>
                      <w:kern w:val="0"/>
                      <w:sz w:val="21"/>
                      <w:szCs w:val="21"/>
                      <w:u w:val="single"/>
                      <w:lang w:val="en-US" w:eastAsia="zh-CN"/>
                    </w:rPr>
                    <w:t>化粪池处理后进入</w:t>
                  </w:r>
                  <w:r>
                    <w:rPr>
                      <w:rFonts w:hint="eastAsia" w:ascii="Times New Roman" w:hAnsi="Times New Roman" w:cs="Times New Roman"/>
                      <w:kern w:val="0"/>
                      <w:sz w:val="21"/>
                      <w:szCs w:val="21"/>
                      <w:u w:val="single"/>
                      <w:lang w:val="en-US" w:eastAsia="zh-CN"/>
                    </w:rPr>
                    <w:t>市政污水管网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18"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kern w:val="0"/>
                      <w:sz w:val="21"/>
                      <w:szCs w:val="21"/>
                      <w:u w:val="single"/>
                      <w:lang w:val="en-US" w:eastAsia="zh-CN"/>
                    </w:rPr>
                    <w:t>噪声</w:t>
                  </w:r>
                </w:p>
              </w:tc>
              <w:tc>
                <w:tcPr>
                  <w:tcW w:w="19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生产设备及风机</w:t>
                  </w:r>
                  <w:r>
                    <w:rPr>
                      <w:rFonts w:hint="default" w:ascii="Times New Roman" w:hAnsi="Times New Roman" w:cs="Times New Roman"/>
                      <w:kern w:val="0"/>
                      <w:sz w:val="21"/>
                      <w:szCs w:val="21"/>
                      <w:u w:val="single"/>
                      <w:lang w:val="en-US" w:eastAsia="zh-CN"/>
                    </w:rPr>
                    <w:t>等</w:t>
                  </w:r>
                </w:p>
              </w:tc>
              <w:tc>
                <w:tcPr>
                  <w:tcW w:w="195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Leq</w:t>
                  </w:r>
                </w:p>
              </w:tc>
              <w:tc>
                <w:tcPr>
                  <w:tcW w:w="3603"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厂房隔声、基础减振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118" w:type="dxa"/>
                  <w:vMerge w:val="restart"/>
                  <w:tcBorders>
                    <w:tl2br w:val="nil"/>
                    <w:tr2bl w:val="nil"/>
                  </w:tcBorders>
                  <w:vAlign w:val="top"/>
                </w:tcPr>
                <w:p>
                  <w:pPr>
                    <w:adjustRightInd w:val="0"/>
                    <w:snapToGrid w:val="0"/>
                    <w:spacing w:line="240" w:lineRule="auto"/>
                    <w:jc w:val="center"/>
                    <w:rPr>
                      <w:rFonts w:hint="default" w:ascii="Times New Roman" w:hAnsi="Times New Roman" w:cs="Times New Roman"/>
                      <w:kern w:val="0"/>
                      <w:sz w:val="21"/>
                      <w:szCs w:val="21"/>
                      <w:u w:val="single"/>
                      <w:lang w:val="en-US" w:eastAsia="zh-CN"/>
                    </w:rPr>
                  </w:pPr>
                </w:p>
                <w:p>
                  <w:pPr>
                    <w:adjustRightInd w:val="0"/>
                    <w:snapToGrid w:val="0"/>
                    <w:spacing w:line="240" w:lineRule="auto"/>
                    <w:jc w:val="center"/>
                    <w:rPr>
                      <w:rFonts w:hint="default" w:ascii="Times New Roman" w:hAnsi="Times New Roman" w:cs="Times New Roman"/>
                      <w:kern w:val="0"/>
                      <w:sz w:val="21"/>
                      <w:szCs w:val="21"/>
                      <w:u w:val="single"/>
                      <w:lang w:val="en-US" w:eastAsia="zh-CN"/>
                    </w:rPr>
                  </w:pPr>
                </w:p>
                <w:p>
                  <w:pPr>
                    <w:adjustRightInd w:val="0"/>
                    <w:snapToGrid w:val="0"/>
                    <w:spacing w:line="240" w:lineRule="auto"/>
                    <w:jc w:val="center"/>
                    <w:rPr>
                      <w:rFonts w:hint="default" w:ascii="Times New Roman" w:hAnsi="Times New Roman" w:cs="Times New Roman"/>
                      <w:kern w:val="0"/>
                      <w:sz w:val="21"/>
                      <w:szCs w:val="21"/>
                      <w:u w:val="single"/>
                      <w:lang w:val="en-US" w:eastAsia="zh-CN"/>
                    </w:rPr>
                  </w:pPr>
                </w:p>
                <w:p>
                  <w:pPr>
                    <w:adjustRightInd w:val="0"/>
                    <w:snapToGrid w:val="0"/>
                    <w:spacing w:line="240" w:lineRule="auto"/>
                    <w:jc w:val="center"/>
                    <w:rPr>
                      <w:rFonts w:hint="default" w:ascii="Times New Roman" w:hAnsi="Times New Roman" w:cs="Times New Roman"/>
                      <w:kern w:val="0"/>
                      <w:sz w:val="21"/>
                      <w:szCs w:val="21"/>
                      <w:u w:val="single"/>
                      <w:lang w:val="en-US" w:eastAsia="zh-CN"/>
                    </w:rPr>
                  </w:pPr>
                </w:p>
                <w:p>
                  <w:pPr>
                    <w:adjustRightInd w:val="0"/>
                    <w:snapToGrid w:val="0"/>
                    <w:spacing w:line="240" w:lineRule="auto"/>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kern w:val="0"/>
                      <w:sz w:val="21"/>
                      <w:szCs w:val="21"/>
                      <w:u w:val="single"/>
                      <w:lang w:val="en-US" w:eastAsia="zh-CN"/>
                    </w:rPr>
                    <w:t>固废</w:t>
                  </w: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原料初清（S1）</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eastAsia="zh-CN"/>
                    </w:rPr>
                    <w:t>杂质</w:t>
                  </w:r>
                </w:p>
              </w:tc>
              <w:tc>
                <w:tcPr>
                  <w:tcW w:w="3603"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u w:val="single"/>
                      <w:lang w:val="en-US" w:eastAsia="zh-CN"/>
                    </w:rPr>
                    <w:t>收集后暂存一般固废暂存间，定期外售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118"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成品包装（S2）</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eastAsia="zh-CN"/>
                    </w:rPr>
                    <w:t>成品废包装袋</w:t>
                  </w:r>
                </w:p>
              </w:tc>
              <w:tc>
                <w:tcPr>
                  <w:tcW w:w="3603"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118"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原料接收（S3）</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eastAsia="zh-CN"/>
                    </w:rPr>
                    <w:t>原辅材料</w:t>
                  </w:r>
                  <w:r>
                    <w:rPr>
                      <w:rFonts w:hint="default" w:ascii="Times New Roman" w:hAnsi="Times New Roman" w:cs="Times New Roman"/>
                      <w:u w:val="single"/>
                    </w:rPr>
                    <w:t>废包装袋</w:t>
                  </w:r>
                </w:p>
              </w:tc>
              <w:tc>
                <w:tcPr>
                  <w:tcW w:w="3603"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118"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脉冲除尘（S4）</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u w:val="single"/>
                    </w:rPr>
                    <w:t>除尘器收集的</w:t>
                  </w:r>
                  <w:r>
                    <w:rPr>
                      <w:rFonts w:hint="eastAsia" w:ascii="Times New Roman" w:hAnsi="Times New Roman" w:cs="Times New Roman"/>
                      <w:u w:val="single"/>
                      <w:lang w:eastAsia="zh-CN"/>
                    </w:rPr>
                    <w:t>粉尘</w:t>
                  </w:r>
                </w:p>
              </w:tc>
              <w:tc>
                <w:tcPr>
                  <w:tcW w:w="3603"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回用于生产线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118"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设备维修（S5）</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u w:val="single"/>
                    </w:rPr>
                    <w:t>废机油</w:t>
                  </w:r>
                </w:p>
              </w:tc>
              <w:tc>
                <w:tcPr>
                  <w:tcW w:w="3603"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u w:val="single"/>
                      <w:lang w:val="en-US" w:eastAsia="zh-CN"/>
                    </w:rPr>
                    <w:t>暂存于危废间，</w:t>
                  </w:r>
                  <w:r>
                    <w:rPr>
                      <w:rFonts w:hint="eastAsia" w:ascii="Times New Roman" w:hAnsi="Times New Roman" w:cs="Times New Roman"/>
                      <w:u w:val="single"/>
                      <w:lang w:val="en-US" w:eastAsia="zh-CN"/>
                    </w:rPr>
                    <w:t>委托有资质的单位定期处置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118"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eastAsia" w:ascii="Times New Roman" w:hAnsi="Times New Roman" w:cs="Times New Roman"/>
                      <w:u w:val="single"/>
                      <w:lang w:val="en-US" w:eastAsia="zh-CN"/>
                    </w:rPr>
                    <w:t>设备维修（S6）</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kern w:val="0"/>
                      <w:sz w:val="21"/>
                      <w:szCs w:val="21"/>
                      <w:u w:val="single"/>
                      <w:lang w:val="en-US" w:eastAsia="zh-CN"/>
                    </w:rPr>
                  </w:pPr>
                  <w:r>
                    <w:rPr>
                      <w:rFonts w:hint="default" w:ascii="Times New Roman" w:hAnsi="Times New Roman" w:cs="Times New Roman"/>
                      <w:u w:val="single"/>
                    </w:rPr>
                    <w:t>含油</w:t>
                  </w:r>
                  <w:r>
                    <w:rPr>
                      <w:rFonts w:hint="eastAsia" w:ascii="Times New Roman" w:hAnsi="Times New Roman" w:cs="Times New Roman"/>
                      <w:u w:val="single"/>
                      <w:lang w:eastAsia="zh-CN"/>
                    </w:rPr>
                    <w:t>废抹布及</w:t>
                  </w:r>
                  <w:r>
                    <w:rPr>
                      <w:rFonts w:hint="default" w:ascii="Times New Roman" w:hAnsi="Times New Roman" w:cs="Times New Roman"/>
                      <w:u w:val="single"/>
                    </w:rPr>
                    <w:t>手套</w:t>
                  </w:r>
                </w:p>
              </w:tc>
              <w:tc>
                <w:tcPr>
                  <w:tcW w:w="3603"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1118" w:type="dxa"/>
                  <w:vMerge w:val="continue"/>
                  <w:tcBorders>
                    <w:tl2br w:val="nil"/>
                    <w:tr2bl w:val="nil"/>
                  </w:tcBorders>
                  <w:vAlign w:val="top"/>
                </w:tcPr>
                <w:p>
                  <w:pPr>
                    <w:adjustRightInd w:val="0"/>
                    <w:snapToGrid w:val="0"/>
                    <w:spacing w:line="240" w:lineRule="auto"/>
                    <w:jc w:val="center"/>
                    <w:rPr>
                      <w:rFonts w:hint="eastAsia" w:ascii="Times New Roman" w:hAnsi="Times New Roman" w:cs="Times New Roman"/>
                      <w:kern w:val="0"/>
                      <w:sz w:val="21"/>
                      <w:szCs w:val="21"/>
                      <w:u w:val="single"/>
                      <w:lang w:val="en-US" w:eastAsia="zh-CN"/>
                    </w:rPr>
                  </w:pPr>
                </w:p>
              </w:tc>
              <w:tc>
                <w:tcPr>
                  <w:tcW w:w="194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kern w:val="0"/>
                      <w:sz w:val="21"/>
                      <w:szCs w:val="21"/>
                      <w:u w:val="single"/>
                      <w:lang w:val="en-US" w:eastAsia="zh-CN"/>
                    </w:rPr>
                  </w:pPr>
                  <w:r>
                    <w:rPr>
                      <w:rFonts w:hint="default" w:ascii="Times New Roman" w:hAnsi="Times New Roman" w:cs="Times New Roman"/>
                      <w:u w:val="single"/>
                      <w:lang w:val="en-US" w:eastAsia="zh-CN"/>
                    </w:rPr>
                    <w:t>办公生活</w:t>
                  </w:r>
                  <w:r>
                    <w:rPr>
                      <w:rFonts w:hint="eastAsia" w:ascii="Times New Roman" w:hAnsi="Times New Roman" w:cs="Times New Roman"/>
                      <w:u w:val="single"/>
                      <w:lang w:val="en-US" w:eastAsia="zh-CN"/>
                    </w:rPr>
                    <w:t>（S</w:t>
                  </w:r>
                  <w:r>
                    <w:rPr>
                      <w:rFonts w:hint="eastAsia" w:cs="Times New Roman"/>
                      <w:u w:val="single"/>
                      <w:lang w:val="en-US" w:eastAsia="zh-CN"/>
                    </w:rPr>
                    <w:t>7</w:t>
                  </w:r>
                  <w:r>
                    <w:rPr>
                      <w:rFonts w:hint="eastAsia" w:ascii="Times New Roman" w:hAnsi="Times New Roman" w:cs="Times New Roman"/>
                      <w:u w:val="single"/>
                      <w:lang w:val="en-US" w:eastAsia="zh-CN"/>
                    </w:rPr>
                    <w:t>）</w:t>
                  </w:r>
                </w:p>
              </w:tc>
              <w:tc>
                <w:tcPr>
                  <w:tcW w:w="195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kern w:val="0"/>
                      <w:sz w:val="21"/>
                      <w:szCs w:val="21"/>
                      <w:u w:val="single"/>
                      <w:lang w:val="en-US" w:eastAsia="zh-CN"/>
                    </w:rPr>
                  </w:pPr>
                  <w:r>
                    <w:rPr>
                      <w:rFonts w:hint="default" w:ascii="Times New Roman" w:hAnsi="Times New Roman" w:cs="Times New Roman"/>
                      <w:u w:val="single"/>
                      <w:lang w:val="en-US" w:eastAsia="zh-CN"/>
                    </w:rPr>
                    <w:t>生活垃圾</w:t>
                  </w:r>
                </w:p>
              </w:tc>
              <w:tc>
                <w:tcPr>
                  <w:tcW w:w="360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kern w:val="0"/>
                      <w:sz w:val="21"/>
                      <w:szCs w:val="21"/>
                      <w:u w:val="single"/>
                      <w:lang w:val="en-US" w:eastAsia="zh-CN"/>
                    </w:rPr>
                  </w:pPr>
                  <w:r>
                    <w:rPr>
                      <w:rFonts w:hint="default" w:ascii="Times New Roman" w:hAnsi="Times New Roman" w:cs="Times New Roman"/>
                      <w:u w:val="single"/>
                      <w:lang w:val="en-US" w:eastAsia="zh-CN"/>
                    </w:rPr>
                    <w:t>定点收集，环卫</w:t>
                  </w:r>
                  <w:r>
                    <w:rPr>
                      <w:rFonts w:hint="eastAsia" w:ascii="Times New Roman" w:hAnsi="Times New Roman" w:cs="Times New Roman"/>
                      <w:u w:val="single"/>
                      <w:lang w:val="en-US" w:eastAsia="zh-CN"/>
                    </w:rPr>
                    <w:t>部门</w:t>
                  </w:r>
                  <w:r>
                    <w:rPr>
                      <w:rFonts w:hint="default" w:ascii="Times New Roman" w:hAnsi="Times New Roman" w:cs="Times New Roman"/>
                      <w:u w:val="single"/>
                      <w:lang w:val="en-US" w:eastAsia="zh-CN"/>
                    </w:rPr>
                    <w:t>清运</w:t>
                  </w:r>
                </w:p>
              </w:tc>
            </w:tr>
          </w:tbl>
          <w:p>
            <w:pPr>
              <w:pStyle w:val="4"/>
              <w:spacing w:before="0" w:after="0" w:line="360" w:lineRule="auto"/>
              <w:ind w:firstLine="482" w:firstLineChars="200"/>
              <w:rPr>
                <w:sz w:val="28"/>
                <w:szCs w:val="28"/>
              </w:rPr>
            </w:pPr>
            <w:r>
              <w:rPr>
                <w:rFonts w:hint="eastAsia"/>
                <w:sz w:val="24"/>
                <w:szCs w:val="24"/>
                <w:lang w:eastAsia="zh-CN"/>
              </w:rPr>
              <w:t>运营期</w:t>
            </w:r>
            <w:r>
              <w:rPr>
                <w:sz w:val="24"/>
                <w:szCs w:val="24"/>
              </w:rPr>
              <w:t>主要污染工序及污染物产生情况</w:t>
            </w:r>
          </w:p>
          <w:p>
            <w:pPr>
              <w:pStyle w:val="38"/>
              <w:rPr>
                <w:rFonts w:hint="eastAsia" w:ascii="Times New Roman" w:hAnsi="Times New Roman" w:cs="Times New Roman"/>
                <w:lang w:val="en-US" w:eastAsia="zh-CN"/>
              </w:rPr>
            </w:pPr>
            <w:r>
              <w:rPr>
                <w:rFonts w:hint="eastAsia" w:ascii="Times New Roman" w:hAnsi="Times New Roman" w:cs="Times New Roman"/>
                <w:lang w:val="en-US" w:eastAsia="zh-CN"/>
              </w:rPr>
              <w:t>1、废气</w:t>
            </w:r>
          </w:p>
          <w:p>
            <w:pPr>
              <w:pStyle w:val="38"/>
              <w:rPr>
                <w:rFonts w:hint="eastAsia" w:ascii="Times New Roman" w:hAnsi="Times New Roman" w:cs="Times New Roman"/>
                <w:lang w:val="en-US" w:eastAsia="zh-CN"/>
              </w:rPr>
            </w:pPr>
            <w:r>
              <w:rPr>
                <w:rFonts w:hint="eastAsia" w:ascii="Times New Roman" w:hAnsi="Times New Roman" w:cs="Times New Roman"/>
                <w:lang w:val="en-US" w:eastAsia="zh-CN"/>
              </w:rPr>
              <w:t>本项目工艺废气主要为</w:t>
            </w:r>
            <w:r>
              <w:rPr>
                <w:rFonts w:hint="eastAsia" w:ascii="Times New Roman" w:cs="Times New Roman"/>
                <w:lang w:val="en-US" w:eastAsia="zh-CN"/>
              </w:rPr>
              <w:t>筒仓原料接收粉尘、1#车间原料接收粉尘、</w:t>
            </w:r>
            <w:r>
              <w:rPr>
                <w:rFonts w:hint="eastAsia" w:ascii="Times New Roman" w:hAnsi="Times New Roman" w:cs="Times New Roman"/>
                <w:lang w:val="en-US" w:eastAsia="zh-CN"/>
              </w:rPr>
              <w:t>主车间产生的粉尘、</w:t>
            </w:r>
            <w:r>
              <w:rPr>
                <w:rFonts w:hint="eastAsia" w:ascii="Times New Roman" w:cs="Times New Roman"/>
                <w:lang w:val="en-US" w:eastAsia="zh-CN"/>
              </w:rPr>
              <w:t>主车间产生的水蒸气、2</w:t>
            </w:r>
            <w:r>
              <w:rPr>
                <w:rFonts w:hint="eastAsia" w:ascii="Times New Roman" w:hAnsi="Times New Roman" w:cs="Times New Roman"/>
                <w:lang w:val="en-US" w:eastAsia="zh-CN"/>
              </w:rPr>
              <w:t>#车间内发酵料生产过程中产生的恶臭、食堂油烟。</w:t>
            </w:r>
          </w:p>
          <w:p>
            <w:pPr>
              <w:pStyle w:val="38"/>
              <w:rPr>
                <w:rFonts w:hint="eastAsia" w:ascii="Times New Roman" w:cs="Times New Roman"/>
                <w:lang w:val="en-US" w:eastAsia="zh-CN"/>
              </w:rPr>
            </w:pPr>
            <w:r>
              <w:rPr>
                <w:rFonts w:hint="eastAsia" w:ascii="Times New Roman" w:cs="Times New Roman"/>
                <w:lang w:val="en-US" w:eastAsia="zh-CN"/>
              </w:rPr>
              <w:t>（1）筒仓原料接收粉尘</w:t>
            </w:r>
          </w:p>
          <w:p>
            <w:pPr>
              <w:pStyle w:val="38"/>
              <w:rPr>
                <w:rFonts w:hint="default" w:ascii="Times New Roman" w:cs="Times New Roman"/>
                <w:lang w:val="en-US" w:eastAsia="zh-CN"/>
              </w:rPr>
            </w:pPr>
            <w:r>
              <w:rPr>
                <w:rFonts w:hint="eastAsia" w:ascii="Times New Roman" w:cs="Times New Roman"/>
                <w:lang w:val="en-US" w:eastAsia="zh-CN"/>
              </w:rPr>
              <w:t>厂区内共设10个原料筒仓，主要储存玉米及小麦，玉米及小麦年输入量为176086t，本次环评参照《清远希普生物科技有限公司年产3万吨发酵豆粕饲料蛋白、5万吨烘烤大豆、2万吨水产饲料、3万吨猪饲料及0.5万吨混合型饲料添加剂建设项目环境影响报告书》中相关数据，原料接收过程中粉尘产污系数为0.014kg/t，据此计算本项目筒仓原料接收过程中粉尘产生量为2.47t/a，建设单位拟设置2套布袋除尘器处理粉尘，布袋除尘器处理效率按95%，粉尘经处理后无组织排放量为0.12t/a。</w:t>
            </w:r>
          </w:p>
          <w:p>
            <w:pPr>
              <w:pStyle w:val="38"/>
              <w:rPr>
                <w:rFonts w:hint="eastAsia" w:ascii="Times New Roman" w:cs="Times New Roman"/>
                <w:lang w:val="en-US" w:eastAsia="zh-CN"/>
              </w:rPr>
            </w:pPr>
            <w:r>
              <w:rPr>
                <w:rFonts w:hint="eastAsia" w:ascii="Times New Roman" w:cs="Times New Roman"/>
                <w:lang w:val="en-US" w:eastAsia="zh-CN"/>
              </w:rPr>
              <w:t>（2）1#车间原料接收粉尘</w:t>
            </w:r>
          </w:p>
          <w:p>
            <w:pPr>
              <w:pStyle w:val="38"/>
              <w:rPr>
                <w:rFonts w:hint="default" w:ascii="Times New Roman" w:cs="Times New Roman"/>
                <w:lang w:val="en-US" w:eastAsia="zh-CN"/>
              </w:rPr>
            </w:pPr>
            <w:r>
              <w:rPr>
                <w:rFonts w:hint="eastAsia" w:ascii="Times New Roman" w:cs="Times New Roman"/>
                <w:lang w:val="en-US" w:eastAsia="zh-CN"/>
              </w:rPr>
              <w:t>1#车间主要储存棉粕、豆粕、菜粕、大麦、麦麸等，上述原料年输入量为52860t，参照《清远希普生物科技有限公司年产3万吨发酵豆粕饲料蛋白、5万吨烘烤大豆、2万吨水产饲料、3万吨猪饲料及0.5万吨混合型饲料添加剂建设项目环境影响报告书》中相关数据，原料接收过程中粉尘产污系数为0.014kg/t，据此计算1#车间原料接收过程中粉尘产生量为0.74t/a，建设单位拟设置2套布袋除尘器处理粉尘，布袋除尘器处理效率按95%，粉尘经处理后无组织排放量为0.04t/a。</w:t>
            </w:r>
          </w:p>
          <w:p>
            <w:pPr>
              <w:pStyle w:val="38"/>
              <w:rPr>
                <w:rFonts w:hint="eastAsia" w:ascii="Times New Roman" w:hAnsi="Times New Roman" w:cs="Times New Roman"/>
                <w:lang w:val="en-US" w:eastAsia="zh-CN"/>
              </w:rPr>
            </w:pPr>
            <w:r>
              <w:rPr>
                <w:rFonts w:hint="eastAsia" w:ascii="Times New Roman" w:hAnsi="Times New Roman" w:cs="Times New Roman"/>
                <w:lang w:val="en-US" w:eastAsia="zh-CN"/>
              </w:rPr>
              <w:t>（</w:t>
            </w:r>
            <w:r>
              <w:rPr>
                <w:rFonts w:hint="eastAsia" w:ascii="Times New Roman" w:cs="Times New Roman"/>
                <w:lang w:val="en-US" w:eastAsia="zh-CN"/>
              </w:rPr>
              <w:t>3</w:t>
            </w:r>
            <w:r>
              <w:rPr>
                <w:rFonts w:hint="eastAsia" w:ascii="Times New Roman" w:hAnsi="Times New Roman" w:cs="Times New Roman"/>
                <w:lang w:val="en-US" w:eastAsia="zh-CN"/>
              </w:rPr>
              <w:t>）主车间产生的粉尘</w:t>
            </w:r>
          </w:p>
          <w:p>
            <w:pPr>
              <w:pStyle w:val="38"/>
              <w:rPr>
                <w:rFonts w:hint="eastAsia" w:ascii="Times New Roman" w:hAnsi="Times New Roman" w:cs="Times New Roman"/>
                <w:lang w:val="en-US" w:eastAsia="zh-CN"/>
              </w:rPr>
            </w:pPr>
            <w:r>
              <w:rPr>
                <w:rFonts w:hint="eastAsia" w:ascii="Times New Roman" w:hAnsi="Times New Roman" w:cs="Times New Roman"/>
                <w:lang w:val="en-US" w:eastAsia="zh-CN"/>
              </w:rPr>
              <w:t>主车间内粉尘计算依据参照《第二次全国污染源普查工业污染源产排污系数手册》中132饲料加工行业产排污系数，具体参数如下图</w:t>
            </w:r>
            <w:r>
              <w:rPr>
                <w:rFonts w:hint="eastAsia" w:ascii="Times New Roman" w:cs="Times New Roman"/>
                <w:lang w:val="en-US" w:eastAsia="zh-CN"/>
              </w:rPr>
              <w:t>5</w:t>
            </w:r>
            <w:r>
              <w:rPr>
                <w:rFonts w:hint="eastAsia" w:ascii="Times New Roman" w:hAnsi="Times New Roman" w:cs="Times New Roman"/>
                <w:lang w:val="en-US" w:eastAsia="zh-CN"/>
              </w:rPr>
              <w:t>-5。</w:t>
            </w:r>
          </w:p>
          <w:p>
            <w:pPr>
              <w:pStyle w:val="38"/>
              <w:ind w:left="0" w:leftChars="0" w:firstLine="0" w:firstLineChars="0"/>
            </w:pPr>
            <w:r>
              <w:drawing>
                <wp:inline distT="0" distB="0" distL="114300" distR="114300">
                  <wp:extent cx="5537835" cy="2051685"/>
                  <wp:effectExtent l="0" t="0" r="5715" b="571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8"/>
                          <a:stretch>
                            <a:fillRect/>
                          </a:stretch>
                        </pic:blipFill>
                        <pic:spPr>
                          <a:xfrm>
                            <a:off x="0" y="0"/>
                            <a:ext cx="5537835" cy="2051685"/>
                          </a:xfrm>
                          <a:prstGeom prst="rect">
                            <a:avLst/>
                          </a:prstGeom>
                          <a:noFill/>
                          <a:ln>
                            <a:noFill/>
                          </a:ln>
                        </pic:spPr>
                      </pic:pic>
                    </a:graphicData>
                  </a:graphic>
                </wp:inline>
              </w:drawing>
            </w:r>
          </w:p>
          <w:p>
            <w:pPr>
              <w:pStyle w:val="38"/>
              <w:ind w:left="0" w:leftChars="0" w:firstLine="0" w:firstLineChars="0"/>
              <w:jc w:val="center"/>
              <w:rPr>
                <w:rFonts w:hint="default" w:ascii="Times New Roman" w:hAnsi="Times New Roman" w:cs="Times New Roman"/>
                <w:lang w:val="en-US" w:eastAsia="zh-CN"/>
              </w:rPr>
            </w:pPr>
            <w:r>
              <w:rPr>
                <w:rFonts w:hint="eastAsia" w:ascii="Times New Roman" w:hAnsi="Times New Roman" w:cs="Times New Roman"/>
                <w:b/>
                <w:bCs/>
                <w:sz w:val="21"/>
                <w:szCs w:val="21"/>
                <w:lang w:val="en-US" w:eastAsia="zh-CN"/>
              </w:rPr>
              <w:t>图</w:t>
            </w:r>
            <w:r>
              <w:rPr>
                <w:rFonts w:hint="eastAsia" w:ascii="Times New Roman" w:cs="Times New Roman"/>
                <w:b/>
                <w:bCs/>
                <w:sz w:val="21"/>
                <w:szCs w:val="21"/>
                <w:lang w:val="en-US" w:eastAsia="zh-CN"/>
              </w:rPr>
              <w:t>5</w:t>
            </w:r>
            <w:r>
              <w:rPr>
                <w:rFonts w:hint="eastAsia" w:ascii="Times New Roman" w:hAnsi="Times New Roman" w:cs="Times New Roman"/>
                <w:b/>
                <w:bCs/>
                <w:sz w:val="21"/>
                <w:szCs w:val="21"/>
                <w:lang w:val="en-US" w:eastAsia="zh-CN"/>
              </w:rPr>
              <w:t>-5  饲料加工行业产排污系数</w:t>
            </w:r>
          </w:p>
          <w:p>
            <w:pPr>
              <w:pStyle w:val="38"/>
              <w:rPr>
                <w:rFonts w:hint="default" w:ascii="Times New Roman" w:hAnsi="Times New Roman" w:cs="Times New Roman"/>
                <w:u w:val="single"/>
                <w:lang w:val="en-US" w:eastAsia="zh-CN"/>
              </w:rPr>
            </w:pPr>
            <w:r>
              <w:rPr>
                <w:rFonts w:hint="eastAsia" w:ascii="Times New Roman" w:hAnsi="Times New Roman" w:cs="Times New Roman"/>
                <w:u w:val="single"/>
                <w:lang w:val="en-US" w:eastAsia="zh-CN"/>
              </w:rPr>
              <w:t>根据建设单位规划，主车间内设环保型猪料生产线1条、普通水产料生产线1条、膨化水产料生产线1条，总生产规模为20万t/a，据建设单位介绍，本项目生产的饲料属于预混合饲料，根据图</w:t>
            </w:r>
            <w:r>
              <w:rPr>
                <w:rFonts w:hint="eastAsia" w:ascii="Times New Roman" w:cs="Times New Roman"/>
                <w:u w:val="single"/>
                <w:lang w:val="en-US" w:eastAsia="zh-CN"/>
              </w:rPr>
              <w:t>5</w:t>
            </w:r>
            <w:r>
              <w:rPr>
                <w:rFonts w:hint="eastAsia" w:ascii="Times New Roman" w:hAnsi="Times New Roman" w:cs="Times New Roman"/>
                <w:u w:val="single"/>
                <w:lang w:val="en-US" w:eastAsia="zh-CN"/>
              </w:rPr>
              <w:t>-5产排污系数，本项目主车间粉尘产生总量为1.2</w:t>
            </w:r>
            <w:r>
              <w:rPr>
                <w:rFonts w:hint="default" w:ascii="Times New Roman" w:hAnsi="Times New Roman" w:cs="Times New Roman"/>
                <w:u w:val="single"/>
                <w:lang w:val="en-US" w:eastAsia="zh-CN"/>
              </w:rPr>
              <w:t>×</w:t>
            </w:r>
            <w:r>
              <w:rPr>
                <w:rFonts w:hint="eastAsia" w:ascii="Times New Roman" w:hAnsi="Times New Roman" w:cs="Times New Roman"/>
                <w:u w:val="single"/>
                <w:lang w:val="en-US" w:eastAsia="zh-CN"/>
              </w:rPr>
              <w:t>0.041</w:t>
            </w:r>
            <w:r>
              <w:rPr>
                <w:rFonts w:hint="default" w:ascii="Times New Roman" w:hAnsi="Times New Roman" w:cs="Times New Roman"/>
                <w:u w:val="single"/>
                <w:lang w:val="en-US" w:eastAsia="zh-CN"/>
              </w:rPr>
              <w:t>×</w:t>
            </w:r>
            <w:r>
              <w:rPr>
                <w:rFonts w:hint="eastAsia" w:ascii="Times New Roman" w:hAnsi="Times New Roman" w:cs="Times New Roman"/>
                <w:u w:val="single"/>
                <w:lang w:val="en-US" w:eastAsia="zh-CN"/>
              </w:rPr>
              <w:t>20万=9.84t/a。建设单位拟设置</w:t>
            </w:r>
            <w:r>
              <w:rPr>
                <w:rFonts w:hint="eastAsia" w:ascii="Times New Roman" w:cs="Times New Roman"/>
                <w:u w:val="single"/>
                <w:lang w:val="en-US" w:eastAsia="zh-CN"/>
              </w:rPr>
              <w:t>5套脉冲布袋除尘器</w:t>
            </w:r>
            <w:r>
              <w:rPr>
                <w:rFonts w:hint="eastAsia" w:ascii="Times New Roman" w:hAnsi="Times New Roman" w:cs="Times New Roman"/>
                <w:u w:val="single"/>
                <w:lang w:val="en-US" w:eastAsia="zh-CN"/>
              </w:rPr>
              <w:t>对粉尘进行收集处理，风机总风量拟设30000m</w:t>
            </w:r>
            <w:r>
              <w:rPr>
                <w:rFonts w:hint="eastAsia" w:ascii="Times New Roman" w:hAnsi="Times New Roman" w:cs="Times New Roman"/>
                <w:u w:val="single"/>
                <w:vertAlign w:val="superscript"/>
                <w:lang w:val="en-US" w:eastAsia="zh-CN"/>
              </w:rPr>
              <w:t>3</w:t>
            </w:r>
            <w:r>
              <w:rPr>
                <w:rFonts w:hint="eastAsia" w:ascii="Times New Roman" w:hAnsi="Times New Roman" w:cs="Times New Roman"/>
                <w:u w:val="single"/>
                <w:lang w:val="en-US" w:eastAsia="zh-CN"/>
              </w:rPr>
              <w:t>/h，各生产线粉尘经处理后最终汇集至1根45m排气筒（P</w:t>
            </w:r>
            <w:r>
              <w:rPr>
                <w:rFonts w:hint="eastAsia" w:ascii="Times New Roman" w:cs="Times New Roman"/>
                <w:u w:val="single"/>
                <w:lang w:val="en-US" w:eastAsia="zh-CN"/>
              </w:rPr>
              <w:t>2</w:t>
            </w:r>
            <w:r>
              <w:rPr>
                <w:rFonts w:hint="eastAsia" w:ascii="Times New Roman" w:hAnsi="Times New Roman" w:cs="Times New Roman"/>
                <w:u w:val="single"/>
                <w:lang w:val="en-US" w:eastAsia="zh-CN"/>
              </w:rPr>
              <w:t>）排放，本项目粉尘收集效率按90%，除尘效率按95%，粉尘经处理后有组织排放量为0.44t/a，排放浓度为4.58mg/m</w:t>
            </w:r>
            <w:r>
              <w:rPr>
                <w:rFonts w:hint="eastAsia" w:ascii="Times New Roman" w:hAnsi="Times New Roman" w:cs="Times New Roman"/>
                <w:u w:val="single"/>
                <w:vertAlign w:val="superscript"/>
                <w:lang w:val="en-US" w:eastAsia="zh-CN"/>
              </w:rPr>
              <w:t>3</w:t>
            </w:r>
            <w:r>
              <w:rPr>
                <w:rFonts w:hint="eastAsia" w:ascii="Times New Roman" w:hAnsi="Times New Roman" w:cs="Times New Roman"/>
                <w:u w:val="single"/>
                <w:lang w:val="en-US" w:eastAsia="zh-CN"/>
              </w:rPr>
              <w:t>，无组织排放量为0.984t/a。</w:t>
            </w:r>
          </w:p>
          <w:p>
            <w:pPr>
              <w:pStyle w:val="38"/>
              <w:rPr>
                <w:rFonts w:hint="eastAsia" w:ascii="Times New Roman" w:hAnsi="Times New Roman" w:cs="Times New Roman"/>
                <w:lang w:val="en-US" w:eastAsia="zh-CN"/>
              </w:rPr>
            </w:pPr>
            <w:r>
              <w:rPr>
                <w:rFonts w:hint="eastAsia" w:ascii="Times New Roman" w:hAnsi="Times New Roman" w:cs="Times New Roman"/>
                <w:b w:val="0"/>
                <w:bCs/>
                <w:kern w:val="2"/>
                <w:sz w:val="24"/>
                <w:szCs w:val="24"/>
                <w:lang w:val="en-US" w:eastAsia="zh-CN" w:bidi="ar-SA"/>
              </w:rPr>
              <w:t>主车间生产粉尘</w:t>
            </w:r>
            <w:r>
              <w:rPr>
                <w:rFonts w:hint="eastAsia" w:ascii="Times New Roman" w:hAnsi="Times New Roman" w:cs="Times New Roman" w:eastAsiaTheme="minorEastAsia"/>
                <w:b w:val="0"/>
                <w:bCs/>
                <w:kern w:val="2"/>
                <w:sz w:val="24"/>
                <w:szCs w:val="24"/>
                <w:lang w:val="en-US" w:eastAsia="zh-CN" w:bidi="ar-SA"/>
              </w:rPr>
              <w:t>产排情况见表</w:t>
            </w:r>
            <w:r>
              <w:rPr>
                <w:rFonts w:hint="eastAsia" w:ascii="Times New Roman" w:cs="Times New Roman"/>
                <w:b w:val="0"/>
                <w:bCs/>
                <w:kern w:val="2"/>
                <w:sz w:val="24"/>
                <w:szCs w:val="24"/>
                <w:lang w:val="en-US" w:eastAsia="zh-CN" w:bidi="ar-SA"/>
              </w:rPr>
              <w:t>5-6</w:t>
            </w:r>
            <w:r>
              <w:rPr>
                <w:rFonts w:hint="eastAsia" w:ascii="Times New Roman" w:hAnsi="Times New Roman" w:cs="Times New Roman"/>
                <w:lang w:val="en-US" w:eastAsia="zh-CN"/>
              </w:rPr>
              <w:t>。</w:t>
            </w:r>
          </w:p>
          <w:p>
            <w:pPr>
              <w:pStyle w:val="38"/>
              <w:ind w:left="0" w:leftChars="0" w:firstLine="0" w:firstLineChars="0"/>
              <w:jc w:val="center"/>
              <w:rPr>
                <w:rFonts w:hint="eastAsia" w:ascii="Times New Roman" w:hAnsiTheme="minorHAnsi" w:eastAsiaTheme="minorEastAsia" w:cstheme="minorBidi"/>
                <w:b/>
                <w:bCs/>
                <w:kern w:val="2"/>
                <w:sz w:val="21"/>
                <w:szCs w:val="24"/>
                <w:lang w:val="en-US" w:eastAsia="zh-CN" w:bidi="ar-SA"/>
              </w:rPr>
            </w:pPr>
            <w:r>
              <w:rPr>
                <w:rFonts w:hint="eastAsia" w:ascii="Times New Roman" w:hAnsiTheme="minorHAnsi" w:eastAsiaTheme="minorEastAsia" w:cstheme="minorBidi"/>
                <w:b/>
                <w:bCs/>
                <w:kern w:val="2"/>
                <w:sz w:val="21"/>
                <w:szCs w:val="24"/>
                <w:lang w:val="en-US" w:eastAsia="zh-CN" w:bidi="ar-SA"/>
              </w:rPr>
              <w:t>表</w:t>
            </w:r>
            <w:r>
              <w:rPr>
                <w:rFonts w:hint="eastAsia" w:ascii="Times New Roman" w:hAnsiTheme="minorHAnsi" w:cstheme="minorBidi"/>
                <w:b/>
                <w:bCs/>
                <w:kern w:val="2"/>
                <w:sz w:val="21"/>
                <w:szCs w:val="24"/>
                <w:lang w:val="en-US" w:eastAsia="zh-CN" w:bidi="ar-SA"/>
              </w:rPr>
              <w:t>5-6</w:t>
            </w:r>
            <w:r>
              <w:rPr>
                <w:rFonts w:hint="eastAsia" w:ascii="Times New Roman" w:hAnsiTheme="minorHAnsi" w:eastAsiaTheme="minorEastAsia" w:cstheme="minorBidi"/>
                <w:b/>
                <w:bCs/>
                <w:kern w:val="2"/>
                <w:sz w:val="21"/>
                <w:szCs w:val="24"/>
                <w:lang w:val="en-US" w:eastAsia="zh-CN" w:bidi="ar-SA"/>
              </w:rPr>
              <w:tab/>
            </w:r>
            <w:r>
              <w:rPr>
                <w:rFonts w:hint="eastAsia" w:ascii="Times New Roman" w:hAnsiTheme="minorHAnsi" w:cstheme="minorBidi"/>
                <w:b/>
                <w:bCs/>
                <w:kern w:val="2"/>
                <w:sz w:val="21"/>
                <w:szCs w:val="24"/>
                <w:lang w:val="en-US" w:eastAsia="zh-CN" w:bidi="ar-SA"/>
              </w:rPr>
              <w:t>主车间生产粉尘</w:t>
            </w:r>
            <w:r>
              <w:rPr>
                <w:rFonts w:hint="eastAsia" w:ascii="Times New Roman" w:hAnsiTheme="minorHAnsi" w:eastAsiaTheme="minorEastAsia" w:cstheme="minorBidi"/>
                <w:b/>
                <w:bCs/>
                <w:kern w:val="2"/>
                <w:sz w:val="21"/>
                <w:szCs w:val="24"/>
                <w:lang w:val="en-US" w:eastAsia="zh-CN" w:bidi="ar-SA"/>
              </w:rPr>
              <w:t>产排情况一览表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2"/>
              <w:gridCol w:w="593"/>
              <w:gridCol w:w="599"/>
              <w:gridCol w:w="613"/>
              <w:gridCol w:w="947"/>
              <w:gridCol w:w="829"/>
              <w:gridCol w:w="1477"/>
              <w:gridCol w:w="632"/>
              <w:gridCol w:w="623"/>
              <w:gridCol w:w="919"/>
              <w:gridCol w:w="7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类型</w:t>
                  </w:r>
                </w:p>
              </w:tc>
              <w:tc>
                <w:tcPr>
                  <w:tcW w:w="600"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风量</w:t>
                  </w:r>
                </w:p>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m</w:t>
                  </w:r>
                  <w:r>
                    <w:rPr>
                      <w:rFonts w:hint="default" w:ascii="Times New Roman" w:hAnsi="Times New Roman" w:cs="Times New Roman"/>
                      <w:b/>
                      <w:bCs/>
                      <w:kern w:val="0"/>
                      <w:sz w:val="18"/>
                      <w:szCs w:val="18"/>
                      <w:vertAlign w:val="superscript"/>
                      <w:lang w:val="en-US" w:eastAsia="zh-CN"/>
                    </w:rPr>
                    <w:t>3</w:t>
                  </w:r>
                  <w:r>
                    <w:rPr>
                      <w:rFonts w:hint="default" w:ascii="Times New Roman" w:hAnsi="Times New Roman" w:cs="Times New Roman"/>
                      <w:b/>
                      <w:bCs/>
                      <w:kern w:val="0"/>
                      <w:sz w:val="18"/>
                      <w:szCs w:val="18"/>
                      <w:lang w:val="en-US" w:eastAsia="zh-CN"/>
                    </w:rPr>
                    <w:t>/h</w:t>
                  </w:r>
                </w:p>
              </w:tc>
              <w:tc>
                <w:tcPr>
                  <w:tcW w:w="606"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污染 因子</w:t>
                  </w:r>
                </w:p>
              </w:tc>
              <w:tc>
                <w:tcPr>
                  <w:tcW w:w="2420" w:type="dxa"/>
                  <w:gridSpan w:val="3"/>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产生情况</w:t>
                  </w:r>
                </w:p>
              </w:tc>
              <w:tc>
                <w:tcPr>
                  <w:tcW w:w="150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处理措施</w:t>
                  </w:r>
                </w:p>
              </w:tc>
              <w:tc>
                <w:tcPr>
                  <w:tcW w:w="64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去除 效率</w:t>
                  </w:r>
                </w:p>
              </w:tc>
              <w:tc>
                <w:tcPr>
                  <w:tcW w:w="2325" w:type="dxa"/>
                  <w:gridSpan w:val="3"/>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p>
              </w:tc>
              <w:tc>
                <w:tcPr>
                  <w:tcW w:w="60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p>
              </w:tc>
              <w:tc>
                <w:tcPr>
                  <w:tcW w:w="606"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p>
              </w:tc>
              <w:tc>
                <w:tcPr>
                  <w:tcW w:w="62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产生量t/a</w:t>
                  </w:r>
                </w:p>
              </w:tc>
              <w:tc>
                <w:tcPr>
                  <w:tcW w:w="96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产生浓度mg/m</w:t>
                  </w:r>
                  <w:r>
                    <w:rPr>
                      <w:rFonts w:hint="default" w:ascii="Times New Roman" w:hAnsi="Times New Roman" w:cs="Times New Roman"/>
                      <w:b/>
                      <w:bCs/>
                      <w:kern w:val="0"/>
                      <w:sz w:val="18"/>
                      <w:szCs w:val="18"/>
                      <w:vertAlign w:val="superscript"/>
                      <w:lang w:val="en-US" w:eastAsia="zh-CN"/>
                    </w:rPr>
                    <w:t>3</w:t>
                  </w:r>
                </w:p>
              </w:tc>
              <w:tc>
                <w:tcPr>
                  <w:tcW w:w="84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产生速率kg/h</w:t>
                  </w:r>
                </w:p>
              </w:tc>
              <w:tc>
                <w:tcPr>
                  <w:tcW w:w="150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p>
              </w:tc>
              <w:tc>
                <w:tcPr>
                  <w:tcW w:w="64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p>
              </w:tc>
              <w:tc>
                <w:tcPr>
                  <w:tcW w:w="63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排放量t/a</w:t>
                  </w:r>
                </w:p>
              </w:tc>
              <w:tc>
                <w:tcPr>
                  <w:tcW w:w="932"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排放浓度mg/m</w:t>
                  </w:r>
                  <w:r>
                    <w:rPr>
                      <w:rFonts w:hint="default" w:ascii="Times New Roman" w:hAnsi="Times New Roman" w:cs="Times New Roman"/>
                      <w:b/>
                      <w:bCs/>
                      <w:kern w:val="0"/>
                      <w:sz w:val="18"/>
                      <w:szCs w:val="18"/>
                      <w:vertAlign w:val="superscript"/>
                      <w:lang w:val="en-US" w:eastAsia="zh-CN"/>
                    </w:rPr>
                    <w:t>3</w:t>
                  </w:r>
                </w:p>
              </w:tc>
              <w:tc>
                <w:tcPr>
                  <w:tcW w:w="763"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lang w:val="en-US" w:eastAsia="zh-CN"/>
                    </w:rPr>
                  </w:pPr>
                  <w:r>
                    <w:rPr>
                      <w:rFonts w:hint="default" w:ascii="Times New Roman" w:hAnsi="Times New Roman" w:cs="Times New Roman"/>
                      <w:b/>
                      <w:bCs/>
                      <w:kern w:val="0"/>
                      <w:sz w:val="18"/>
                      <w:szCs w:val="18"/>
                      <w:lang w:val="en-US" w:eastAsia="zh-CN"/>
                    </w:rPr>
                    <w:t>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6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有组织</w:t>
                  </w:r>
                </w:p>
              </w:tc>
              <w:tc>
                <w:tcPr>
                  <w:tcW w:w="60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30000</w:t>
                  </w:r>
                </w:p>
              </w:tc>
              <w:tc>
                <w:tcPr>
                  <w:tcW w:w="60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颗粒物</w:t>
                  </w:r>
                </w:p>
              </w:tc>
              <w:tc>
                <w:tcPr>
                  <w:tcW w:w="62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9.84</w:t>
                  </w:r>
                </w:p>
              </w:tc>
              <w:tc>
                <w:tcPr>
                  <w:tcW w:w="96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136.7</w:t>
                  </w:r>
                </w:p>
              </w:tc>
              <w:tc>
                <w:tcPr>
                  <w:tcW w:w="8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4.1</w:t>
                  </w:r>
                </w:p>
              </w:tc>
              <w:tc>
                <w:tcPr>
                  <w:tcW w:w="150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集气罩+脉冲布袋除尘器</w:t>
                  </w:r>
                  <w:r>
                    <w:rPr>
                      <w:rFonts w:hint="default" w:ascii="Times New Roman" w:hAnsi="Times New Roman" w:cs="Times New Roman"/>
                      <w:kern w:val="0"/>
                      <w:sz w:val="18"/>
                      <w:szCs w:val="18"/>
                      <w:lang w:val="en-US" w:eastAsia="zh-CN"/>
                    </w:rPr>
                    <w:t>+</w:t>
                  </w:r>
                  <w:r>
                    <w:rPr>
                      <w:rFonts w:hint="eastAsia" w:ascii="Times New Roman" w:hAnsi="Times New Roman" w:cs="Times New Roman"/>
                      <w:kern w:val="0"/>
                      <w:sz w:val="18"/>
                      <w:szCs w:val="18"/>
                      <w:lang w:val="en-US" w:eastAsia="zh-CN"/>
                    </w:rPr>
                    <w:t>45</w:t>
                  </w:r>
                  <w:r>
                    <w:rPr>
                      <w:rFonts w:hint="default" w:ascii="Times New Roman" w:hAnsi="Times New Roman" w:cs="Times New Roman"/>
                      <w:kern w:val="0"/>
                      <w:sz w:val="18"/>
                      <w:szCs w:val="18"/>
                      <w:lang w:val="en-US" w:eastAsia="zh-CN"/>
                    </w:rPr>
                    <w:t>m高排气筒</w:t>
                  </w:r>
                  <w:r>
                    <w:rPr>
                      <w:rFonts w:hint="eastAsia" w:ascii="Times New Roman" w:hAnsi="Times New Roman" w:cs="Times New Roman"/>
                      <w:kern w:val="0"/>
                      <w:sz w:val="18"/>
                      <w:szCs w:val="18"/>
                      <w:lang w:val="en-US" w:eastAsia="zh-CN"/>
                    </w:rPr>
                    <w:t>（</w:t>
                  </w:r>
                  <w:r>
                    <w:rPr>
                      <w:rFonts w:hint="default" w:ascii="Times New Roman" w:hAnsi="Times New Roman" w:cs="Times New Roman"/>
                      <w:kern w:val="0"/>
                      <w:sz w:val="18"/>
                      <w:szCs w:val="18"/>
                      <w:lang w:val="en-US" w:eastAsia="zh-CN"/>
                    </w:rPr>
                    <w:t>P</w:t>
                  </w:r>
                  <w:r>
                    <w:rPr>
                      <w:rFonts w:hint="eastAsia" w:ascii="Times New Roman" w:hAnsi="Times New Roman" w:cs="Times New Roman"/>
                      <w:kern w:val="0"/>
                      <w:sz w:val="18"/>
                      <w:szCs w:val="18"/>
                      <w:lang w:val="en-US" w:eastAsia="zh-CN"/>
                    </w:rPr>
                    <w:t>1）</w:t>
                  </w:r>
                </w:p>
              </w:tc>
              <w:tc>
                <w:tcPr>
                  <w:tcW w:w="6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95%</w:t>
                  </w:r>
                </w:p>
              </w:tc>
              <w:tc>
                <w:tcPr>
                  <w:tcW w:w="63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0.44</w:t>
                  </w:r>
                </w:p>
              </w:tc>
              <w:tc>
                <w:tcPr>
                  <w:tcW w:w="93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4.58</w:t>
                  </w:r>
                </w:p>
              </w:tc>
              <w:tc>
                <w:tcPr>
                  <w:tcW w:w="76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0.18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无组织</w:t>
                  </w:r>
                </w:p>
              </w:tc>
              <w:tc>
                <w:tcPr>
                  <w:tcW w:w="60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w:t>
                  </w:r>
                </w:p>
              </w:tc>
              <w:tc>
                <w:tcPr>
                  <w:tcW w:w="60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颗粒物</w:t>
                  </w:r>
                </w:p>
              </w:tc>
              <w:tc>
                <w:tcPr>
                  <w:tcW w:w="62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0.984</w:t>
                  </w:r>
                </w:p>
              </w:tc>
              <w:tc>
                <w:tcPr>
                  <w:tcW w:w="96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w:t>
                  </w:r>
                </w:p>
              </w:tc>
              <w:tc>
                <w:tcPr>
                  <w:tcW w:w="84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0.41</w:t>
                  </w:r>
                </w:p>
              </w:tc>
              <w:tc>
                <w:tcPr>
                  <w:tcW w:w="150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w:t>
                  </w:r>
                </w:p>
              </w:tc>
              <w:tc>
                <w:tcPr>
                  <w:tcW w:w="64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w:t>
                  </w:r>
                </w:p>
              </w:tc>
              <w:tc>
                <w:tcPr>
                  <w:tcW w:w="63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0.984</w:t>
                  </w:r>
                </w:p>
              </w:tc>
              <w:tc>
                <w:tcPr>
                  <w:tcW w:w="93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w:t>
                  </w:r>
                </w:p>
              </w:tc>
              <w:tc>
                <w:tcPr>
                  <w:tcW w:w="76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0.41</w:t>
                  </w:r>
                </w:p>
              </w:tc>
            </w:tr>
          </w:tbl>
          <w:p>
            <w:pPr>
              <w:pStyle w:val="38"/>
              <w:rPr>
                <w:rFonts w:hint="eastAsia" w:ascii="Times New Roman" w:cs="Times New Roman"/>
                <w:lang w:val="en-US" w:eastAsia="zh-CN"/>
              </w:rPr>
            </w:pPr>
            <w:r>
              <w:rPr>
                <w:rFonts w:hint="eastAsia" w:ascii="Times New Roman" w:cs="Times New Roman"/>
                <w:lang w:val="en-US" w:eastAsia="zh-CN"/>
              </w:rPr>
              <w:t>（4）主车间水蒸气</w:t>
            </w:r>
          </w:p>
          <w:p>
            <w:pPr>
              <w:pStyle w:val="38"/>
              <w:rPr>
                <w:rFonts w:hint="default" w:ascii="Times New Roman" w:cs="Times New Roman"/>
                <w:lang w:val="en-US" w:eastAsia="zh-CN"/>
              </w:rPr>
            </w:pPr>
            <w:r>
              <w:rPr>
                <w:rFonts w:hint="eastAsia" w:ascii="Times New Roman" w:cs="Times New Roman"/>
                <w:lang w:val="en-US" w:eastAsia="zh-CN"/>
              </w:rPr>
              <w:t>本项目冷却过程中水蒸气拟采用负压风机抽至1根45m排气筒（P1）排放，水蒸气排放不会对环境造成影响，本次环评不对水蒸气产生量进行核算。</w:t>
            </w:r>
          </w:p>
          <w:p>
            <w:pPr>
              <w:pStyle w:val="38"/>
              <w:rPr>
                <w:rFonts w:hint="default" w:ascii="Times New Roman" w:hAnsi="Times New Roman" w:cs="Times New Roman"/>
                <w:u w:val="single"/>
                <w:lang w:val="en-US" w:eastAsia="zh-CN"/>
              </w:rPr>
            </w:pPr>
            <w:r>
              <w:rPr>
                <w:rFonts w:hint="eastAsia" w:ascii="Times New Roman" w:hAnsi="Times New Roman" w:cs="Times New Roman"/>
                <w:u w:val="single"/>
                <w:lang w:val="en-US" w:eastAsia="zh-CN"/>
              </w:rPr>
              <w:t>（</w:t>
            </w:r>
            <w:r>
              <w:rPr>
                <w:rFonts w:hint="eastAsia" w:ascii="Times New Roman" w:cs="Times New Roman"/>
                <w:u w:val="single"/>
                <w:lang w:val="en-US" w:eastAsia="zh-CN"/>
              </w:rPr>
              <w:t>5</w:t>
            </w:r>
            <w:r>
              <w:rPr>
                <w:rFonts w:hint="eastAsia" w:ascii="Times New Roman" w:hAnsi="Times New Roman" w:cs="Times New Roman"/>
                <w:u w:val="single"/>
                <w:lang w:val="en-US" w:eastAsia="zh-CN"/>
              </w:rPr>
              <w:t>）</w:t>
            </w:r>
            <w:r>
              <w:rPr>
                <w:rFonts w:hint="eastAsia" w:ascii="Times New Roman" w:cs="Times New Roman"/>
                <w:u w:val="single"/>
                <w:lang w:val="en-US" w:eastAsia="zh-CN"/>
              </w:rPr>
              <w:t>2</w:t>
            </w:r>
            <w:r>
              <w:rPr>
                <w:rFonts w:hint="eastAsia" w:ascii="Times New Roman" w:hAnsi="Times New Roman" w:cs="Times New Roman"/>
                <w:u w:val="single"/>
                <w:lang w:val="en-US" w:eastAsia="zh-CN"/>
              </w:rPr>
              <w:t>#车间内发酵料生产线恶臭</w:t>
            </w:r>
          </w:p>
          <w:p>
            <w:pPr>
              <w:pStyle w:val="38"/>
              <w:rPr>
                <w:rFonts w:hint="eastAsia" w:ascii="Times New Roman" w:hAnsi="Times New Roman" w:cs="Times New Roman"/>
                <w:u w:val="single"/>
                <w:lang w:val="en-US" w:eastAsia="zh-CN"/>
              </w:rPr>
            </w:pPr>
            <w:r>
              <w:rPr>
                <w:rFonts w:hint="eastAsia" w:ascii="Times New Roman" w:hAnsi="Times New Roman" w:cs="Times New Roman"/>
                <w:u w:val="single"/>
                <w:lang w:val="en-US" w:eastAsia="zh-CN"/>
              </w:rPr>
              <w:t>本次环评恶臭污染物源强计算类比《清远希普生物科技有限公司年产3万吨发酵豆粕饲料蛋白、5万吨烘烤大豆、2万吨水产饲料、3万吨猪饲料及0.5万吨混合型饲料添加剂建设项目环境影响报告书》中相关数据，上述项目与本项目发酵原材料均为豆粕，发酵菌种均为枯草芽抱杆菌、乳酸菌、酵母菌，因此污染物产生系数具有可类比性。</w:t>
            </w:r>
          </w:p>
          <w:p>
            <w:pPr>
              <w:pStyle w:val="38"/>
              <w:rPr>
                <w:rFonts w:hint="eastAsia" w:ascii="Times New Roman" w:hAnsi="Times New Roman" w:cs="Times New Roman"/>
                <w:u w:val="single"/>
                <w:lang w:val="en-US" w:eastAsia="zh-CN"/>
              </w:rPr>
            </w:pPr>
            <w:r>
              <w:rPr>
                <w:rFonts w:hint="eastAsia" w:ascii="Times New Roman" w:hAnsi="Times New Roman" w:cs="Times New Roman"/>
                <w:u w:val="single"/>
                <w:lang w:val="en-US" w:eastAsia="zh-CN"/>
              </w:rPr>
              <w:t>根据上述报告中相关数据，H</w:t>
            </w:r>
            <w:r>
              <w:rPr>
                <w:rFonts w:hint="eastAsia" w:ascii="Times New Roman" w:hAnsi="Times New Roman" w:cs="Times New Roman"/>
                <w:u w:val="single"/>
                <w:vertAlign w:val="subscript"/>
                <w:lang w:val="en-US" w:eastAsia="zh-CN"/>
              </w:rPr>
              <w:t>2</w:t>
            </w:r>
            <w:r>
              <w:rPr>
                <w:rFonts w:hint="eastAsia" w:ascii="Times New Roman" w:hAnsi="Times New Roman" w:cs="Times New Roman"/>
                <w:u w:val="single"/>
                <w:lang w:val="en-US" w:eastAsia="zh-CN"/>
              </w:rPr>
              <w:t>S产生速率为0.008kg/h，NH</w:t>
            </w:r>
            <w:r>
              <w:rPr>
                <w:rFonts w:hint="eastAsia" w:ascii="Times New Roman" w:hAnsi="Times New Roman" w:cs="Times New Roman"/>
                <w:u w:val="single"/>
                <w:vertAlign w:val="subscript"/>
                <w:lang w:val="en-US" w:eastAsia="zh-CN"/>
              </w:rPr>
              <w:t>3</w:t>
            </w:r>
            <w:r>
              <w:rPr>
                <w:rFonts w:hint="eastAsia" w:ascii="Times New Roman" w:hAnsi="Times New Roman" w:cs="Times New Roman"/>
                <w:u w:val="single"/>
                <w:lang w:val="en-US" w:eastAsia="zh-CN"/>
              </w:rPr>
              <w:t>产生速率为0.256kg/h，据此计算本项目H</w:t>
            </w:r>
            <w:r>
              <w:rPr>
                <w:rFonts w:hint="eastAsia" w:ascii="Times New Roman" w:hAnsi="Times New Roman" w:cs="Times New Roman"/>
                <w:u w:val="single"/>
                <w:vertAlign w:val="subscript"/>
                <w:lang w:val="en-US" w:eastAsia="zh-CN"/>
              </w:rPr>
              <w:t>2</w:t>
            </w:r>
            <w:r>
              <w:rPr>
                <w:rFonts w:hint="eastAsia" w:ascii="Times New Roman" w:hAnsi="Times New Roman" w:cs="Times New Roman"/>
                <w:u w:val="single"/>
                <w:lang w:val="en-US" w:eastAsia="zh-CN"/>
              </w:rPr>
              <w:t>S年产生量为0.0192t/a，NH</w:t>
            </w:r>
            <w:r>
              <w:rPr>
                <w:rFonts w:hint="eastAsia" w:ascii="Times New Roman" w:hAnsi="Times New Roman" w:cs="Times New Roman"/>
                <w:u w:val="single"/>
                <w:vertAlign w:val="subscript"/>
                <w:lang w:val="en-US" w:eastAsia="zh-CN"/>
              </w:rPr>
              <w:t>3</w:t>
            </w:r>
            <w:r>
              <w:rPr>
                <w:rFonts w:hint="eastAsia" w:ascii="Times New Roman" w:hAnsi="Times New Roman" w:cs="Times New Roman"/>
                <w:u w:val="single"/>
                <w:vertAlign w:val="baseline"/>
                <w:lang w:val="en-US" w:eastAsia="zh-CN"/>
              </w:rPr>
              <w:t>年</w:t>
            </w:r>
            <w:r>
              <w:rPr>
                <w:rFonts w:hint="eastAsia" w:ascii="Times New Roman" w:hAnsi="Times New Roman" w:cs="Times New Roman"/>
                <w:u w:val="single"/>
                <w:lang w:val="en-US" w:eastAsia="zh-CN"/>
              </w:rPr>
              <w:t>产生量为0.614t/a</w:t>
            </w:r>
            <w:r>
              <w:rPr>
                <w:rFonts w:hint="eastAsia" w:ascii="Times New Roman" w:hAnsi="Times New Roman" w:cs="Times New Roman" w:eastAsiaTheme="minorEastAsia"/>
                <w:b w:val="0"/>
                <w:bCs/>
                <w:kern w:val="2"/>
                <w:sz w:val="24"/>
                <w:szCs w:val="24"/>
                <w:u w:val="single"/>
                <w:lang w:val="en-US" w:eastAsia="zh-CN" w:bidi="ar-SA"/>
              </w:rPr>
              <w:t>，</w:t>
            </w:r>
            <w:r>
              <w:rPr>
                <w:rFonts w:hint="eastAsia" w:ascii="Times New Roman" w:hAnsi="Times New Roman" w:cs="Times New Roman"/>
                <w:sz w:val="24"/>
                <w:u w:val="single"/>
                <w:lang w:eastAsia="zh-CN"/>
              </w:rPr>
              <w:t>环评要求建设单位对</w:t>
            </w:r>
            <w:r>
              <w:rPr>
                <w:rFonts w:hint="eastAsia" w:ascii="Times New Roman" w:cs="Times New Roman"/>
                <w:sz w:val="24"/>
                <w:u w:val="single"/>
                <w:lang w:eastAsia="zh-CN"/>
              </w:rPr>
              <w:t>发酵床</w:t>
            </w:r>
            <w:r>
              <w:rPr>
                <w:rFonts w:hint="eastAsia" w:ascii="Times New Roman" w:hAnsi="Times New Roman" w:cs="Times New Roman"/>
                <w:sz w:val="24"/>
                <w:u w:val="single"/>
                <w:lang w:eastAsia="zh-CN"/>
              </w:rPr>
              <w:t>采取封闭措施，采用负压风机</w:t>
            </w:r>
            <w:r>
              <w:rPr>
                <w:rFonts w:hint="eastAsia" w:ascii="Times New Roman" w:cs="Times New Roman"/>
                <w:sz w:val="24"/>
                <w:u w:val="single"/>
                <w:lang w:eastAsia="zh-CN"/>
              </w:rPr>
              <w:t>将恶臭气体</w:t>
            </w:r>
            <w:r>
              <w:rPr>
                <w:rFonts w:hint="eastAsia" w:ascii="Times New Roman" w:hAnsi="Times New Roman" w:cs="Times New Roman"/>
                <w:sz w:val="24"/>
                <w:u w:val="single"/>
                <w:lang w:eastAsia="zh-CN"/>
              </w:rPr>
              <w:t>引至</w:t>
            </w:r>
            <w:r>
              <w:rPr>
                <w:rFonts w:hint="eastAsia" w:ascii="Times New Roman" w:cs="Times New Roman"/>
                <w:sz w:val="24"/>
                <w:u w:val="single"/>
                <w:lang w:val="en-US" w:eastAsia="zh-CN"/>
              </w:rPr>
              <w:t>2#车间西侧环保水池，再经生物除臭喷淋塔处理后经</w:t>
            </w:r>
            <w:r>
              <w:rPr>
                <w:rFonts w:hint="eastAsia" w:ascii="Times New Roman" w:hAnsi="Times New Roman" w:cs="Times New Roman"/>
                <w:sz w:val="24"/>
                <w:u w:val="single"/>
                <w:lang w:val="en-US" w:eastAsia="zh-CN"/>
              </w:rPr>
              <w:t>15m排气筒（P</w:t>
            </w:r>
            <w:r>
              <w:rPr>
                <w:rFonts w:hint="eastAsia" w:ascii="Times New Roman" w:cs="Times New Roman"/>
                <w:sz w:val="24"/>
                <w:u w:val="single"/>
                <w:lang w:val="en-US" w:eastAsia="zh-CN"/>
              </w:rPr>
              <w:t>3</w:t>
            </w:r>
            <w:r>
              <w:rPr>
                <w:rFonts w:hint="eastAsia" w:ascii="Times New Roman" w:hAnsi="Times New Roman" w:cs="Times New Roman"/>
                <w:sz w:val="24"/>
                <w:u w:val="single"/>
                <w:lang w:val="en-US" w:eastAsia="zh-CN"/>
              </w:rPr>
              <w:t>）排放</w:t>
            </w:r>
            <w:r>
              <w:rPr>
                <w:rFonts w:hint="eastAsia" w:ascii="Times New Roman" w:hAnsi="Times New Roman" w:cs="Times New Roman" w:eastAsiaTheme="minorEastAsia"/>
                <w:b w:val="0"/>
                <w:bCs/>
                <w:kern w:val="2"/>
                <w:sz w:val="24"/>
                <w:szCs w:val="24"/>
                <w:u w:val="single"/>
                <w:lang w:val="en-US" w:eastAsia="zh-CN" w:bidi="ar-SA"/>
              </w:rPr>
              <w:t>，风机风量</w:t>
            </w:r>
            <w:r>
              <w:rPr>
                <w:rFonts w:hint="eastAsia" w:ascii="Times New Roman" w:hAnsi="Times New Roman" w:cs="Times New Roman"/>
                <w:b w:val="0"/>
                <w:bCs/>
                <w:kern w:val="2"/>
                <w:sz w:val="24"/>
                <w:szCs w:val="24"/>
                <w:u w:val="single"/>
                <w:lang w:val="en-US" w:eastAsia="zh-CN" w:bidi="ar-SA"/>
              </w:rPr>
              <w:t>按5000</w:t>
            </w:r>
            <w:r>
              <w:rPr>
                <w:rFonts w:hint="eastAsia" w:ascii="Times New Roman" w:hAnsi="Times New Roman" w:cs="Times New Roman" w:eastAsiaTheme="minorEastAsia"/>
                <w:b w:val="0"/>
                <w:bCs/>
                <w:kern w:val="2"/>
                <w:sz w:val="24"/>
                <w:szCs w:val="24"/>
                <w:u w:val="single"/>
                <w:lang w:val="en-US" w:eastAsia="zh-CN" w:bidi="ar-SA"/>
              </w:rPr>
              <w:t>m</w:t>
            </w:r>
            <w:r>
              <w:rPr>
                <w:rFonts w:hint="eastAsia" w:ascii="Times New Roman" w:hAnsi="Times New Roman" w:cs="Times New Roman"/>
                <w:b w:val="0"/>
                <w:bCs/>
                <w:kern w:val="2"/>
                <w:sz w:val="24"/>
                <w:szCs w:val="24"/>
                <w:u w:val="single"/>
                <w:vertAlign w:val="superscript"/>
                <w:lang w:val="en-US" w:eastAsia="zh-CN" w:bidi="ar-SA"/>
              </w:rPr>
              <w:t>3</w:t>
            </w:r>
            <w:r>
              <w:rPr>
                <w:rFonts w:hint="eastAsia" w:ascii="Times New Roman" w:hAnsi="Times New Roman" w:cs="Times New Roman" w:eastAsiaTheme="minorEastAsia"/>
                <w:b w:val="0"/>
                <w:bCs/>
                <w:kern w:val="2"/>
                <w:sz w:val="24"/>
                <w:szCs w:val="24"/>
                <w:u w:val="single"/>
                <w:lang w:val="en-US" w:eastAsia="zh-CN" w:bidi="ar-SA"/>
              </w:rPr>
              <w:t>/h</w:t>
            </w:r>
            <w:r>
              <w:rPr>
                <w:rFonts w:hint="eastAsia" w:ascii="Times New Roman" w:hAnsi="Times New Roman" w:cs="Times New Roman"/>
                <w:b w:val="0"/>
                <w:bCs/>
                <w:kern w:val="2"/>
                <w:sz w:val="24"/>
                <w:szCs w:val="24"/>
                <w:u w:val="single"/>
                <w:lang w:val="en-US" w:eastAsia="zh-CN" w:bidi="ar-SA"/>
              </w:rPr>
              <w:t>，恶臭气体收集效率按90%</w:t>
            </w:r>
            <w:r>
              <w:rPr>
                <w:rFonts w:hint="eastAsia" w:ascii="Times New Roman" w:cs="Times New Roman"/>
                <w:b w:val="0"/>
                <w:bCs/>
                <w:kern w:val="2"/>
                <w:sz w:val="24"/>
                <w:szCs w:val="24"/>
                <w:u w:val="single"/>
                <w:lang w:val="en-US" w:eastAsia="zh-CN" w:bidi="ar-SA"/>
              </w:rPr>
              <w:t>，根据查阅相关资料，生物除臭喷淋塔处理效率可达到95%以上，本环评按95%，恶臭气体经处理后</w:t>
            </w:r>
            <w:r>
              <w:rPr>
                <w:rFonts w:hint="eastAsia" w:ascii="Times New Roman" w:hAnsi="Times New Roman" w:cs="Times New Roman"/>
                <w:u w:val="single"/>
                <w:lang w:val="en-US" w:eastAsia="zh-CN"/>
              </w:rPr>
              <w:t>NH</w:t>
            </w:r>
            <w:r>
              <w:rPr>
                <w:rFonts w:hint="eastAsia" w:ascii="Times New Roman" w:hAnsi="Times New Roman" w:cs="Times New Roman"/>
                <w:u w:val="single"/>
                <w:vertAlign w:val="subscript"/>
                <w:lang w:val="en-US" w:eastAsia="zh-CN"/>
              </w:rPr>
              <w:t>3</w:t>
            </w:r>
            <w:r>
              <w:rPr>
                <w:rFonts w:hint="eastAsia" w:ascii="Times New Roman" w:cs="Times New Roman"/>
                <w:b w:val="0"/>
                <w:bCs/>
                <w:kern w:val="2"/>
                <w:sz w:val="24"/>
                <w:szCs w:val="24"/>
                <w:u w:val="single"/>
                <w:lang w:val="en-US" w:eastAsia="zh-CN" w:bidi="ar-SA"/>
              </w:rPr>
              <w:t>有组织排放量</w:t>
            </w:r>
            <w:r>
              <w:rPr>
                <w:rFonts w:hint="eastAsia" w:ascii="Times New Roman" w:cs="Times New Roman"/>
                <w:u w:val="single"/>
                <w:vertAlign w:val="baseline"/>
                <w:lang w:val="en-US" w:eastAsia="zh-CN"/>
              </w:rPr>
              <w:t>为0.03t/a，排放速率为0.01kg/h，H</w:t>
            </w:r>
            <w:r>
              <w:rPr>
                <w:rFonts w:hint="eastAsia" w:ascii="Times New Roman" w:cs="Times New Roman"/>
                <w:u w:val="single"/>
                <w:vertAlign w:val="subscript"/>
                <w:lang w:val="en-US" w:eastAsia="zh-CN"/>
              </w:rPr>
              <w:t>2</w:t>
            </w:r>
            <w:r>
              <w:rPr>
                <w:rFonts w:hint="eastAsia" w:ascii="Times New Roman" w:cs="Times New Roman"/>
                <w:u w:val="single"/>
                <w:vertAlign w:val="baseline"/>
                <w:lang w:val="en-US" w:eastAsia="zh-CN"/>
              </w:rPr>
              <w:t>S有组织排放量为0.0009t/a，排放速率为0.0004kg/h，</w:t>
            </w:r>
            <w:r>
              <w:rPr>
                <w:rFonts w:hint="eastAsia" w:ascii="Times New Roman" w:hAnsi="Times New Roman" w:cs="Times New Roman"/>
                <w:b w:val="0"/>
                <w:bCs/>
                <w:kern w:val="2"/>
                <w:sz w:val="24"/>
                <w:szCs w:val="24"/>
                <w:u w:val="single"/>
                <w:lang w:val="en-US" w:eastAsia="zh-CN" w:bidi="ar-SA"/>
              </w:rPr>
              <w:t>可满足</w:t>
            </w:r>
            <w:r>
              <w:rPr>
                <w:rFonts w:hint="eastAsia" w:ascii="Times New Roman" w:hAnsi="Times New Roman" w:cs="Times New Roman"/>
                <w:sz w:val="24"/>
                <w:u w:val="single"/>
                <w:lang w:eastAsia="zh-CN"/>
              </w:rPr>
              <w:t>《恶臭污染物排放标准》(GB14554-93)（排放速率</w:t>
            </w:r>
            <w:r>
              <w:rPr>
                <w:rFonts w:hint="eastAsia" w:ascii="Times New Roman" w:hAnsi="Times New Roman" w:cs="Times New Roman"/>
                <w:u w:val="single"/>
                <w:lang w:val="en-US" w:eastAsia="zh-CN"/>
              </w:rPr>
              <w:t>H</w:t>
            </w:r>
            <w:r>
              <w:rPr>
                <w:rFonts w:hint="eastAsia" w:ascii="Times New Roman" w:hAnsi="Times New Roman" w:cs="Times New Roman"/>
                <w:u w:val="single"/>
                <w:vertAlign w:val="subscript"/>
                <w:lang w:val="en-US" w:eastAsia="zh-CN"/>
              </w:rPr>
              <w:t>2</w:t>
            </w:r>
            <w:r>
              <w:rPr>
                <w:rFonts w:hint="eastAsia" w:ascii="Times New Roman" w:hAnsi="Times New Roman" w:cs="Times New Roman"/>
                <w:u w:val="single"/>
                <w:lang w:val="en-US" w:eastAsia="zh-CN"/>
              </w:rPr>
              <w:t>S</w:t>
            </w:r>
            <w:r>
              <w:rPr>
                <w:rFonts w:hint="eastAsia" w:ascii="宋体" w:hAnsi="宋体" w:eastAsia="宋体" w:cs="宋体"/>
                <w:u w:val="single"/>
                <w:lang w:val="en-US" w:eastAsia="zh-CN"/>
              </w:rPr>
              <w:t>＜</w:t>
            </w:r>
            <w:r>
              <w:rPr>
                <w:rFonts w:hint="eastAsia" w:ascii="Times New Roman" w:hAnsi="Times New Roman" w:cs="Times New Roman"/>
                <w:u w:val="single"/>
                <w:lang w:val="en-US" w:eastAsia="zh-CN"/>
              </w:rPr>
              <w:t>0.33k</w:t>
            </w:r>
            <w:r>
              <w:rPr>
                <w:rFonts w:hint="default" w:ascii="Times New Roman" w:hAnsi="Times New Roman" w:cs="Times New Roman"/>
                <w:u w:val="single"/>
                <w:lang w:val="en-US" w:eastAsia="zh-CN"/>
              </w:rPr>
              <w:t>g/h，NH</w:t>
            </w:r>
            <w:r>
              <w:rPr>
                <w:rFonts w:hint="default" w:ascii="Times New Roman" w:hAnsi="Times New Roman" w:cs="Times New Roman"/>
                <w:u w:val="single"/>
                <w:vertAlign w:val="subscript"/>
                <w:lang w:val="en-US" w:eastAsia="zh-CN"/>
              </w:rPr>
              <w:t>3</w:t>
            </w:r>
            <w:r>
              <w:rPr>
                <w:rFonts w:hint="default" w:ascii="Times New Roman" w:hAnsi="Times New Roman" w:eastAsia="宋体" w:cs="Times New Roman"/>
                <w:u w:val="single"/>
                <w:lang w:val="en-US" w:eastAsia="zh-CN"/>
              </w:rPr>
              <w:t>＜4.9</w:t>
            </w:r>
            <w:r>
              <w:rPr>
                <w:rFonts w:hint="default" w:ascii="Times New Roman" w:hAnsi="Times New Roman" w:cs="Times New Roman"/>
                <w:u w:val="single"/>
                <w:lang w:val="en-US" w:eastAsia="zh-CN"/>
              </w:rPr>
              <w:t>kg/h</w:t>
            </w:r>
            <w:r>
              <w:rPr>
                <w:rFonts w:hint="default" w:ascii="Times New Roman" w:hAnsi="Times New Roman" w:cs="Times New Roman"/>
                <w:sz w:val="24"/>
                <w:u w:val="single"/>
                <w:lang w:eastAsia="zh-CN"/>
              </w:rPr>
              <w:t>），</w:t>
            </w:r>
            <w:r>
              <w:rPr>
                <w:rFonts w:hint="eastAsia" w:ascii="Times New Roman" w:cs="Times New Roman"/>
                <w:sz w:val="24"/>
                <w:u w:val="single"/>
                <w:lang w:eastAsia="zh-CN"/>
              </w:rPr>
              <w:t>上述处理措施与《排污许可证申请与核发技术规范 农副食品加工工业—饲料加工、植物油加工工业（HJ 1110—2020）》中要求的措施一致。</w:t>
            </w:r>
            <w:r>
              <w:rPr>
                <w:rFonts w:hint="eastAsia" w:ascii="Times New Roman" w:hAnsi="Times New Roman" w:cs="Times New Roman"/>
                <w:b w:val="0"/>
                <w:bCs/>
                <w:kern w:val="2"/>
                <w:sz w:val="24"/>
                <w:szCs w:val="24"/>
                <w:u w:val="single"/>
                <w:lang w:val="en-US" w:eastAsia="zh-CN" w:bidi="ar-SA"/>
              </w:rPr>
              <w:t>发酵料生产线恶臭</w:t>
            </w:r>
            <w:r>
              <w:rPr>
                <w:rFonts w:hint="eastAsia" w:ascii="Times New Roman" w:hAnsi="Times New Roman" w:cs="Times New Roman" w:eastAsiaTheme="minorEastAsia"/>
                <w:b w:val="0"/>
                <w:bCs/>
                <w:kern w:val="2"/>
                <w:sz w:val="24"/>
                <w:szCs w:val="24"/>
                <w:u w:val="single"/>
                <w:lang w:val="en-US" w:eastAsia="zh-CN" w:bidi="ar-SA"/>
              </w:rPr>
              <w:t>产排情况见表</w:t>
            </w:r>
            <w:r>
              <w:rPr>
                <w:rFonts w:hint="eastAsia" w:ascii="Times New Roman" w:cs="Times New Roman"/>
                <w:b w:val="0"/>
                <w:bCs/>
                <w:kern w:val="2"/>
                <w:sz w:val="24"/>
                <w:szCs w:val="24"/>
                <w:u w:val="single"/>
                <w:lang w:val="en-US" w:eastAsia="zh-CN" w:bidi="ar-SA"/>
              </w:rPr>
              <w:t>5-7</w:t>
            </w:r>
            <w:r>
              <w:rPr>
                <w:rFonts w:hint="eastAsia" w:ascii="Times New Roman" w:hAnsi="Times New Roman" w:cs="Times New Roman"/>
                <w:u w:val="single"/>
                <w:lang w:val="en-US" w:eastAsia="zh-CN"/>
              </w:rPr>
              <w:t>。</w:t>
            </w:r>
          </w:p>
          <w:p>
            <w:pPr>
              <w:pStyle w:val="38"/>
              <w:ind w:left="0" w:leftChars="0" w:firstLine="0" w:firstLineChars="0"/>
              <w:jc w:val="center"/>
              <w:rPr>
                <w:rFonts w:hint="eastAsia" w:ascii="Times New Roman" w:hAnsiTheme="minorHAnsi" w:eastAsiaTheme="minorEastAsia" w:cstheme="minorBidi"/>
                <w:b/>
                <w:bCs/>
                <w:kern w:val="2"/>
                <w:sz w:val="21"/>
                <w:szCs w:val="24"/>
                <w:u w:val="single"/>
                <w:lang w:val="en-US" w:eastAsia="zh-CN" w:bidi="ar-SA"/>
              </w:rPr>
            </w:pPr>
            <w:r>
              <w:rPr>
                <w:rFonts w:hint="eastAsia" w:ascii="Times New Roman" w:hAnsiTheme="minorHAnsi" w:eastAsiaTheme="minorEastAsia" w:cstheme="minorBidi"/>
                <w:b/>
                <w:bCs/>
                <w:kern w:val="2"/>
                <w:sz w:val="21"/>
                <w:szCs w:val="24"/>
                <w:u w:val="single"/>
                <w:lang w:val="en-US" w:eastAsia="zh-CN" w:bidi="ar-SA"/>
              </w:rPr>
              <w:t>表</w:t>
            </w:r>
            <w:r>
              <w:rPr>
                <w:rFonts w:hint="eastAsia" w:ascii="Times New Roman" w:hAnsiTheme="minorHAnsi" w:cstheme="minorBidi"/>
                <w:b/>
                <w:bCs/>
                <w:kern w:val="2"/>
                <w:sz w:val="21"/>
                <w:szCs w:val="24"/>
                <w:u w:val="single"/>
                <w:lang w:val="en-US" w:eastAsia="zh-CN" w:bidi="ar-SA"/>
              </w:rPr>
              <w:t>5-7</w:t>
            </w:r>
            <w:r>
              <w:rPr>
                <w:rFonts w:hint="eastAsia" w:ascii="Times New Roman" w:hAnsiTheme="minorHAnsi" w:eastAsiaTheme="minorEastAsia" w:cstheme="minorBidi"/>
                <w:b/>
                <w:bCs/>
                <w:kern w:val="2"/>
                <w:sz w:val="21"/>
                <w:szCs w:val="24"/>
                <w:u w:val="single"/>
                <w:lang w:val="en-US" w:eastAsia="zh-CN" w:bidi="ar-SA"/>
              </w:rPr>
              <w:tab/>
            </w:r>
            <w:r>
              <w:rPr>
                <w:rFonts w:hint="eastAsia" w:ascii="Times New Roman" w:hAnsiTheme="minorHAnsi" w:cstheme="minorBidi"/>
                <w:b/>
                <w:bCs/>
                <w:kern w:val="2"/>
                <w:sz w:val="21"/>
                <w:szCs w:val="24"/>
                <w:u w:val="single"/>
                <w:lang w:val="en-US" w:eastAsia="zh-CN" w:bidi="ar-SA"/>
              </w:rPr>
              <w:t>发酵料生产线恶臭</w:t>
            </w:r>
            <w:r>
              <w:rPr>
                <w:rFonts w:hint="eastAsia" w:ascii="Times New Roman" w:hAnsiTheme="minorHAnsi" w:eastAsiaTheme="minorEastAsia" w:cstheme="minorBidi"/>
                <w:b/>
                <w:bCs/>
                <w:kern w:val="2"/>
                <w:sz w:val="21"/>
                <w:szCs w:val="24"/>
                <w:u w:val="single"/>
                <w:lang w:val="en-US" w:eastAsia="zh-CN" w:bidi="ar-SA"/>
              </w:rPr>
              <w:t>产排情况一览表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2"/>
              <w:gridCol w:w="593"/>
              <w:gridCol w:w="599"/>
              <w:gridCol w:w="878"/>
              <w:gridCol w:w="917"/>
              <w:gridCol w:w="898"/>
              <w:gridCol w:w="652"/>
              <w:gridCol w:w="868"/>
              <w:gridCol w:w="907"/>
              <w:gridCol w:w="919"/>
              <w:gridCol w:w="7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类型</w:t>
                  </w:r>
                </w:p>
              </w:tc>
              <w:tc>
                <w:tcPr>
                  <w:tcW w:w="600"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风量</w:t>
                  </w:r>
                </w:p>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m</w:t>
                  </w:r>
                  <w:r>
                    <w:rPr>
                      <w:rFonts w:hint="default" w:ascii="Times New Roman" w:hAnsi="Times New Roman" w:cs="Times New Roman"/>
                      <w:b/>
                      <w:bCs/>
                      <w:kern w:val="0"/>
                      <w:sz w:val="18"/>
                      <w:szCs w:val="18"/>
                      <w:u w:val="single"/>
                      <w:vertAlign w:val="superscript"/>
                      <w:lang w:val="en-US" w:eastAsia="zh-CN"/>
                    </w:rPr>
                    <w:t>3</w:t>
                  </w:r>
                  <w:r>
                    <w:rPr>
                      <w:rFonts w:hint="default" w:ascii="Times New Roman" w:hAnsi="Times New Roman" w:cs="Times New Roman"/>
                      <w:b/>
                      <w:bCs/>
                      <w:kern w:val="0"/>
                      <w:sz w:val="18"/>
                      <w:szCs w:val="18"/>
                      <w:u w:val="single"/>
                      <w:lang w:val="en-US" w:eastAsia="zh-CN"/>
                    </w:rPr>
                    <w:t>/h</w:t>
                  </w:r>
                </w:p>
              </w:tc>
              <w:tc>
                <w:tcPr>
                  <w:tcW w:w="606"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污染 因子</w:t>
                  </w:r>
                </w:p>
              </w:tc>
              <w:tc>
                <w:tcPr>
                  <w:tcW w:w="2730" w:type="dxa"/>
                  <w:gridSpan w:val="3"/>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产生情况</w:t>
                  </w:r>
                </w:p>
              </w:tc>
              <w:tc>
                <w:tcPr>
                  <w:tcW w:w="66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处理措施</w:t>
                  </w:r>
                </w:p>
              </w:tc>
              <w:tc>
                <w:tcPr>
                  <w:tcW w:w="88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去除效率</w:t>
                  </w:r>
                </w:p>
              </w:tc>
              <w:tc>
                <w:tcPr>
                  <w:tcW w:w="2615" w:type="dxa"/>
                  <w:gridSpan w:val="3"/>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p>
              </w:tc>
              <w:tc>
                <w:tcPr>
                  <w:tcW w:w="60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p>
              </w:tc>
              <w:tc>
                <w:tcPr>
                  <w:tcW w:w="606"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p>
              </w:tc>
              <w:tc>
                <w:tcPr>
                  <w:tcW w:w="89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产生量t/a</w:t>
                  </w:r>
                </w:p>
              </w:tc>
              <w:tc>
                <w:tcPr>
                  <w:tcW w:w="93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产生浓度mg/m</w:t>
                  </w:r>
                  <w:r>
                    <w:rPr>
                      <w:rFonts w:hint="default" w:ascii="Times New Roman" w:hAnsi="Times New Roman" w:cs="Times New Roman"/>
                      <w:b/>
                      <w:bCs/>
                      <w:kern w:val="0"/>
                      <w:sz w:val="18"/>
                      <w:szCs w:val="18"/>
                      <w:u w:val="single"/>
                      <w:vertAlign w:val="superscript"/>
                      <w:lang w:val="en-US" w:eastAsia="zh-CN"/>
                    </w:rPr>
                    <w:t>3</w:t>
                  </w:r>
                </w:p>
              </w:tc>
              <w:tc>
                <w:tcPr>
                  <w:tcW w:w="91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产生速率kg/h</w:t>
                  </w:r>
                </w:p>
              </w:tc>
              <w:tc>
                <w:tcPr>
                  <w:tcW w:w="66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p>
              </w:tc>
              <w:tc>
                <w:tcPr>
                  <w:tcW w:w="88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p>
              </w:tc>
              <w:tc>
                <w:tcPr>
                  <w:tcW w:w="920"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排放量t/a</w:t>
                  </w:r>
                </w:p>
              </w:tc>
              <w:tc>
                <w:tcPr>
                  <w:tcW w:w="932"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排放浓度mg/m</w:t>
                  </w:r>
                  <w:r>
                    <w:rPr>
                      <w:rFonts w:hint="default" w:ascii="Times New Roman" w:hAnsi="Times New Roman" w:cs="Times New Roman"/>
                      <w:b/>
                      <w:bCs/>
                      <w:kern w:val="0"/>
                      <w:sz w:val="18"/>
                      <w:szCs w:val="18"/>
                      <w:u w:val="single"/>
                      <w:vertAlign w:val="superscript"/>
                      <w:lang w:val="en-US" w:eastAsia="zh-CN"/>
                    </w:rPr>
                    <w:t>3</w:t>
                  </w:r>
                </w:p>
              </w:tc>
              <w:tc>
                <w:tcPr>
                  <w:tcW w:w="763" w:type="dxa"/>
                  <w:tcBorders>
                    <w:tl2br w:val="nil"/>
                    <w:tr2bl w:val="nil"/>
                  </w:tcBorders>
                  <w:vAlign w:val="center"/>
                </w:tcPr>
                <w:p>
                  <w:pPr>
                    <w:adjustRightInd w:val="0"/>
                    <w:snapToGrid w:val="0"/>
                    <w:spacing w:line="240" w:lineRule="auto"/>
                    <w:jc w:val="center"/>
                    <w:rPr>
                      <w:rFonts w:hint="eastAsia" w:ascii="Times New Roman" w:hAnsi="Times New Roman" w:cs="Times New Roman"/>
                      <w:b/>
                      <w:bCs/>
                      <w:kern w:val="0"/>
                      <w:sz w:val="18"/>
                      <w:szCs w:val="18"/>
                      <w:u w:val="single"/>
                      <w:lang w:val="en-US" w:eastAsia="zh-CN"/>
                    </w:rPr>
                  </w:pPr>
                  <w:r>
                    <w:rPr>
                      <w:rFonts w:hint="default" w:ascii="Times New Roman" w:hAnsi="Times New Roman" w:cs="Times New Roman"/>
                      <w:b/>
                      <w:bCs/>
                      <w:kern w:val="0"/>
                      <w:sz w:val="18"/>
                      <w:szCs w:val="18"/>
                      <w:u w:val="single"/>
                      <w:lang w:val="en-US" w:eastAsia="zh-CN"/>
                    </w:rPr>
                    <w:t>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64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有组织</w:t>
                  </w:r>
                </w:p>
              </w:tc>
              <w:tc>
                <w:tcPr>
                  <w:tcW w:w="600" w:type="dxa"/>
                  <w:vMerge w:val="restart"/>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5000</w:t>
                  </w:r>
                </w:p>
              </w:tc>
              <w:tc>
                <w:tcPr>
                  <w:tcW w:w="60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H</w:t>
                  </w:r>
                  <w:r>
                    <w:rPr>
                      <w:rFonts w:hint="eastAsia" w:ascii="Times New Roman" w:hAnsi="Times New Roman" w:cs="Times New Roman"/>
                      <w:kern w:val="0"/>
                      <w:sz w:val="18"/>
                      <w:szCs w:val="18"/>
                      <w:u w:val="single"/>
                      <w:vertAlign w:val="subscript"/>
                      <w:lang w:val="en-US" w:eastAsia="zh-CN"/>
                    </w:rPr>
                    <w:t>2</w:t>
                  </w:r>
                  <w:r>
                    <w:rPr>
                      <w:rFonts w:hint="eastAsia" w:ascii="Times New Roman" w:hAnsi="Times New Roman" w:cs="Times New Roman"/>
                      <w:kern w:val="0"/>
                      <w:sz w:val="18"/>
                      <w:szCs w:val="18"/>
                      <w:u w:val="single"/>
                      <w:lang w:val="en-US" w:eastAsia="zh-CN"/>
                    </w:rPr>
                    <w:t>S</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0.0192</w:t>
                  </w:r>
                </w:p>
              </w:tc>
              <w:tc>
                <w:tcPr>
                  <w:tcW w:w="93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1.6</w:t>
                  </w:r>
                </w:p>
              </w:tc>
              <w:tc>
                <w:tcPr>
                  <w:tcW w:w="91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0.008</w:t>
                  </w:r>
                </w:p>
              </w:tc>
              <w:tc>
                <w:tcPr>
                  <w:tcW w:w="66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r>
                    <w:rPr>
                      <w:rFonts w:hint="eastAsia" w:ascii="Times New Roman" w:hAnsi="Times New Roman" w:cs="Times New Roman"/>
                      <w:kern w:val="0"/>
                      <w:sz w:val="18"/>
                      <w:szCs w:val="18"/>
                      <w:u w:val="single"/>
                      <w:lang w:val="en-US" w:eastAsia="zh-CN"/>
                    </w:rPr>
                    <w:t xml:space="preserve"> </w:t>
                  </w:r>
                </w:p>
              </w:tc>
              <w:tc>
                <w:tcPr>
                  <w:tcW w:w="88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r>
                    <w:rPr>
                      <w:rFonts w:hint="eastAsia" w:ascii="Times New Roman" w:hAnsi="Times New Roman" w:cs="Times New Roman"/>
                      <w:kern w:val="0"/>
                      <w:sz w:val="18"/>
                      <w:szCs w:val="18"/>
                      <w:u w:val="single"/>
                      <w:lang w:val="en-US" w:eastAsia="zh-CN"/>
                    </w:rPr>
                    <w:t xml:space="preserve"> </w:t>
                  </w:r>
                </w:p>
              </w:tc>
              <w:tc>
                <w:tcPr>
                  <w:tcW w:w="92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cs="Times New Roman"/>
                      <w:kern w:val="0"/>
                      <w:sz w:val="18"/>
                      <w:szCs w:val="18"/>
                      <w:u w:val="single"/>
                      <w:lang w:val="en-US" w:eastAsia="zh-CN"/>
                    </w:rPr>
                    <w:t>0.0009</w:t>
                  </w:r>
                </w:p>
              </w:tc>
              <w:tc>
                <w:tcPr>
                  <w:tcW w:w="93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cs="Times New Roman"/>
                      <w:kern w:val="0"/>
                      <w:sz w:val="18"/>
                      <w:szCs w:val="18"/>
                      <w:u w:val="single"/>
                      <w:lang w:val="en-US" w:eastAsia="zh-CN"/>
                    </w:rPr>
                    <w:t>0.08</w:t>
                  </w:r>
                </w:p>
              </w:tc>
              <w:tc>
                <w:tcPr>
                  <w:tcW w:w="76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cs="Times New Roman"/>
                      <w:kern w:val="0"/>
                      <w:sz w:val="18"/>
                      <w:szCs w:val="18"/>
                      <w:u w:val="single"/>
                      <w:lang w:val="en-US" w:eastAsia="zh-CN"/>
                    </w:rPr>
                    <w:t>0.0004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6" w:hRule="atLeast"/>
                <w:jc w:val="center"/>
              </w:trPr>
              <w:tc>
                <w:tcPr>
                  <w:tcW w:w="640"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p>
              </w:tc>
              <w:tc>
                <w:tcPr>
                  <w:tcW w:w="600" w:type="dxa"/>
                  <w:vMerge w:val="continue"/>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p>
              </w:tc>
              <w:tc>
                <w:tcPr>
                  <w:tcW w:w="606"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NH</w:t>
                  </w:r>
                  <w:r>
                    <w:rPr>
                      <w:rFonts w:hint="eastAsia" w:ascii="Times New Roman" w:hAnsi="Times New Roman" w:cs="Times New Roman"/>
                      <w:kern w:val="0"/>
                      <w:sz w:val="18"/>
                      <w:szCs w:val="18"/>
                      <w:u w:val="single"/>
                      <w:vertAlign w:val="subscript"/>
                      <w:lang w:val="en-US" w:eastAsia="zh-CN"/>
                    </w:rPr>
                    <w:t>3</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0.614</w:t>
                  </w:r>
                </w:p>
              </w:tc>
              <w:tc>
                <w:tcPr>
                  <w:tcW w:w="93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51.2</w:t>
                  </w:r>
                </w:p>
              </w:tc>
              <w:tc>
                <w:tcPr>
                  <w:tcW w:w="91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0.256</w:t>
                  </w:r>
                </w:p>
              </w:tc>
              <w:tc>
                <w:tcPr>
                  <w:tcW w:w="660"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p>
              </w:tc>
              <w:tc>
                <w:tcPr>
                  <w:tcW w:w="88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r>
                    <w:rPr>
                      <w:rFonts w:hint="eastAsia" w:ascii="Times New Roman" w:hAnsi="Times New Roman" w:cs="Times New Roman"/>
                      <w:kern w:val="0"/>
                      <w:sz w:val="18"/>
                      <w:szCs w:val="18"/>
                      <w:u w:val="single"/>
                      <w:lang w:val="en-US" w:eastAsia="zh-CN"/>
                    </w:rPr>
                    <w:t xml:space="preserve"> </w:t>
                  </w:r>
                </w:p>
              </w:tc>
              <w:tc>
                <w:tcPr>
                  <w:tcW w:w="92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cs="Times New Roman"/>
                      <w:kern w:val="0"/>
                      <w:sz w:val="18"/>
                      <w:szCs w:val="18"/>
                      <w:u w:val="single"/>
                      <w:lang w:val="en-US" w:eastAsia="zh-CN"/>
                    </w:rPr>
                    <w:t>0.03</w:t>
                  </w:r>
                </w:p>
              </w:tc>
              <w:tc>
                <w:tcPr>
                  <w:tcW w:w="93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cs="Times New Roman"/>
                      <w:kern w:val="0"/>
                      <w:sz w:val="18"/>
                      <w:szCs w:val="18"/>
                      <w:u w:val="single"/>
                      <w:lang w:val="en-US" w:eastAsia="zh-CN"/>
                    </w:rPr>
                    <w:t>2</w:t>
                  </w:r>
                </w:p>
              </w:tc>
              <w:tc>
                <w:tcPr>
                  <w:tcW w:w="76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cs="Times New Roman"/>
                      <w:kern w:val="0"/>
                      <w:sz w:val="18"/>
                      <w:szCs w:val="18"/>
                      <w:u w:val="single"/>
                      <w:lang w:val="en-US" w:eastAsia="zh-CN"/>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无组织</w:t>
                  </w:r>
                </w:p>
              </w:tc>
              <w:tc>
                <w:tcPr>
                  <w:tcW w:w="60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p>
              </w:tc>
              <w:tc>
                <w:tcPr>
                  <w:tcW w:w="60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H</w:t>
                  </w:r>
                  <w:r>
                    <w:rPr>
                      <w:rFonts w:hint="eastAsia" w:ascii="Times New Roman" w:hAnsi="Times New Roman" w:cs="Times New Roman"/>
                      <w:kern w:val="0"/>
                      <w:sz w:val="18"/>
                      <w:szCs w:val="18"/>
                      <w:u w:val="single"/>
                      <w:vertAlign w:val="subscript"/>
                      <w:lang w:val="en-US" w:eastAsia="zh-CN"/>
                    </w:rPr>
                    <w:t>2</w:t>
                  </w:r>
                  <w:r>
                    <w:rPr>
                      <w:rFonts w:hint="eastAsia" w:ascii="Times New Roman" w:hAnsi="Times New Roman" w:cs="Times New Roman"/>
                      <w:kern w:val="0"/>
                      <w:sz w:val="18"/>
                      <w:szCs w:val="18"/>
                      <w:u w:val="single"/>
                      <w:lang w:val="en-US" w:eastAsia="zh-CN"/>
                    </w:rPr>
                    <w:t>S</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0.00192</w:t>
                  </w:r>
                </w:p>
              </w:tc>
              <w:tc>
                <w:tcPr>
                  <w:tcW w:w="93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p>
              </w:tc>
              <w:tc>
                <w:tcPr>
                  <w:tcW w:w="91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0.0008</w:t>
                  </w:r>
                </w:p>
              </w:tc>
              <w:tc>
                <w:tcPr>
                  <w:tcW w:w="660" w:type="dxa"/>
                  <w:vMerge w:val="restart"/>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p>
              </w:tc>
              <w:tc>
                <w:tcPr>
                  <w:tcW w:w="88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r>
                    <w:rPr>
                      <w:rFonts w:hint="eastAsia" w:ascii="Times New Roman" w:hAnsi="Times New Roman" w:cs="Times New Roman"/>
                      <w:kern w:val="0"/>
                      <w:sz w:val="18"/>
                      <w:szCs w:val="18"/>
                      <w:u w:val="single"/>
                      <w:lang w:val="en-US" w:eastAsia="zh-CN"/>
                    </w:rPr>
                    <w:t xml:space="preserve"> </w:t>
                  </w:r>
                </w:p>
              </w:tc>
              <w:tc>
                <w:tcPr>
                  <w:tcW w:w="92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0.00192</w:t>
                  </w:r>
                </w:p>
              </w:tc>
              <w:tc>
                <w:tcPr>
                  <w:tcW w:w="932"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p>
              </w:tc>
              <w:tc>
                <w:tcPr>
                  <w:tcW w:w="763"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40"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p>
              </w:tc>
              <w:tc>
                <w:tcPr>
                  <w:tcW w:w="600"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p>
              </w:tc>
              <w:tc>
                <w:tcPr>
                  <w:tcW w:w="606"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NH</w:t>
                  </w:r>
                  <w:r>
                    <w:rPr>
                      <w:rFonts w:hint="eastAsia" w:ascii="Times New Roman" w:hAnsi="Times New Roman" w:cs="Times New Roman"/>
                      <w:kern w:val="0"/>
                      <w:sz w:val="18"/>
                      <w:szCs w:val="18"/>
                      <w:u w:val="single"/>
                      <w:vertAlign w:val="subscript"/>
                      <w:lang w:val="en-US" w:eastAsia="zh-CN"/>
                    </w:rPr>
                    <w:t>3</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0.0614</w:t>
                  </w:r>
                </w:p>
              </w:tc>
              <w:tc>
                <w:tcPr>
                  <w:tcW w:w="93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r>
                    <w:rPr>
                      <w:rFonts w:hint="eastAsia" w:ascii="Times New Roman" w:hAnsi="Times New Roman" w:cs="Times New Roman"/>
                      <w:kern w:val="0"/>
                      <w:sz w:val="18"/>
                      <w:szCs w:val="18"/>
                      <w:u w:val="single"/>
                      <w:lang w:val="en-US" w:eastAsia="zh-CN"/>
                    </w:rPr>
                    <w:t xml:space="preserve"> </w:t>
                  </w:r>
                </w:p>
              </w:tc>
              <w:tc>
                <w:tcPr>
                  <w:tcW w:w="91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0.026</w:t>
                  </w:r>
                </w:p>
              </w:tc>
              <w:tc>
                <w:tcPr>
                  <w:tcW w:w="660"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p>
              </w:tc>
              <w:tc>
                <w:tcPr>
                  <w:tcW w:w="880"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r>
                    <w:rPr>
                      <w:rFonts w:hint="eastAsia" w:ascii="Times New Roman" w:hAnsi="Times New Roman" w:cs="Times New Roman"/>
                      <w:kern w:val="0"/>
                      <w:sz w:val="18"/>
                      <w:szCs w:val="18"/>
                      <w:u w:val="single"/>
                      <w:lang w:val="en-US" w:eastAsia="zh-CN"/>
                    </w:rPr>
                    <w:t xml:space="preserve"> </w:t>
                  </w:r>
                </w:p>
              </w:tc>
              <w:tc>
                <w:tcPr>
                  <w:tcW w:w="920"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0.0614</w:t>
                  </w:r>
                </w:p>
              </w:tc>
              <w:tc>
                <w:tcPr>
                  <w:tcW w:w="93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0"/>
                      <w:sz w:val="18"/>
                      <w:szCs w:val="18"/>
                      <w:u w:val="single"/>
                      <w:lang w:val="en-US" w:eastAsia="zh-CN"/>
                    </w:rPr>
                  </w:pPr>
                  <w:r>
                    <w:rPr>
                      <w:rFonts w:hint="default" w:ascii="Times New Roman" w:hAnsi="Times New Roman" w:cs="Times New Roman"/>
                      <w:kern w:val="0"/>
                      <w:sz w:val="18"/>
                      <w:szCs w:val="18"/>
                      <w:u w:val="single"/>
                      <w:lang w:val="en-US" w:eastAsia="zh-CN"/>
                    </w:rPr>
                    <w:t>/</w:t>
                  </w:r>
                </w:p>
              </w:tc>
              <w:tc>
                <w:tcPr>
                  <w:tcW w:w="763"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0"/>
                      <w:sz w:val="18"/>
                      <w:szCs w:val="18"/>
                      <w:u w:val="single"/>
                      <w:lang w:val="en-US" w:eastAsia="zh-CN"/>
                    </w:rPr>
                  </w:pPr>
                  <w:r>
                    <w:rPr>
                      <w:rFonts w:hint="eastAsia" w:ascii="Times New Roman" w:hAnsi="Times New Roman" w:cs="Times New Roman"/>
                      <w:kern w:val="0"/>
                      <w:sz w:val="18"/>
                      <w:szCs w:val="18"/>
                      <w:u w:val="single"/>
                      <w:lang w:val="en-US" w:eastAsia="zh-CN"/>
                    </w:rPr>
                    <w:t>0.026</w:t>
                  </w:r>
                </w:p>
              </w:tc>
            </w:tr>
          </w:tbl>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cs="Times New Roman"/>
                <w:color w:val="000000"/>
                <w:sz w:val="24"/>
                <w:lang w:val="en-US" w:eastAsia="zh-CN"/>
              </w:rPr>
              <w:t xml:space="preserve"> </w:t>
            </w:r>
            <w:r>
              <w:rPr>
                <w:rFonts w:hint="eastAsia" w:ascii="Times New Roman" w:hAnsi="Times New Roman" w:cs="Times New Roman"/>
                <w:color w:val="000000"/>
                <w:sz w:val="24"/>
                <w:lang w:val="en-US" w:eastAsia="zh-CN"/>
              </w:rPr>
              <w:t>（</w:t>
            </w:r>
            <w:r>
              <w:rPr>
                <w:rFonts w:hint="eastAsia" w:cs="Times New Roman"/>
                <w:color w:val="000000"/>
                <w:sz w:val="24"/>
                <w:lang w:val="en-US" w:eastAsia="zh-CN"/>
              </w:rPr>
              <w:t>6</w:t>
            </w:r>
            <w:r>
              <w:rPr>
                <w:rFonts w:hint="eastAsia" w:ascii="Times New Roman" w:hAnsi="Times New Roman" w:cs="Times New Roman"/>
                <w:color w:val="000000"/>
                <w:sz w:val="24"/>
                <w:lang w:val="en-US" w:eastAsia="zh-CN"/>
              </w:rPr>
              <w:t>）食堂油烟</w:t>
            </w:r>
          </w:p>
          <w:p>
            <w:p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本项目固定劳动定员45人，年工作300天，所有员工均在食堂内用餐。根据类比调查，人均食用油消耗量以3.5kg/100人.餐计算，则项目员工食用油消耗量约为1.58kg/d (473kg/a)，由于烹饪时温度较高，故有少量油分解、挥发，据类比估计，分解、挥发量按3.5%计算，则厨房油烟产生量为16.56kg/a。食堂每天运行5小时，油烟净化器风量按1500m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lang w:val="en-US" w:eastAsia="zh-CN"/>
              </w:rPr>
              <w:t>/h，处理效率按60%经处理后油烟排放浓度为1.63mg/m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lang w:val="en-US" w:eastAsia="zh-CN"/>
              </w:rPr>
              <w:t>。满足《饮食业油烟排放标准》（GB18483-2001）。</w:t>
            </w:r>
          </w:p>
          <w:p>
            <w:pPr>
              <w:pStyle w:val="38"/>
              <w:rPr>
                <w:rFonts w:hint="eastAsia" w:ascii="Times New Roman" w:hAnsi="Times New Roman" w:cs="Times New Roman" w:eastAsiaTheme="minorEastAsia"/>
                <w:b w:val="0"/>
                <w:bCs/>
                <w:kern w:val="2"/>
                <w:sz w:val="24"/>
                <w:szCs w:val="24"/>
                <w:lang w:val="en-US" w:eastAsia="zh-CN" w:bidi="ar-SA"/>
              </w:rPr>
            </w:pPr>
            <w:r>
              <w:rPr>
                <w:rFonts w:hint="eastAsia" w:ascii="Times New Roman" w:hAnsi="Times New Roman" w:cs="Times New Roman" w:eastAsiaTheme="minorEastAsia"/>
                <w:b w:val="0"/>
                <w:bCs/>
                <w:kern w:val="2"/>
                <w:sz w:val="24"/>
                <w:szCs w:val="24"/>
                <w:lang w:val="en-US" w:eastAsia="zh-CN" w:bidi="ar-SA"/>
              </w:rPr>
              <w:t>2、废水</w:t>
            </w:r>
          </w:p>
          <w:p>
            <w:pPr>
              <w:pStyle w:val="38"/>
              <w:rPr>
                <w:rFonts w:hint="default" w:ascii="Times New Roman" w:hAnsi="Times New Roman" w:cs="Times New Roman" w:eastAsiaTheme="minorEastAsia"/>
                <w:b w:val="0"/>
                <w:bCs/>
                <w:kern w:val="2"/>
                <w:sz w:val="24"/>
                <w:szCs w:val="24"/>
                <w:lang w:val="en-US" w:eastAsia="zh-CN" w:bidi="ar-SA"/>
              </w:rPr>
            </w:pPr>
            <w:r>
              <w:rPr>
                <w:rFonts w:hint="eastAsia" w:ascii="Times New Roman" w:hAnsi="Times New Roman" w:cs="Times New Roman" w:eastAsiaTheme="minorEastAsia"/>
                <w:b w:val="0"/>
                <w:bCs/>
                <w:kern w:val="2"/>
                <w:sz w:val="24"/>
                <w:szCs w:val="24"/>
                <w:lang w:val="en-US" w:eastAsia="zh-CN" w:bidi="ar-SA"/>
              </w:rPr>
              <w:t>本项</w:t>
            </w:r>
            <w:r>
              <w:rPr>
                <w:rFonts w:hint="eastAsia" w:ascii="Times New Roman" w:hAnsi="Times New Roman" w:cs="Times New Roman"/>
                <w:b w:val="0"/>
                <w:bCs/>
                <w:kern w:val="2"/>
                <w:sz w:val="24"/>
                <w:szCs w:val="24"/>
                <w:lang w:val="en-US" w:eastAsia="zh-CN" w:bidi="ar-SA"/>
              </w:rPr>
              <w:t>劳动定员</w:t>
            </w:r>
            <w:r>
              <w:rPr>
                <w:rFonts w:hint="eastAsia" w:ascii="Times New Roman" w:hAnsi="Times New Roman" w:cs="Times New Roman" w:eastAsiaTheme="minorEastAsia"/>
                <w:b w:val="0"/>
                <w:bCs/>
                <w:kern w:val="2"/>
                <w:sz w:val="24"/>
                <w:szCs w:val="24"/>
                <w:lang w:val="en-US" w:eastAsia="zh-CN" w:bidi="ar-SA"/>
              </w:rPr>
              <w:t>为</w:t>
            </w:r>
            <w:r>
              <w:rPr>
                <w:rFonts w:hint="eastAsia" w:ascii="Times New Roman" w:hAnsi="Times New Roman" w:cs="Times New Roman"/>
                <w:b w:val="0"/>
                <w:bCs/>
                <w:kern w:val="2"/>
                <w:sz w:val="24"/>
                <w:szCs w:val="24"/>
                <w:lang w:val="en-US" w:eastAsia="zh-CN" w:bidi="ar-SA"/>
              </w:rPr>
              <w:t>45</w:t>
            </w:r>
            <w:r>
              <w:rPr>
                <w:rFonts w:hint="eastAsia" w:ascii="Times New Roman" w:hAnsi="Times New Roman" w:cs="Times New Roman" w:eastAsiaTheme="minorEastAsia"/>
                <w:b w:val="0"/>
                <w:bCs/>
                <w:kern w:val="2"/>
                <w:sz w:val="24"/>
                <w:szCs w:val="24"/>
                <w:lang w:val="en-US" w:eastAsia="zh-CN" w:bidi="ar-SA"/>
              </w:rPr>
              <w:t>人，年生产天数为</w:t>
            </w:r>
            <w:r>
              <w:rPr>
                <w:rFonts w:hint="eastAsia" w:ascii="Times New Roman" w:hAnsi="Times New Roman" w:cs="Times New Roman"/>
                <w:b w:val="0"/>
                <w:bCs/>
                <w:kern w:val="2"/>
                <w:sz w:val="24"/>
                <w:szCs w:val="24"/>
                <w:lang w:val="en-US" w:eastAsia="zh-CN" w:bidi="ar-SA"/>
              </w:rPr>
              <w:t>300</w:t>
            </w:r>
            <w:r>
              <w:rPr>
                <w:rFonts w:hint="eastAsia" w:ascii="Times New Roman" w:hAnsi="Times New Roman" w:cs="Times New Roman" w:eastAsiaTheme="minorEastAsia"/>
                <w:b w:val="0"/>
                <w:bCs/>
                <w:kern w:val="2"/>
                <w:sz w:val="24"/>
                <w:szCs w:val="24"/>
                <w:lang w:val="en-US" w:eastAsia="zh-CN" w:bidi="ar-SA"/>
              </w:rPr>
              <w:t>天，</w:t>
            </w:r>
            <w:r>
              <w:rPr>
                <w:rFonts w:hint="eastAsia" w:ascii="Times New Roman" w:hAnsi="Times New Roman" w:cs="Times New Roman"/>
                <w:b w:val="0"/>
                <w:bCs/>
                <w:kern w:val="2"/>
                <w:sz w:val="24"/>
                <w:szCs w:val="24"/>
                <w:lang w:val="en-US" w:eastAsia="zh-CN" w:bidi="ar-SA"/>
              </w:rPr>
              <w:t>厂区内设食堂，不提供住宿</w:t>
            </w:r>
            <w:r>
              <w:rPr>
                <w:rFonts w:hint="eastAsia" w:ascii="Times New Roman" w:hAnsi="Times New Roman" w:cs="Times New Roman" w:eastAsiaTheme="minorEastAsia"/>
                <w:b w:val="0"/>
                <w:bCs/>
                <w:kern w:val="2"/>
                <w:sz w:val="24"/>
                <w:szCs w:val="24"/>
                <w:lang w:val="en-US" w:eastAsia="zh-CN" w:bidi="ar-SA"/>
              </w:rPr>
              <w:t>。职工生活用水量以平均每人</w:t>
            </w:r>
            <w:r>
              <w:rPr>
                <w:rFonts w:hint="eastAsia" w:ascii="Times New Roman" w:hAnsi="Times New Roman" w:cs="Times New Roman"/>
                <w:b w:val="0"/>
                <w:bCs/>
                <w:kern w:val="2"/>
                <w:sz w:val="24"/>
                <w:szCs w:val="24"/>
                <w:lang w:val="en-US" w:eastAsia="zh-CN" w:bidi="ar-SA"/>
              </w:rPr>
              <w:t>60</w:t>
            </w:r>
            <w:r>
              <w:rPr>
                <w:rFonts w:hint="default" w:ascii="Times New Roman" w:hAnsi="Times New Roman" w:cs="Times New Roman" w:eastAsiaTheme="minorEastAsia"/>
                <w:b w:val="0"/>
                <w:bCs/>
                <w:kern w:val="2"/>
                <w:sz w:val="24"/>
                <w:szCs w:val="24"/>
                <w:lang w:val="en-US" w:eastAsia="zh-CN" w:bidi="ar-SA"/>
              </w:rPr>
              <w:t>L/d</w:t>
            </w:r>
            <w:r>
              <w:rPr>
                <w:rFonts w:hint="eastAsia" w:ascii="Times New Roman" w:hAnsi="Times New Roman" w:cs="Times New Roman" w:eastAsiaTheme="minorEastAsia"/>
                <w:b w:val="0"/>
                <w:bCs/>
                <w:kern w:val="2"/>
                <w:sz w:val="24"/>
                <w:szCs w:val="24"/>
                <w:lang w:val="en-US" w:eastAsia="zh-CN" w:bidi="ar-SA"/>
              </w:rPr>
              <w:t>计，则生活用水量为</w:t>
            </w:r>
            <w:r>
              <w:rPr>
                <w:rFonts w:hint="eastAsia" w:ascii="Times New Roman" w:hAnsi="Times New Roman" w:cs="Times New Roman"/>
                <w:b w:val="0"/>
                <w:bCs/>
                <w:kern w:val="2"/>
                <w:sz w:val="24"/>
                <w:szCs w:val="24"/>
                <w:lang w:val="en-US" w:eastAsia="zh-CN" w:bidi="ar-SA"/>
              </w:rPr>
              <w:t>2.7</w:t>
            </w:r>
            <w:r>
              <w:rPr>
                <w:rFonts w:hint="default" w:ascii="Times New Roman" w:hAnsi="Times New Roman" w:cs="Times New Roman" w:eastAsiaTheme="minorEastAsia"/>
                <w:b w:val="0"/>
                <w:bCs/>
                <w:kern w:val="2"/>
                <w:sz w:val="24"/>
                <w:szCs w:val="24"/>
                <w:lang w:val="en-US" w:eastAsia="zh-CN" w:bidi="ar-SA"/>
              </w:rPr>
              <w:t>m</w:t>
            </w:r>
            <w:r>
              <w:rPr>
                <w:rFonts w:hint="default" w:ascii="Times New Roman" w:hAnsi="Times New Roman" w:cs="Times New Roman" w:eastAsiaTheme="minorEastAsia"/>
                <w:b w:val="0"/>
                <w:bCs/>
                <w:kern w:val="2"/>
                <w:sz w:val="24"/>
                <w:szCs w:val="24"/>
                <w:vertAlign w:val="superscript"/>
                <w:lang w:val="en-US" w:eastAsia="zh-CN" w:bidi="ar-SA"/>
              </w:rPr>
              <w:t>3</w:t>
            </w:r>
            <w:r>
              <w:rPr>
                <w:rFonts w:hint="default" w:ascii="Times New Roman" w:hAnsi="Times New Roman" w:cs="Times New Roman" w:eastAsiaTheme="minorEastAsia"/>
                <w:b w:val="0"/>
                <w:bCs/>
                <w:kern w:val="2"/>
                <w:sz w:val="24"/>
                <w:szCs w:val="24"/>
                <w:lang w:val="en-US" w:eastAsia="zh-CN" w:bidi="ar-SA"/>
              </w:rPr>
              <w:t>/d(</w:t>
            </w:r>
            <w:r>
              <w:rPr>
                <w:rFonts w:hint="eastAsia" w:ascii="Times New Roman" w:hAnsi="Times New Roman" w:cs="Times New Roman"/>
                <w:b w:val="0"/>
                <w:bCs/>
                <w:kern w:val="2"/>
                <w:sz w:val="24"/>
                <w:szCs w:val="24"/>
                <w:lang w:val="en-US" w:eastAsia="zh-CN" w:bidi="ar-SA"/>
              </w:rPr>
              <w:t>810</w:t>
            </w:r>
            <w:r>
              <w:rPr>
                <w:rFonts w:hint="default" w:ascii="Times New Roman" w:hAnsi="Times New Roman" w:cs="Times New Roman" w:eastAsiaTheme="minorEastAsia"/>
                <w:b w:val="0"/>
                <w:bCs/>
                <w:kern w:val="2"/>
                <w:sz w:val="24"/>
                <w:szCs w:val="24"/>
                <w:lang w:val="en-US" w:eastAsia="zh-CN" w:bidi="ar-SA"/>
              </w:rPr>
              <w:t>m</w:t>
            </w:r>
            <w:r>
              <w:rPr>
                <w:rFonts w:hint="default" w:ascii="Times New Roman" w:hAnsi="Times New Roman" w:cs="Times New Roman" w:eastAsiaTheme="minorEastAsia"/>
                <w:b w:val="0"/>
                <w:bCs/>
                <w:kern w:val="2"/>
                <w:sz w:val="24"/>
                <w:szCs w:val="24"/>
                <w:vertAlign w:val="superscript"/>
                <w:lang w:val="en-US" w:eastAsia="zh-CN" w:bidi="ar-SA"/>
              </w:rPr>
              <w:t>3</w:t>
            </w:r>
            <w:r>
              <w:rPr>
                <w:rFonts w:hint="default" w:ascii="Times New Roman" w:hAnsi="Times New Roman" w:cs="Times New Roman" w:eastAsiaTheme="minorEastAsia"/>
                <w:b w:val="0"/>
                <w:bCs/>
                <w:kern w:val="2"/>
                <w:sz w:val="24"/>
                <w:szCs w:val="24"/>
                <w:lang w:val="en-US" w:eastAsia="zh-CN" w:bidi="ar-SA"/>
              </w:rPr>
              <w:t>/a)</w:t>
            </w:r>
            <w:r>
              <w:rPr>
                <w:rFonts w:hint="eastAsia" w:ascii="Times New Roman" w:hAnsi="Times New Roman" w:cs="Times New Roman" w:eastAsiaTheme="minorEastAsia"/>
                <w:b w:val="0"/>
                <w:bCs/>
                <w:kern w:val="2"/>
                <w:sz w:val="24"/>
                <w:szCs w:val="24"/>
                <w:lang w:val="en-US" w:eastAsia="zh-CN" w:bidi="ar-SA"/>
              </w:rPr>
              <w:t>，排污系数以</w:t>
            </w:r>
            <w:r>
              <w:rPr>
                <w:rFonts w:hint="default" w:ascii="Times New Roman" w:hAnsi="Times New Roman" w:cs="Times New Roman" w:eastAsiaTheme="minorEastAsia"/>
                <w:b w:val="0"/>
                <w:bCs/>
                <w:kern w:val="2"/>
                <w:sz w:val="24"/>
                <w:szCs w:val="24"/>
                <w:lang w:val="en-US" w:eastAsia="zh-CN" w:bidi="ar-SA"/>
              </w:rPr>
              <w:t>0.8</w:t>
            </w:r>
            <w:r>
              <w:rPr>
                <w:rFonts w:hint="eastAsia" w:ascii="Times New Roman" w:hAnsi="Times New Roman" w:cs="Times New Roman" w:eastAsiaTheme="minorEastAsia"/>
                <w:b w:val="0"/>
                <w:bCs/>
                <w:kern w:val="2"/>
                <w:sz w:val="24"/>
                <w:szCs w:val="24"/>
                <w:lang w:val="en-US" w:eastAsia="zh-CN" w:bidi="ar-SA"/>
              </w:rPr>
              <w:t>计，则本项目生活污水产生量为</w:t>
            </w:r>
            <w:r>
              <w:rPr>
                <w:rFonts w:hint="eastAsia" w:ascii="Times New Roman" w:hAnsi="Times New Roman" w:cs="Times New Roman"/>
                <w:b w:val="0"/>
                <w:bCs/>
                <w:kern w:val="2"/>
                <w:sz w:val="24"/>
                <w:szCs w:val="24"/>
                <w:lang w:val="en-US" w:eastAsia="zh-CN" w:bidi="ar-SA"/>
              </w:rPr>
              <w:t>2.16</w:t>
            </w:r>
            <w:r>
              <w:rPr>
                <w:rFonts w:hint="default" w:ascii="Times New Roman" w:hAnsi="Times New Roman" w:cs="Times New Roman" w:eastAsiaTheme="minorEastAsia"/>
                <w:b w:val="0"/>
                <w:bCs/>
                <w:kern w:val="2"/>
                <w:sz w:val="24"/>
                <w:szCs w:val="24"/>
                <w:lang w:val="en-US" w:eastAsia="zh-CN" w:bidi="ar-SA"/>
              </w:rPr>
              <w:t>m</w:t>
            </w:r>
            <w:r>
              <w:rPr>
                <w:rFonts w:hint="default" w:ascii="Times New Roman" w:hAnsi="Times New Roman" w:cs="Times New Roman" w:eastAsiaTheme="minorEastAsia"/>
                <w:b w:val="0"/>
                <w:bCs/>
                <w:kern w:val="2"/>
                <w:sz w:val="24"/>
                <w:szCs w:val="24"/>
                <w:vertAlign w:val="superscript"/>
                <w:lang w:val="en-US" w:eastAsia="zh-CN" w:bidi="ar-SA"/>
              </w:rPr>
              <w:t>3</w:t>
            </w:r>
            <w:r>
              <w:rPr>
                <w:rFonts w:hint="default" w:ascii="Times New Roman" w:hAnsi="Times New Roman" w:cs="Times New Roman" w:eastAsiaTheme="minorEastAsia"/>
                <w:b w:val="0"/>
                <w:bCs/>
                <w:kern w:val="2"/>
                <w:sz w:val="24"/>
                <w:szCs w:val="24"/>
                <w:lang w:val="en-US" w:eastAsia="zh-CN" w:bidi="ar-SA"/>
              </w:rPr>
              <w:t>/d(</w:t>
            </w:r>
            <w:r>
              <w:rPr>
                <w:rFonts w:hint="eastAsia" w:ascii="Times New Roman" w:hAnsi="Times New Roman" w:cs="Times New Roman"/>
                <w:b w:val="0"/>
                <w:bCs/>
                <w:kern w:val="2"/>
                <w:sz w:val="24"/>
                <w:szCs w:val="24"/>
                <w:lang w:val="en-US" w:eastAsia="zh-CN" w:bidi="ar-SA"/>
              </w:rPr>
              <w:t>648</w:t>
            </w:r>
            <w:r>
              <w:rPr>
                <w:rFonts w:hint="default" w:ascii="Times New Roman" w:hAnsi="Times New Roman" w:cs="Times New Roman" w:eastAsiaTheme="minorEastAsia"/>
                <w:b w:val="0"/>
                <w:bCs/>
                <w:kern w:val="2"/>
                <w:sz w:val="24"/>
                <w:szCs w:val="24"/>
                <w:lang w:val="en-US" w:eastAsia="zh-CN" w:bidi="ar-SA"/>
              </w:rPr>
              <w:t>m</w:t>
            </w:r>
            <w:r>
              <w:rPr>
                <w:rFonts w:hint="default" w:ascii="Times New Roman" w:hAnsi="Times New Roman" w:cs="Times New Roman" w:eastAsiaTheme="minorEastAsia"/>
                <w:b w:val="0"/>
                <w:bCs/>
                <w:kern w:val="2"/>
                <w:sz w:val="24"/>
                <w:szCs w:val="24"/>
                <w:vertAlign w:val="superscript"/>
                <w:lang w:val="en-US" w:eastAsia="zh-CN" w:bidi="ar-SA"/>
              </w:rPr>
              <w:t>3</w:t>
            </w:r>
            <w:r>
              <w:rPr>
                <w:rFonts w:hint="default" w:ascii="Times New Roman" w:hAnsi="Times New Roman" w:cs="Times New Roman" w:eastAsiaTheme="minorEastAsia"/>
                <w:b w:val="0"/>
                <w:bCs/>
                <w:kern w:val="2"/>
                <w:sz w:val="24"/>
                <w:szCs w:val="24"/>
                <w:lang w:val="en-US" w:eastAsia="zh-CN" w:bidi="ar-SA"/>
              </w:rPr>
              <w:t>/a)</w:t>
            </w:r>
            <w:r>
              <w:rPr>
                <w:rFonts w:hint="eastAsia" w:ascii="Times New Roman" w:hAnsi="Times New Roman" w:cs="Times New Roman" w:eastAsiaTheme="minorEastAsia"/>
                <w:b w:val="0"/>
                <w:bCs/>
                <w:kern w:val="2"/>
                <w:sz w:val="24"/>
                <w:szCs w:val="24"/>
                <w:lang w:val="en-US" w:eastAsia="zh-CN" w:bidi="ar-SA"/>
              </w:rPr>
              <w:t>。</w:t>
            </w:r>
            <w:r>
              <w:rPr>
                <w:rFonts w:hint="eastAsia" w:ascii="Times New Roman" w:hAnsi="Times New Roman" w:cs="Times New Roman"/>
                <w:b w:val="0"/>
                <w:bCs/>
                <w:kern w:val="2"/>
                <w:sz w:val="24"/>
                <w:szCs w:val="24"/>
                <w:lang w:val="en-US" w:eastAsia="zh-CN" w:bidi="ar-SA"/>
              </w:rPr>
              <w:t>类比常德市一般生活废水水质，</w:t>
            </w:r>
            <w:r>
              <w:rPr>
                <w:rFonts w:hint="eastAsia" w:ascii="Times New Roman" w:hAnsi="Times New Roman" w:cs="Times New Roman" w:eastAsiaTheme="minorEastAsia"/>
                <w:b w:val="0"/>
                <w:bCs/>
                <w:kern w:val="2"/>
                <w:sz w:val="24"/>
                <w:szCs w:val="24"/>
                <w:lang w:val="en-US" w:eastAsia="zh-CN" w:bidi="ar-SA"/>
              </w:rPr>
              <w:t>生活污水</w:t>
            </w:r>
            <w:r>
              <w:rPr>
                <w:rFonts w:hint="eastAsia" w:ascii="Times New Roman" w:hAnsi="Times New Roman" w:cs="Times New Roman"/>
                <w:b w:val="0"/>
                <w:bCs/>
                <w:kern w:val="2"/>
                <w:sz w:val="24"/>
                <w:szCs w:val="24"/>
                <w:lang w:val="en-US" w:eastAsia="zh-CN" w:bidi="ar-SA"/>
              </w:rPr>
              <w:t>各污染物浓度</w:t>
            </w:r>
            <w:r>
              <w:rPr>
                <w:rFonts w:hint="eastAsia" w:ascii="Times New Roman" w:hAnsi="Times New Roman" w:cs="Times New Roman" w:eastAsiaTheme="minorEastAsia"/>
                <w:b w:val="0"/>
                <w:bCs/>
                <w:kern w:val="2"/>
                <w:sz w:val="24"/>
                <w:szCs w:val="24"/>
                <w:lang w:val="en-US" w:eastAsia="zh-CN" w:bidi="ar-SA"/>
              </w:rPr>
              <w:t>为</w:t>
            </w:r>
            <w:r>
              <w:rPr>
                <w:rFonts w:hint="default" w:ascii="Times New Roman" w:hAnsi="Times New Roman" w:cs="Times New Roman" w:eastAsiaTheme="minorEastAsia"/>
                <w:b w:val="0"/>
                <w:bCs/>
                <w:kern w:val="2"/>
                <w:sz w:val="24"/>
                <w:szCs w:val="24"/>
                <w:lang w:val="en-US" w:eastAsia="zh-CN" w:bidi="ar-SA"/>
              </w:rPr>
              <w:t>COD300mg/L</w:t>
            </w:r>
            <w:r>
              <w:rPr>
                <w:rFonts w:hint="eastAsia" w:ascii="Times New Roman" w:hAnsi="Times New Roman" w:cs="Times New Roman" w:eastAsiaTheme="minorEastAsia"/>
                <w:b w:val="0"/>
                <w:bCs/>
                <w:kern w:val="2"/>
                <w:sz w:val="24"/>
                <w:szCs w:val="24"/>
                <w:lang w:val="en-US" w:eastAsia="zh-CN" w:bidi="ar-SA"/>
              </w:rPr>
              <w:t>、</w:t>
            </w:r>
            <w:r>
              <w:rPr>
                <w:rFonts w:hint="default" w:ascii="Times New Roman" w:hAnsi="Times New Roman" w:cs="Times New Roman" w:eastAsiaTheme="minorEastAsia"/>
                <w:b w:val="0"/>
                <w:bCs/>
                <w:kern w:val="2"/>
                <w:sz w:val="24"/>
                <w:szCs w:val="24"/>
                <w:lang w:val="en-US" w:eastAsia="zh-CN" w:bidi="ar-SA"/>
              </w:rPr>
              <w:t>BOD</w:t>
            </w:r>
            <w:r>
              <w:rPr>
                <w:rFonts w:hint="default" w:ascii="Times New Roman" w:hAnsi="Times New Roman" w:cs="Times New Roman" w:eastAsiaTheme="minorEastAsia"/>
                <w:b w:val="0"/>
                <w:bCs/>
                <w:kern w:val="2"/>
                <w:sz w:val="24"/>
                <w:szCs w:val="24"/>
                <w:vertAlign w:val="subscript"/>
                <w:lang w:val="en-US" w:eastAsia="zh-CN" w:bidi="ar-SA"/>
              </w:rPr>
              <w:t>5</w:t>
            </w:r>
            <w:r>
              <w:rPr>
                <w:rFonts w:hint="default" w:ascii="Times New Roman" w:hAnsi="Times New Roman" w:cs="Times New Roman" w:eastAsiaTheme="minorEastAsia"/>
                <w:b w:val="0"/>
                <w:bCs/>
                <w:kern w:val="2"/>
                <w:sz w:val="24"/>
                <w:szCs w:val="24"/>
                <w:lang w:val="en-US" w:eastAsia="zh-CN" w:bidi="ar-SA"/>
              </w:rPr>
              <w:t>180mg/L</w:t>
            </w:r>
            <w:r>
              <w:rPr>
                <w:rFonts w:hint="eastAsia" w:ascii="Times New Roman" w:hAnsi="Times New Roman" w:cs="Times New Roman"/>
                <w:b w:val="0"/>
                <w:bCs/>
                <w:kern w:val="2"/>
                <w:sz w:val="24"/>
                <w:szCs w:val="24"/>
                <w:lang w:val="en-US" w:eastAsia="zh-CN" w:bidi="ar-SA"/>
              </w:rPr>
              <w:t>、</w:t>
            </w:r>
            <w:r>
              <w:rPr>
                <w:rFonts w:hint="default" w:ascii="Times New Roman" w:hAnsi="Times New Roman" w:cs="Times New Roman" w:eastAsiaTheme="minorEastAsia"/>
                <w:b w:val="0"/>
                <w:bCs/>
                <w:kern w:val="2"/>
                <w:sz w:val="24"/>
                <w:szCs w:val="24"/>
                <w:lang w:val="en-US" w:eastAsia="zh-CN" w:bidi="ar-SA"/>
              </w:rPr>
              <w:t>SS200mg/L</w:t>
            </w:r>
            <w:r>
              <w:rPr>
                <w:rFonts w:hint="eastAsia" w:ascii="Times New Roman" w:hAnsi="Times New Roman" w:cs="Times New Roman" w:eastAsiaTheme="minorEastAsia"/>
                <w:b w:val="0"/>
                <w:bCs/>
                <w:kern w:val="2"/>
                <w:sz w:val="24"/>
                <w:szCs w:val="24"/>
                <w:lang w:val="en-US" w:eastAsia="zh-CN" w:bidi="ar-SA"/>
              </w:rPr>
              <w:t>、</w:t>
            </w:r>
            <w:r>
              <w:rPr>
                <w:rFonts w:hint="default" w:ascii="Times New Roman" w:hAnsi="Times New Roman" w:cs="Times New Roman" w:eastAsiaTheme="minorEastAsia"/>
                <w:b w:val="0"/>
                <w:bCs/>
                <w:kern w:val="2"/>
                <w:sz w:val="24"/>
                <w:szCs w:val="24"/>
                <w:lang w:val="en-US" w:eastAsia="zh-CN" w:bidi="ar-SA"/>
              </w:rPr>
              <w:t>NH</w:t>
            </w:r>
            <w:r>
              <w:rPr>
                <w:rFonts w:hint="default" w:ascii="Times New Roman" w:hAnsi="Times New Roman" w:cs="Times New Roman" w:eastAsiaTheme="minorEastAsia"/>
                <w:b w:val="0"/>
                <w:bCs/>
                <w:kern w:val="2"/>
                <w:sz w:val="24"/>
                <w:szCs w:val="24"/>
                <w:vertAlign w:val="subscript"/>
                <w:lang w:val="en-US" w:eastAsia="zh-CN" w:bidi="ar-SA"/>
              </w:rPr>
              <w:t>3</w:t>
            </w:r>
            <w:r>
              <w:rPr>
                <w:rFonts w:hint="default" w:ascii="Times New Roman" w:hAnsi="Times New Roman" w:cs="Times New Roman" w:eastAsiaTheme="minorEastAsia"/>
                <w:b w:val="0"/>
                <w:bCs/>
                <w:kern w:val="2"/>
                <w:sz w:val="24"/>
                <w:szCs w:val="24"/>
                <w:lang w:val="en-US" w:eastAsia="zh-CN" w:bidi="ar-SA"/>
              </w:rPr>
              <w:t>-N</w:t>
            </w:r>
            <w:r>
              <w:rPr>
                <w:rFonts w:hint="eastAsia" w:ascii="Times New Roman" w:hAnsi="Times New Roman" w:cs="Times New Roman"/>
                <w:b w:val="0"/>
                <w:bCs/>
                <w:kern w:val="2"/>
                <w:sz w:val="24"/>
                <w:szCs w:val="24"/>
                <w:lang w:val="en-US" w:eastAsia="zh-CN" w:bidi="ar-SA"/>
              </w:rPr>
              <w:t>25</w:t>
            </w:r>
            <w:r>
              <w:rPr>
                <w:rFonts w:hint="default" w:ascii="Times New Roman" w:hAnsi="Times New Roman" w:cs="Times New Roman" w:eastAsiaTheme="minorEastAsia"/>
                <w:b w:val="0"/>
                <w:bCs/>
                <w:kern w:val="2"/>
                <w:sz w:val="24"/>
                <w:szCs w:val="24"/>
                <w:lang w:val="en-US" w:eastAsia="zh-CN" w:bidi="ar-SA"/>
              </w:rPr>
              <w:t>mg/L</w:t>
            </w:r>
            <w:r>
              <w:rPr>
                <w:rFonts w:hint="eastAsia" w:ascii="Times New Roman" w:hAnsi="Times New Roman" w:cs="Times New Roman"/>
                <w:b w:val="0"/>
                <w:bCs/>
                <w:kern w:val="2"/>
                <w:sz w:val="24"/>
                <w:szCs w:val="24"/>
                <w:lang w:val="en-US" w:eastAsia="zh-CN" w:bidi="ar-SA"/>
              </w:rPr>
              <w:t>，动植物油150mg/L，各污染物产生量为</w:t>
            </w:r>
            <w:r>
              <w:rPr>
                <w:rFonts w:hint="default" w:ascii="Times New Roman" w:hAnsi="Times New Roman" w:cs="Times New Roman" w:eastAsiaTheme="minorEastAsia"/>
                <w:b w:val="0"/>
                <w:bCs/>
                <w:kern w:val="2"/>
                <w:sz w:val="24"/>
                <w:szCs w:val="24"/>
                <w:lang w:val="en-US" w:eastAsia="zh-CN" w:bidi="ar-SA"/>
              </w:rPr>
              <w:t>COD</w:t>
            </w:r>
            <w:r>
              <w:rPr>
                <w:rFonts w:hint="eastAsia" w:ascii="Times New Roman" w:hAnsi="Times New Roman" w:cs="Times New Roman"/>
                <w:b w:val="0"/>
                <w:bCs/>
                <w:kern w:val="2"/>
                <w:sz w:val="24"/>
                <w:szCs w:val="24"/>
                <w:lang w:val="en-US" w:eastAsia="zh-CN" w:bidi="ar-SA"/>
              </w:rPr>
              <w:t>0.24t/a</w:t>
            </w:r>
            <w:r>
              <w:rPr>
                <w:rFonts w:hint="eastAsia" w:ascii="Times New Roman" w:hAnsi="Times New Roman" w:cs="Times New Roman" w:eastAsiaTheme="minorEastAsia"/>
                <w:b w:val="0"/>
                <w:bCs/>
                <w:kern w:val="2"/>
                <w:sz w:val="24"/>
                <w:szCs w:val="24"/>
                <w:lang w:val="en-US" w:eastAsia="zh-CN" w:bidi="ar-SA"/>
              </w:rPr>
              <w:t>，</w:t>
            </w:r>
            <w:r>
              <w:rPr>
                <w:rFonts w:hint="default" w:ascii="Times New Roman" w:hAnsi="Times New Roman" w:cs="Times New Roman" w:eastAsiaTheme="minorEastAsia"/>
                <w:b w:val="0"/>
                <w:bCs/>
                <w:kern w:val="2"/>
                <w:sz w:val="24"/>
                <w:szCs w:val="24"/>
                <w:lang w:val="en-US" w:eastAsia="zh-CN" w:bidi="ar-SA"/>
              </w:rPr>
              <w:t>BOD</w:t>
            </w:r>
            <w:r>
              <w:rPr>
                <w:rFonts w:hint="default" w:ascii="Times New Roman" w:hAnsi="Times New Roman" w:cs="Times New Roman" w:eastAsiaTheme="minorEastAsia"/>
                <w:b w:val="0"/>
                <w:bCs/>
                <w:kern w:val="2"/>
                <w:sz w:val="24"/>
                <w:szCs w:val="24"/>
                <w:vertAlign w:val="subscript"/>
                <w:lang w:val="en-US" w:eastAsia="zh-CN" w:bidi="ar-SA"/>
              </w:rPr>
              <w:t>5</w:t>
            </w:r>
            <w:r>
              <w:rPr>
                <w:rFonts w:hint="eastAsia" w:ascii="Times New Roman" w:hAnsi="Times New Roman" w:cs="Times New Roman"/>
                <w:b w:val="0"/>
                <w:bCs/>
                <w:kern w:val="2"/>
                <w:sz w:val="24"/>
                <w:szCs w:val="24"/>
                <w:lang w:val="en-US" w:eastAsia="zh-CN" w:bidi="ar-SA"/>
              </w:rPr>
              <w:t>0.15t/a</w:t>
            </w:r>
            <w:r>
              <w:rPr>
                <w:rFonts w:hint="eastAsia" w:ascii="Times New Roman" w:hAnsi="Times New Roman" w:cs="Times New Roman" w:eastAsiaTheme="minorEastAsia"/>
                <w:b w:val="0"/>
                <w:bCs/>
                <w:kern w:val="2"/>
                <w:sz w:val="24"/>
                <w:szCs w:val="24"/>
                <w:lang w:val="en-US" w:eastAsia="zh-CN" w:bidi="ar-SA"/>
              </w:rPr>
              <w:t>，</w:t>
            </w:r>
            <w:r>
              <w:rPr>
                <w:rFonts w:hint="default" w:ascii="Times New Roman" w:hAnsi="Times New Roman" w:cs="Times New Roman" w:eastAsiaTheme="minorEastAsia"/>
                <w:b w:val="0"/>
                <w:bCs/>
                <w:kern w:val="2"/>
                <w:sz w:val="24"/>
                <w:szCs w:val="24"/>
                <w:lang w:val="en-US" w:eastAsia="zh-CN" w:bidi="ar-SA"/>
              </w:rPr>
              <w:t>SS</w:t>
            </w:r>
            <w:r>
              <w:rPr>
                <w:rFonts w:hint="eastAsia" w:ascii="Times New Roman" w:hAnsi="Times New Roman" w:cs="Times New Roman"/>
                <w:b w:val="0"/>
                <w:bCs/>
                <w:kern w:val="2"/>
                <w:sz w:val="24"/>
                <w:szCs w:val="24"/>
                <w:lang w:val="en-US" w:eastAsia="zh-CN" w:bidi="ar-SA"/>
              </w:rPr>
              <w:t>0.16t/a</w:t>
            </w:r>
            <w:r>
              <w:rPr>
                <w:rFonts w:hint="eastAsia" w:ascii="Times New Roman" w:hAnsi="Times New Roman" w:cs="Times New Roman" w:eastAsiaTheme="minorEastAsia"/>
                <w:b w:val="0"/>
                <w:bCs/>
                <w:kern w:val="2"/>
                <w:sz w:val="24"/>
                <w:szCs w:val="24"/>
                <w:lang w:val="en-US" w:eastAsia="zh-CN" w:bidi="ar-SA"/>
              </w:rPr>
              <w:t>，</w:t>
            </w:r>
            <w:r>
              <w:rPr>
                <w:rFonts w:hint="default" w:ascii="Times New Roman" w:hAnsi="Times New Roman" w:cs="Times New Roman" w:eastAsiaTheme="minorEastAsia"/>
                <w:b w:val="0"/>
                <w:bCs/>
                <w:kern w:val="2"/>
                <w:sz w:val="24"/>
                <w:szCs w:val="24"/>
                <w:lang w:val="en-US" w:eastAsia="zh-CN" w:bidi="ar-SA"/>
              </w:rPr>
              <w:t>NH</w:t>
            </w:r>
            <w:r>
              <w:rPr>
                <w:rFonts w:hint="default" w:ascii="Times New Roman" w:hAnsi="Times New Roman" w:cs="Times New Roman" w:eastAsiaTheme="minorEastAsia"/>
                <w:b w:val="0"/>
                <w:bCs/>
                <w:kern w:val="2"/>
                <w:sz w:val="24"/>
                <w:szCs w:val="24"/>
                <w:vertAlign w:val="subscript"/>
                <w:lang w:val="en-US" w:eastAsia="zh-CN" w:bidi="ar-SA"/>
              </w:rPr>
              <w:t>3</w:t>
            </w:r>
            <w:r>
              <w:rPr>
                <w:rFonts w:hint="default" w:ascii="Times New Roman" w:hAnsi="Times New Roman" w:cs="Times New Roman" w:eastAsiaTheme="minorEastAsia"/>
                <w:b w:val="0"/>
                <w:bCs/>
                <w:kern w:val="2"/>
                <w:sz w:val="24"/>
                <w:szCs w:val="24"/>
                <w:lang w:val="en-US" w:eastAsia="zh-CN" w:bidi="ar-SA"/>
              </w:rPr>
              <w:t>-N</w:t>
            </w:r>
            <w:r>
              <w:rPr>
                <w:rFonts w:hint="eastAsia" w:ascii="Times New Roman" w:hAnsi="Times New Roman" w:cs="Times New Roman"/>
                <w:b w:val="0"/>
                <w:bCs/>
                <w:kern w:val="2"/>
                <w:sz w:val="24"/>
                <w:szCs w:val="24"/>
                <w:lang w:val="en-US" w:eastAsia="zh-CN" w:bidi="ar-SA"/>
              </w:rPr>
              <w:t>0.02t/a，动植物油0.1t/a。</w:t>
            </w:r>
          </w:p>
          <w:p>
            <w:pPr>
              <w:pStyle w:val="38"/>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运营期生活废水拟采用隔油池及三级化粪池处理后外排入津市高新区市政污水管网，最终经津市高新区工业污水处理厂处理后排入澧水，根据厂区生活废水产生量，拟建隔油池+化粪池容积为5m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eastAsia"/>
                <w:sz w:val="24"/>
                <w:lang w:val="en-US" w:eastAsia="zh-CN"/>
              </w:rPr>
              <w:t>类比一般三级化粪池处理效率，本项目生活废水经化粪池处理后各污染物排放浓度</w:t>
            </w:r>
            <w:r>
              <w:rPr>
                <w:rFonts w:hint="default" w:ascii="Times New Roman" w:hAnsi="Times New Roman" w:cs="Times New Roman"/>
                <w:sz w:val="24"/>
                <w:lang w:val="en-US" w:eastAsia="zh-CN"/>
              </w:rPr>
              <w:t>为</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w:t>
            </w:r>
            <w:r>
              <w:rPr>
                <w:rFonts w:hint="default" w:ascii="Times New Roman" w:hAnsi="Times New Roman" w:cs="Times New Roman"/>
                <w:sz w:val="24"/>
                <w:lang w:val="en-US" w:eastAsia="zh-CN"/>
              </w:rPr>
              <w:t>200</w:t>
            </w:r>
            <w:r>
              <w:rPr>
                <w:rFonts w:hint="default" w:ascii="Times New Roman" w:hAnsi="Times New Roman" w:cs="Times New Roman"/>
                <w:sz w:val="24"/>
              </w:rPr>
              <w:t>mg/L、BOD</w:t>
            </w:r>
            <w:r>
              <w:rPr>
                <w:rFonts w:hint="default" w:ascii="Times New Roman" w:hAnsi="Times New Roman" w:cs="Times New Roman"/>
                <w:sz w:val="24"/>
                <w:vertAlign w:val="subscript"/>
              </w:rPr>
              <w:t>5</w:t>
            </w:r>
            <w:r>
              <w:rPr>
                <w:rFonts w:hint="default" w:ascii="Times New Roman" w:hAnsi="Times New Roman" w:cs="Times New Roman"/>
                <w:sz w:val="24"/>
              </w:rPr>
              <w:t>：</w:t>
            </w:r>
            <w:r>
              <w:rPr>
                <w:rFonts w:hint="default" w:ascii="Times New Roman" w:hAnsi="Times New Roman" w:cs="Times New Roman"/>
                <w:sz w:val="24"/>
                <w:lang w:val="en-US" w:eastAsia="zh-CN"/>
              </w:rPr>
              <w:t>120</w:t>
            </w:r>
            <w:r>
              <w:rPr>
                <w:rFonts w:hint="default" w:ascii="Times New Roman" w:hAnsi="Times New Roman" w:cs="Times New Roman"/>
                <w:sz w:val="24"/>
              </w:rPr>
              <w:t>mg/L、SS：</w:t>
            </w:r>
            <w:r>
              <w:rPr>
                <w:rFonts w:hint="default" w:ascii="Times New Roman" w:hAnsi="Times New Roman" w:cs="Times New Roman"/>
                <w:sz w:val="24"/>
                <w:lang w:val="en-US" w:eastAsia="zh-CN"/>
              </w:rPr>
              <w:t>150</w:t>
            </w:r>
            <w:r>
              <w:rPr>
                <w:rFonts w:hint="default" w:ascii="Times New Roman" w:hAnsi="Times New Roman" w:cs="Times New Roman"/>
                <w:sz w:val="24"/>
              </w:rPr>
              <w:t>mg/L、氨氮：</w:t>
            </w:r>
            <w:r>
              <w:rPr>
                <w:rFonts w:hint="default" w:ascii="Times New Roman" w:hAnsi="Times New Roman" w:cs="Times New Roman"/>
                <w:sz w:val="24"/>
                <w:lang w:val="en-US" w:eastAsia="zh-CN"/>
              </w:rPr>
              <w:t>20</w:t>
            </w:r>
            <w:r>
              <w:rPr>
                <w:rFonts w:hint="default" w:ascii="Times New Roman" w:hAnsi="Times New Roman" w:cs="Times New Roman"/>
                <w:sz w:val="24"/>
              </w:rPr>
              <w:t>mg/L</w:t>
            </w:r>
            <w:r>
              <w:rPr>
                <w:rFonts w:hint="default" w:ascii="Times New Roman" w:hAnsi="Times New Roman" w:cs="Times New Roman"/>
                <w:sz w:val="24"/>
                <w:lang w:eastAsia="zh-CN"/>
              </w:rPr>
              <w:t>，</w:t>
            </w:r>
            <w:r>
              <w:rPr>
                <w:rFonts w:hint="eastAsia" w:ascii="Times New Roman" w:hAnsi="Times New Roman" w:cs="Times New Roman"/>
                <w:sz w:val="24"/>
                <w:lang w:eastAsia="zh-CN"/>
              </w:rPr>
              <w:t>动植物油：</w:t>
            </w:r>
            <w:r>
              <w:rPr>
                <w:rFonts w:hint="eastAsia" w:ascii="Times New Roman" w:hAnsi="Times New Roman" w:cs="Times New Roman"/>
                <w:sz w:val="24"/>
                <w:lang w:val="en-US" w:eastAsia="zh-CN"/>
              </w:rPr>
              <w:t>70mg/L，</w:t>
            </w:r>
            <w:r>
              <w:rPr>
                <w:rFonts w:hint="default" w:ascii="Times New Roman" w:hAnsi="Times New Roman" w:cs="Times New Roman"/>
                <w:sz w:val="24"/>
                <w:lang w:eastAsia="zh-CN"/>
              </w:rPr>
              <w:t>各污染物排放量为</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w:t>
            </w:r>
            <w:r>
              <w:rPr>
                <w:rFonts w:hint="eastAsia" w:ascii="Times New Roman" w:hAnsi="Times New Roman" w:cs="Times New Roman"/>
                <w:sz w:val="24"/>
                <w:lang w:val="en-US" w:eastAsia="zh-CN"/>
              </w:rPr>
              <w:t>0.16</w:t>
            </w:r>
            <w:r>
              <w:rPr>
                <w:rFonts w:hint="default" w:ascii="Times New Roman" w:hAnsi="Times New Roman" w:cs="Times New Roman"/>
                <w:sz w:val="24"/>
              </w:rPr>
              <w:t>t/a、BOD</w:t>
            </w:r>
            <w:r>
              <w:rPr>
                <w:rFonts w:hint="default" w:ascii="Times New Roman" w:hAnsi="Times New Roman" w:cs="Times New Roman"/>
                <w:sz w:val="24"/>
                <w:vertAlign w:val="subscript"/>
              </w:rPr>
              <w:t>5</w:t>
            </w:r>
            <w:r>
              <w:rPr>
                <w:rFonts w:hint="default" w:ascii="Times New Roman" w:hAnsi="Times New Roman" w:cs="Times New Roman"/>
                <w:sz w:val="24"/>
              </w:rPr>
              <w:t>：</w:t>
            </w:r>
            <w:r>
              <w:rPr>
                <w:rFonts w:hint="eastAsia" w:ascii="Times New Roman" w:hAnsi="Times New Roman" w:cs="Times New Roman"/>
                <w:sz w:val="24"/>
                <w:lang w:val="en-US" w:eastAsia="zh-CN"/>
              </w:rPr>
              <w:t>0.10</w:t>
            </w:r>
            <w:r>
              <w:rPr>
                <w:rFonts w:hint="default" w:ascii="Times New Roman" w:hAnsi="Times New Roman" w:cs="Times New Roman"/>
                <w:sz w:val="24"/>
              </w:rPr>
              <w:t>t/a、SS：</w:t>
            </w:r>
            <w:r>
              <w:rPr>
                <w:rFonts w:hint="eastAsia" w:ascii="Times New Roman" w:hAnsi="Times New Roman" w:cs="Times New Roman"/>
                <w:sz w:val="24"/>
                <w:lang w:val="en-US" w:eastAsia="zh-CN"/>
              </w:rPr>
              <w:t>0.12</w:t>
            </w:r>
            <w:r>
              <w:rPr>
                <w:rFonts w:hint="default" w:ascii="Times New Roman" w:hAnsi="Times New Roman" w:cs="Times New Roman"/>
                <w:sz w:val="24"/>
              </w:rPr>
              <w:t>t/a、氨氮：</w:t>
            </w:r>
            <w:r>
              <w:rPr>
                <w:rFonts w:hint="eastAsia" w:ascii="Times New Roman" w:hAnsi="Times New Roman" w:cs="Times New Roman"/>
                <w:sz w:val="24"/>
                <w:lang w:val="en-US" w:eastAsia="zh-CN"/>
              </w:rPr>
              <w:t>0.016</w:t>
            </w:r>
            <w:r>
              <w:rPr>
                <w:rFonts w:hint="default" w:ascii="Times New Roman" w:hAnsi="Times New Roman" w:cs="Times New Roman"/>
                <w:sz w:val="24"/>
              </w:rPr>
              <w:t>t/a</w:t>
            </w:r>
            <w:r>
              <w:rPr>
                <w:rFonts w:hint="eastAsia" w:ascii="Times New Roman" w:hAnsi="Times New Roman" w:cs="Times New Roman"/>
                <w:sz w:val="24"/>
                <w:lang w:eastAsia="zh-CN"/>
              </w:rPr>
              <w:t>，动植物油：</w:t>
            </w:r>
            <w:r>
              <w:rPr>
                <w:rFonts w:hint="eastAsia" w:ascii="Times New Roman" w:hAnsi="Times New Roman" w:cs="Times New Roman"/>
                <w:sz w:val="24"/>
                <w:lang w:val="en-US" w:eastAsia="zh-CN"/>
              </w:rPr>
              <w:t>0.05</w:t>
            </w:r>
            <w:r>
              <w:rPr>
                <w:rFonts w:hint="default" w:ascii="Times New Roman" w:hAnsi="Times New Roman" w:cs="Times New Roman"/>
                <w:sz w:val="24"/>
              </w:rPr>
              <w:t>t/a</w:t>
            </w:r>
            <w:r>
              <w:rPr>
                <w:rFonts w:hint="eastAsia" w:ascii="Times New Roman" w:hAnsi="Times New Roman" w:cs="Times New Roman"/>
                <w:sz w:val="24"/>
                <w:lang w:eastAsia="zh-CN"/>
              </w:rPr>
              <w:t>。</w:t>
            </w:r>
          </w:p>
          <w:p>
            <w:pPr>
              <w:pStyle w:val="38"/>
              <w:jc w:val="both"/>
              <w:rPr>
                <w:rFonts w:hint="default" w:ascii="Times New Roman" w:hAnsi="Times New Roman" w:cs="Times New Roman"/>
              </w:rPr>
            </w:pPr>
            <w:r>
              <w:rPr>
                <w:rFonts w:hint="eastAsia" w:ascii="Times New Roman" w:hAnsi="Times New Roman" w:cs="Times New Roman"/>
                <w:b w:val="0"/>
                <w:bCs/>
                <w:kern w:val="2"/>
                <w:sz w:val="24"/>
                <w:szCs w:val="24"/>
                <w:lang w:val="en-US" w:eastAsia="zh-CN" w:bidi="ar-SA"/>
              </w:rPr>
              <w:t>3、</w:t>
            </w:r>
            <w:r>
              <w:rPr>
                <w:rFonts w:hint="default" w:ascii="Times New Roman" w:hAnsi="Times New Roman" w:cs="Times New Roman"/>
              </w:rPr>
              <w:t>噪声</w:t>
            </w:r>
          </w:p>
          <w:p>
            <w:pPr>
              <w:pStyle w:val="38"/>
              <w:jc w:val="both"/>
              <w:rPr>
                <w:rFonts w:hint="default" w:ascii="Times New Roman" w:hAnsi="Times New Roman" w:cs="Times New Roman"/>
              </w:rPr>
            </w:pPr>
            <w:r>
              <w:rPr>
                <w:rFonts w:hint="default" w:ascii="Times New Roman" w:hAnsi="Times New Roman" w:cs="Times New Roman"/>
              </w:rPr>
              <w:t>本项目营运后产生的噪声主要是设备运行时产生的机械噪声，主要产生噪声的 设备及防治措施见下表所示：</w:t>
            </w:r>
          </w:p>
          <w:p>
            <w:pPr>
              <w:pStyle w:val="38"/>
              <w:ind w:left="0" w:leftChars="0" w:firstLine="0" w:firstLineChars="0"/>
              <w:jc w:val="center"/>
              <w:rPr>
                <w:rFonts w:hint="default" w:ascii="Times New Roman" w:hAnsiTheme="minorHAnsi" w:eastAsiaTheme="minorEastAsia" w:cstheme="minorBidi"/>
                <w:b/>
                <w:bCs/>
                <w:kern w:val="2"/>
                <w:sz w:val="21"/>
                <w:szCs w:val="24"/>
                <w:lang w:val="en-US" w:eastAsia="zh-CN" w:bidi="ar-SA"/>
              </w:rPr>
            </w:pPr>
            <w:r>
              <w:rPr>
                <w:rFonts w:hint="default" w:ascii="Times New Roman" w:hAnsiTheme="minorHAnsi" w:eastAsiaTheme="minorEastAsia" w:cstheme="minorBidi"/>
                <w:b/>
                <w:bCs/>
                <w:kern w:val="2"/>
                <w:sz w:val="21"/>
                <w:szCs w:val="24"/>
                <w:lang w:val="en-US" w:eastAsia="zh-CN" w:bidi="ar-SA"/>
              </w:rPr>
              <w:t>表</w:t>
            </w:r>
            <w:r>
              <w:rPr>
                <w:rFonts w:hint="eastAsia" w:ascii="Times New Roman" w:hAnsiTheme="minorHAnsi" w:cstheme="minorBidi"/>
                <w:b/>
                <w:bCs/>
                <w:kern w:val="2"/>
                <w:sz w:val="21"/>
                <w:szCs w:val="24"/>
                <w:lang w:val="en-US" w:eastAsia="zh-CN" w:bidi="ar-SA"/>
              </w:rPr>
              <w:t xml:space="preserve">5-8  </w:t>
            </w:r>
            <w:r>
              <w:rPr>
                <w:rFonts w:hint="default" w:ascii="Times New Roman" w:hAnsiTheme="minorHAnsi" w:eastAsiaTheme="minorEastAsia" w:cstheme="minorBidi"/>
                <w:b/>
                <w:bCs/>
                <w:kern w:val="2"/>
                <w:sz w:val="21"/>
                <w:szCs w:val="24"/>
                <w:lang w:val="en-US" w:eastAsia="zh-CN" w:bidi="ar-SA"/>
              </w:rPr>
              <w:t>本项目噪声</w:t>
            </w:r>
            <w:r>
              <w:rPr>
                <w:rFonts w:hint="eastAsia" w:ascii="Times New Roman" w:hAnsiTheme="minorHAnsi" w:cstheme="minorBidi"/>
                <w:b/>
                <w:bCs/>
                <w:kern w:val="2"/>
                <w:sz w:val="21"/>
                <w:szCs w:val="24"/>
                <w:lang w:val="en-US" w:eastAsia="zh-CN" w:bidi="ar-SA"/>
              </w:rPr>
              <w:t>源强</w:t>
            </w:r>
            <w:r>
              <w:rPr>
                <w:rFonts w:hint="default" w:ascii="Times New Roman" w:hAnsiTheme="minorHAnsi" w:eastAsiaTheme="minorEastAsia" w:cstheme="minorBidi"/>
                <w:b/>
                <w:bCs/>
                <w:kern w:val="2"/>
                <w:sz w:val="21"/>
                <w:szCs w:val="24"/>
                <w:lang w:val="en-US" w:eastAsia="zh-CN" w:bidi="ar-SA"/>
              </w:rPr>
              <w:t>一览表</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959"/>
              <w:gridCol w:w="727"/>
              <w:gridCol w:w="1678"/>
              <w:gridCol w:w="1812"/>
              <w:gridCol w:w="1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23" w:line="240" w:lineRule="auto"/>
                    <w:ind w:right="9"/>
                    <w:jc w:val="center"/>
                    <w:rPr>
                      <w:rFonts w:hint="default" w:ascii="宋体" w:hAnsi="宋体" w:eastAsia="宋体" w:cs="宋体"/>
                      <w:sz w:val="21"/>
                      <w:szCs w:val="21"/>
                    </w:rPr>
                  </w:pPr>
                  <w:r>
                    <w:rPr>
                      <w:rFonts w:hint="default" w:ascii="宋体" w:hAnsi="宋体" w:eastAsia="宋体" w:cs="宋体"/>
                      <w:b/>
                      <w:bCs/>
                      <w:sz w:val="21"/>
                      <w:szCs w:val="21"/>
                    </w:rPr>
                    <w:t>序号</w:t>
                  </w:r>
                </w:p>
              </w:tc>
              <w:tc>
                <w:tcPr>
                  <w:tcW w:w="1926" w:type="dxa"/>
                  <w:tcBorders>
                    <w:tl2br w:val="nil"/>
                    <w:tr2bl w:val="nil"/>
                  </w:tcBorders>
                  <w:vAlign w:val="center"/>
                </w:tcPr>
                <w:p>
                  <w:pPr>
                    <w:pStyle w:val="65"/>
                    <w:spacing w:before="23" w:line="240" w:lineRule="auto"/>
                    <w:ind w:right="1"/>
                    <w:jc w:val="center"/>
                    <w:rPr>
                      <w:rFonts w:hint="default" w:ascii="宋体" w:hAnsi="宋体" w:eastAsia="宋体" w:cs="宋体"/>
                      <w:sz w:val="21"/>
                      <w:szCs w:val="21"/>
                    </w:rPr>
                  </w:pPr>
                  <w:r>
                    <w:rPr>
                      <w:rFonts w:hint="default" w:ascii="宋体" w:hAnsi="宋体" w:eastAsia="宋体" w:cs="宋体"/>
                      <w:b/>
                      <w:bCs/>
                      <w:sz w:val="21"/>
                      <w:szCs w:val="21"/>
                    </w:rPr>
                    <w:t>设备</w:t>
                  </w:r>
                </w:p>
              </w:tc>
              <w:tc>
                <w:tcPr>
                  <w:tcW w:w="715" w:type="dxa"/>
                  <w:tcBorders>
                    <w:tl2br w:val="nil"/>
                    <w:tr2bl w:val="nil"/>
                  </w:tcBorders>
                  <w:vAlign w:val="center"/>
                </w:tcPr>
                <w:p>
                  <w:pPr>
                    <w:pStyle w:val="65"/>
                    <w:spacing w:before="23" w:line="240" w:lineRule="auto"/>
                    <w:ind w:right="1"/>
                    <w:jc w:val="center"/>
                    <w:rPr>
                      <w:rFonts w:hint="default" w:ascii="宋体" w:hAnsi="宋体" w:eastAsia="宋体" w:cs="宋体"/>
                      <w:b/>
                      <w:bCs/>
                      <w:sz w:val="21"/>
                      <w:szCs w:val="21"/>
                    </w:rPr>
                  </w:pPr>
                  <w:r>
                    <w:rPr>
                      <w:rFonts w:hint="default" w:ascii="宋体" w:hAnsi="宋体" w:eastAsia="宋体" w:cs="宋体"/>
                      <w:b/>
                      <w:bCs/>
                      <w:sz w:val="21"/>
                      <w:szCs w:val="21"/>
                    </w:rPr>
                    <w:t>台数</w:t>
                  </w:r>
                </w:p>
              </w:tc>
              <w:tc>
                <w:tcPr>
                  <w:tcW w:w="1650" w:type="dxa"/>
                  <w:tcBorders>
                    <w:tl2br w:val="nil"/>
                    <w:tr2bl w:val="nil"/>
                  </w:tcBorders>
                  <w:vAlign w:val="center"/>
                </w:tcPr>
                <w:p>
                  <w:pPr>
                    <w:pStyle w:val="65"/>
                    <w:spacing w:before="23" w:line="240" w:lineRule="auto"/>
                    <w:ind w:right="1"/>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声压级</w:t>
                  </w:r>
                  <w:r>
                    <w:rPr>
                      <w:rFonts w:hint="eastAsia" w:ascii="宋体" w:hAnsi="宋体" w:eastAsia="宋体" w:cs="宋体"/>
                      <w:b/>
                      <w:bCs/>
                      <w:sz w:val="21"/>
                      <w:szCs w:val="21"/>
                      <w:lang w:val="en-US" w:eastAsia="zh-CN"/>
                    </w:rPr>
                    <w:t>dB（A）</w:t>
                  </w:r>
                </w:p>
              </w:tc>
              <w:tc>
                <w:tcPr>
                  <w:tcW w:w="1782" w:type="dxa"/>
                  <w:tcBorders>
                    <w:tl2br w:val="nil"/>
                    <w:tr2bl w:val="nil"/>
                  </w:tcBorders>
                  <w:vAlign w:val="center"/>
                </w:tcPr>
                <w:p>
                  <w:pPr>
                    <w:pStyle w:val="65"/>
                    <w:spacing w:before="23" w:line="240" w:lineRule="auto"/>
                    <w:ind w:left="9" w:right="0"/>
                    <w:jc w:val="center"/>
                    <w:rPr>
                      <w:rFonts w:hint="default" w:ascii="宋体" w:hAnsi="宋体" w:eastAsia="宋体" w:cs="宋体"/>
                      <w:sz w:val="21"/>
                      <w:szCs w:val="21"/>
                    </w:rPr>
                  </w:pPr>
                  <w:r>
                    <w:rPr>
                      <w:rFonts w:hint="default" w:ascii="宋体" w:hAnsi="宋体" w:eastAsia="宋体" w:cs="宋体"/>
                      <w:b/>
                      <w:bCs/>
                      <w:sz w:val="21"/>
                      <w:szCs w:val="21"/>
                    </w:rPr>
                    <w:t>治理措施</w:t>
                  </w:r>
                </w:p>
              </w:tc>
              <w:tc>
                <w:tcPr>
                  <w:tcW w:w="1740" w:type="dxa"/>
                  <w:tcBorders>
                    <w:tl2br w:val="nil"/>
                    <w:tr2bl w:val="nil"/>
                  </w:tcBorders>
                  <w:vAlign w:val="center"/>
                </w:tcPr>
                <w:p>
                  <w:pPr>
                    <w:pStyle w:val="65"/>
                    <w:spacing w:before="23" w:line="240" w:lineRule="auto"/>
                    <w:ind w:left="9" w:right="0"/>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消减效果</w:t>
                  </w:r>
                  <w:r>
                    <w:rPr>
                      <w:rFonts w:hint="eastAsia" w:ascii="宋体" w:hAnsi="宋体" w:eastAsia="宋体" w:cs="宋体"/>
                      <w:b/>
                      <w:bCs/>
                      <w:sz w:val="21"/>
                      <w:szCs w:val="21"/>
                      <w:lang w:val="en-US" w:eastAsia="zh-CN"/>
                    </w:rPr>
                    <w:t>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rPr>
                  </w:pPr>
                  <w:r>
                    <w:rPr>
                      <w:rFonts w:ascii="Times New Roman"/>
                      <w:sz w:val="21"/>
                    </w:rPr>
                    <w:t>1</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风机</w:t>
                  </w:r>
                </w:p>
              </w:tc>
              <w:tc>
                <w:tcPr>
                  <w:tcW w:w="715" w:type="dxa"/>
                  <w:tcBorders>
                    <w:tl2br w:val="nil"/>
                    <w:tr2bl w:val="nil"/>
                  </w:tcBorders>
                  <w:vAlign w:val="center"/>
                </w:tcPr>
                <w:p>
                  <w:pPr>
                    <w:pStyle w:val="65"/>
                    <w:spacing w:before="8" w:line="240" w:lineRule="auto"/>
                    <w:ind w:right="0"/>
                    <w:jc w:val="center"/>
                    <w:rPr>
                      <w:rFonts w:hint="default" w:ascii="Times New Roman"/>
                      <w:sz w:val="21"/>
                    </w:rPr>
                  </w:pPr>
                  <w:r>
                    <w:rPr>
                      <w:rFonts w:hint="eastAsia" w:ascii="Times New Roman"/>
                      <w:sz w:val="21"/>
                      <w:lang w:val="en-US" w:eastAsia="zh-CN"/>
                    </w:rPr>
                    <w:t>12</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90</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default" w:ascii="Times New Roman"/>
                      <w:sz w:val="21"/>
                      <w:lang w:val="en-US"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2</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刮板输送机</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3</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3</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自清式提升机</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5</w:t>
                  </w:r>
                  <w:r>
                    <w:rPr>
                      <w:rFonts w:hint="default" w:ascii="Times New Roman"/>
                      <w:sz w:val="21"/>
                    </w:rPr>
                    <w:t>台</w:t>
                  </w:r>
                </w:p>
              </w:tc>
              <w:tc>
                <w:tcPr>
                  <w:tcW w:w="1650" w:type="dxa"/>
                  <w:tcBorders>
                    <w:tl2br w:val="nil"/>
                    <w:tr2bl w:val="nil"/>
                  </w:tcBorders>
                  <w:vAlign w:val="center"/>
                </w:tcPr>
                <w:p>
                  <w:pPr>
                    <w:spacing w:before="8" w:line="240" w:lineRule="auto"/>
                    <w:ind w:right="0" w:rightChars="0"/>
                    <w:jc w:val="center"/>
                    <w:rPr>
                      <w:rFonts w:ascii="Times New Roman"/>
                      <w:sz w:val="21"/>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eastAsia="zh-CN"/>
                    </w:rPr>
                  </w:pPr>
                  <w:r>
                    <w:rPr>
                      <w:rFonts w:hint="eastAsia" w:ascii="Times New Roman"/>
                      <w:sz w:val="21"/>
                      <w:lang w:val="en-US" w:eastAsia="zh-CN"/>
                    </w:rPr>
                    <w:t>4</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刮板输送机</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eastAsia="zh-CN"/>
                    </w:rPr>
                  </w:pPr>
                  <w:r>
                    <w:rPr>
                      <w:rFonts w:hint="eastAsia" w:ascii="Times New Roman"/>
                      <w:sz w:val="21"/>
                      <w:lang w:val="en-US" w:eastAsia="zh-CN"/>
                    </w:rPr>
                    <w:t>5</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圆筒初清筛</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6</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永磁筒</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sz w:val="21"/>
                      <w:lang w:val="en-US" w:eastAsia="zh-CN"/>
                    </w:rPr>
                  </w:pPr>
                  <w:r>
                    <w:rPr>
                      <w:rFonts w:hint="eastAsia" w:ascii="Times New Roman" w:hAnsi="Times New Roman" w:cs="Times New Roman"/>
                      <w:lang w:val="en-US" w:eastAsia="zh-CN"/>
                    </w:rPr>
                    <w:t>1</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7</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叶轮喂料器</w:t>
                  </w:r>
                </w:p>
              </w:tc>
              <w:tc>
                <w:tcPr>
                  <w:tcW w:w="715" w:type="dxa"/>
                  <w:tcBorders>
                    <w:tl2br w:val="nil"/>
                    <w:tr2bl w:val="nil"/>
                  </w:tcBorders>
                  <w:vAlign w:val="center"/>
                </w:tcPr>
                <w:p>
                  <w:pPr>
                    <w:pStyle w:val="65"/>
                    <w:spacing w:before="8" w:line="240" w:lineRule="auto"/>
                    <w:ind w:right="0"/>
                    <w:jc w:val="center"/>
                    <w:rPr>
                      <w:rFonts w:hint="eastAsia" w:ascii="Times New Roman"/>
                      <w:sz w:val="21"/>
                      <w:lang w:val="en-US" w:eastAsia="zh-CN"/>
                    </w:rPr>
                  </w:pPr>
                  <w:r>
                    <w:rPr>
                      <w:rFonts w:hint="eastAsia" w:ascii="Times New Roman"/>
                      <w:sz w:val="21"/>
                      <w:lang w:val="en-US" w:eastAsia="zh-CN"/>
                    </w:rPr>
                    <w:t>1</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8</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粉碎机</w:t>
                  </w:r>
                </w:p>
              </w:tc>
              <w:tc>
                <w:tcPr>
                  <w:tcW w:w="715"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eastAsia" w:ascii="Times New Roman"/>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9</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料封螺旋输送机</w:t>
                  </w:r>
                </w:p>
              </w:tc>
              <w:tc>
                <w:tcPr>
                  <w:tcW w:w="715"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10</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双轴桨叶式混合机</w:t>
                  </w:r>
                </w:p>
              </w:tc>
              <w:tc>
                <w:tcPr>
                  <w:tcW w:w="715"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80</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11</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颗粒机</w:t>
                  </w:r>
                </w:p>
              </w:tc>
              <w:tc>
                <w:tcPr>
                  <w:tcW w:w="715" w:type="dxa"/>
                  <w:tcBorders>
                    <w:tl2br w:val="nil"/>
                    <w:tr2bl w:val="nil"/>
                  </w:tcBorders>
                  <w:vAlign w:val="center"/>
                </w:tcPr>
                <w:p>
                  <w:pPr>
                    <w:pStyle w:val="65"/>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12</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分级筛</w:t>
                  </w:r>
                </w:p>
              </w:tc>
              <w:tc>
                <w:tcPr>
                  <w:tcW w:w="715" w:type="dxa"/>
                  <w:tcBorders>
                    <w:tl2br w:val="nil"/>
                    <w:tr2bl w:val="nil"/>
                  </w:tcBorders>
                  <w:vAlign w:val="center"/>
                </w:tcPr>
                <w:p>
                  <w:pPr>
                    <w:pStyle w:val="65"/>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13</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振动筛</w:t>
                  </w:r>
                </w:p>
              </w:tc>
              <w:tc>
                <w:tcPr>
                  <w:tcW w:w="715" w:type="dxa"/>
                  <w:tcBorders>
                    <w:tl2br w:val="nil"/>
                    <w:tr2bl w:val="nil"/>
                  </w:tcBorders>
                  <w:vAlign w:val="center"/>
                </w:tcPr>
                <w:p>
                  <w:pPr>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14</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高方筛</w:t>
                  </w:r>
                </w:p>
              </w:tc>
              <w:tc>
                <w:tcPr>
                  <w:tcW w:w="715" w:type="dxa"/>
                  <w:tcBorders>
                    <w:tl2br w:val="nil"/>
                    <w:tr2bl w:val="nil"/>
                  </w:tcBorders>
                  <w:vAlign w:val="center"/>
                </w:tcPr>
                <w:p>
                  <w:pPr>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15</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皮带输送机</w:t>
                  </w:r>
                </w:p>
              </w:tc>
              <w:tc>
                <w:tcPr>
                  <w:tcW w:w="71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75</w:t>
                  </w:r>
                </w:p>
              </w:tc>
              <w:tc>
                <w:tcPr>
                  <w:tcW w:w="1782" w:type="dxa"/>
                  <w:tcBorders>
                    <w:tl2br w:val="nil"/>
                    <w:tr2bl w:val="nil"/>
                  </w:tcBorders>
                  <w:vAlign w:val="center"/>
                </w:tcPr>
                <w:p>
                  <w:pPr>
                    <w:spacing w:before="8" w:line="240" w:lineRule="auto"/>
                    <w:ind w:right="0" w:rightChars="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16</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振动卸料器</w:t>
                  </w:r>
                </w:p>
              </w:tc>
              <w:tc>
                <w:tcPr>
                  <w:tcW w:w="71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rightChars="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17</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破拱喂料器</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18</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喂料器</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19</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膨化机</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20</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滚筒喷涂机</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21</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烘干机</w:t>
                  </w:r>
                </w:p>
              </w:tc>
              <w:tc>
                <w:tcPr>
                  <w:tcW w:w="71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22</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除湿风机</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90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23</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电子打包秤（双称斗）</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bl>
          <w:p>
            <w:pPr>
              <w:pStyle w:val="38"/>
              <w:rPr>
                <w:rFonts w:hint="default" w:ascii="Times New Roman" w:hAnsi="Times New Roman" w:cs="Times New Roman"/>
              </w:rPr>
            </w:pPr>
            <w:r>
              <w:rPr>
                <w:rFonts w:hint="eastAsia" w:ascii="Times New Roman" w:hAnsi="Times New Roman" w:cs="Times New Roman"/>
                <w:lang w:val="en-US" w:eastAsia="zh-CN"/>
              </w:rPr>
              <w:t>4、</w:t>
            </w:r>
            <w:r>
              <w:rPr>
                <w:rFonts w:hint="default" w:ascii="Times New Roman" w:hAnsi="Times New Roman" w:cs="Times New Roman"/>
              </w:rPr>
              <w:t>固废</w:t>
            </w:r>
          </w:p>
          <w:p>
            <w:pPr>
              <w:pStyle w:val="38"/>
              <w:rPr>
                <w:rFonts w:hint="eastAsia" w:ascii="Times New Roman" w:hAnsi="Times New Roman" w:cs="Times New Roman" w:eastAsiaTheme="minorEastAsia"/>
                <w:lang w:eastAsia="zh-CN"/>
              </w:rPr>
            </w:pPr>
            <w:r>
              <w:rPr>
                <w:rFonts w:hint="default" w:ascii="Times New Roman" w:hAnsi="Times New Roman" w:cs="Times New Roman"/>
              </w:rPr>
              <w:t>本项目产生的固体废物主要为一般工业固体废物、危险废物和生活垃圾。</w:t>
            </w:r>
          </w:p>
          <w:p>
            <w:pPr>
              <w:pStyle w:val="38"/>
              <w:rPr>
                <w:rFonts w:hint="default" w:ascii="Times New Roman" w:hAnsi="Times New Roman" w:cs="Times New Roman"/>
              </w:rPr>
            </w:pPr>
            <w:r>
              <w:rPr>
                <w:rFonts w:hint="eastAsia" w:ascii="Times New Roman" w:cs="Times New Roman"/>
                <w:lang w:val="en-US" w:eastAsia="zh-CN"/>
              </w:rPr>
              <w:t>（1）</w:t>
            </w:r>
            <w:r>
              <w:rPr>
                <w:rFonts w:hint="default" w:ascii="Times New Roman" w:hAnsi="Times New Roman" w:cs="Times New Roman"/>
              </w:rPr>
              <w:t>一般工业固体废物</w:t>
            </w:r>
          </w:p>
          <w:p>
            <w:pPr>
              <w:pStyle w:val="38"/>
              <w:rPr>
                <w:rFonts w:hint="default" w:ascii="Times New Roman" w:hAnsi="Times New Roman" w:cs="Times New Roman"/>
              </w:rPr>
            </w:pPr>
            <w:r>
              <w:rPr>
                <w:rFonts w:hint="default" w:ascii="Times New Roman" w:hAnsi="Times New Roman" w:cs="Times New Roman"/>
              </w:rPr>
              <w:t>一般工业固废主要包括原料初清过程中产生的</w:t>
            </w:r>
            <w:r>
              <w:rPr>
                <w:rFonts w:hint="eastAsia" w:ascii="Times New Roman" w:hAnsi="Times New Roman" w:cs="Times New Roman"/>
                <w:lang w:eastAsia="zh-CN"/>
              </w:rPr>
              <w:t>杂质</w:t>
            </w:r>
            <w:r>
              <w:rPr>
                <w:rFonts w:hint="default" w:ascii="Times New Roman" w:hAnsi="Times New Roman" w:cs="Times New Roman"/>
              </w:rPr>
              <w:t>、成品包装产生的废包装袋、</w:t>
            </w:r>
            <w:r>
              <w:rPr>
                <w:rFonts w:hint="eastAsia" w:ascii="Times New Roman" w:hAnsi="Times New Roman" w:cs="Times New Roman"/>
                <w:lang w:eastAsia="zh-CN"/>
              </w:rPr>
              <w:t>原辅材料废包装袋、</w:t>
            </w:r>
            <w:r>
              <w:rPr>
                <w:rFonts w:hint="default" w:ascii="Times New Roman" w:hAnsi="Times New Roman" w:cs="Times New Roman"/>
              </w:rPr>
              <w:t>各个工序除尘器收集的</w:t>
            </w:r>
            <w:r>
              <w:rPr>
                <w:rFonts w:hint="eastAsia" w:ascii="Times New Roman" w:hAnsi="Times New Roman" w:cs="Times New Roman"/>
                <w:lang w:eastAsia="zh-CN"/>
              </w:rPr>
              <w:t>粉尘</w:t>
            </w:r>
            <w:r>
              <w:rPr>
                <w:rFonts w:hint="default" w:ascii="Times New Roman" w:hAnsi="Times New Roman" w:cs="Times New Roman"/>
              </w:rPr>
              <w:t>。</w:t>
            </w:r>
          </w:p>
          <w:p>
            <w:pPr>
              <w:pStyle w:val="38"/>
              <w:rPr>
                <w:rFonts w:hint="default" w:ascii="Times New Roman" w:hAnsi="Times New Roman" w:cs="Times New Roman"/>
                <w:lang w:val="en-US"/>
              </w:rPr>
            </w:pPr>
            <w:r>
              <w:rPr>
                <w:rFonts w:hint="eastAsia" w:ascii="Times New Roman" w:cs="Times New Roman"/>
                <w:lang w:eastAsia="zh-CN"/>
              </w:rPr>
              <w:t>①</w:t>
            </w:r>
            <w:r>
              <w:rPr>
                <w:rFonts w:hint="eastAsia" w:ascii="Times New Roman" w:hAnsi="Times New Roman" w:cs="Times New Roman"/>
                <w:lang w:eastAsia="zh-CN"/>
              </w:rPr>
              <w:t>杂质</w:t>
            </w:r>
            <w:r>
              <w:rPr>
                <w:rFonts w:hint="default" w:ascii="Times New Roman" w:hAnsi="Times New Roman" w:cs="Times New Roman"/>
              </w:rPr>
              <w:t>：参考同类型项目，</w:t>
            </w:r>
            <w:r>
              <w:rPr>
                <w:rFonts w:hint="eastAsia" w:ascii="Times New Roman" w:hAnsi="Times New Roman" w:cs="Times New Roman"/>
                <w:lang w:eastAsia="zh-CN"/>
              </w:rPr>
              <w:t>杂质</w:t>
            </w:r>
            <w:r>
              <w:rPr>
                <w:rFonts w:hint="default" w:ascii="Times New Roman" w:hAnsi="Times New Roman" w:cs="Times New Roman"/>
              </w:rPr>
              <w:t>的产生量约为原料用量的0.25‰</w:t>
            </w:r>
            <w:r>
              <w:rPr>
                <w:rFonts w:hint="eastAsia" w:ascii="Times New Roman" w:hAnsi="Times New Roman" w:cs="Times New Roman"/>
                <w:lang w:eastAsia="zh-CN"/>
              </w:rPr>
              <w:t>，本项目原材料总用量为</w:t>
            </w:r>
            <w:r>
              <w:rPr>
                <w:rFonts w:hint="eastAsia" w:ascii="Times New Roman" w:hAnsi="Times New Roman" w:cs="Times New Roman"/>
                <w:lang w:val="en-US" w:eastAsia="zh-CN"/>
              </w:rPr>
              <w:t>230086t/a，根据计算原料初清过程中产生的杂质为57.52t/a，环评要求建设单位在原辅材料仓库内修建50m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的一般固废暂存间，上述固废可暂存于一般固废暂存间，定期外售给市场相关回收企业。</w:t>
            </w:r>
          </w:p>
          <w:p>
            <w:pPr>
              <w:pStyle w:val="38"/>
              <w:rPr>
                <w:rFonts w:hint="eastAsia" w:ascii="Times New Roman" w:hAnsi="Times New Roman" w:cs="Times New Roman" w:eastAsiaTheme="minorEastAsia"/>
                <w:lang w:eastAsia="zh-CN"/>
              </w:rPr>
            </w:pPr>
            <w:r>
              <w:rPr>
                <w:rFonts w:hint="eastAsia" w:ascii="Times New Roman" w:cs="Times New Roman"/>
                <w:lang w:eastAsia="zh-CN"/>
              </w:rPr>
              <w:t>②</w:t>
            </w:r>
            <w:r>
              <w:rPr>
                <w:rFonts w:hint="eastAsia" w:ascii="Times New Roman" w:hAnsi="Times New Roman" w:cs="Times New Roman"/>
                <w:lang w:eastAsia="zh-CN"/>
              </w:rPr>
              <w:t>成品废包装袋</w:t>
            </w:r>
            <w:r>
              <w:rPr>
                <w:rFonts w:hint="default" w:ascii="Times New Roman" w:hAnsi="Times New Roman" w:cs="Times New Roman"/>
              </w:rPr>
              <w:t>：</w:t>
            </w:r>
            <w:r>
              <w:rPr>
                <w:rFonts w:hint="eastAsia" w:ascii="Times New Roman" w:hAnsi="Times New Roman" w:cs="Times New Roman"/>
                <w:lang w:eastAsia="zh-CN"/>
              </w:rPr>
              <w:t>本项目年产饲料</w:t>
            </w:r>
            <w:r>
              <w:rPr>
                <w:rFonts w:hint="eastAsia" w:ascii="Times New Roman" w:hAnsi="Times New Roman" w:cs="Times New Roman"/>
                <w:lang w:val="en-US" w:eastAsia="zh-CN"/>
              </w:rPr>
              <w:t>23万t，按50kg/袋计，共需包装袋460万个，废包装袋产生量按1%，</w:t>
            </w:r>
            <w:r>
              <w:rPr>
                <w:rFonts w:hint="default" w:ascii="Times New Roman" w:hAnsi="Times New Roman" w:cs="Times New Roman"/>
              </w:rPr>
              <w:t>每个按</w:t>
            </w:r>
            <w:r>
              <w:rPr>
                <w:rFonts w:hint="eastAsia" w:ascii="Times New Roman" w:hAnsi="Times New Roman" w:cs="Times New Roman"/>
                <w:lang w:val="en-US" w:eastAsia="zh-CN"/>
              </w:rPr>
              <w:t>0.1</w:t>
            </w:r>
            <w:r>
              <w:rPr>
                <w:rFonts w:hint="default" w:ascii="Times New Roman" w:hAnsi="Times New Roman" w:cs="Times New Roman"/>
              </w:rPr>
              <w:t>kg计，废包装袋产生量约为</w:t>
            </w:r>
            <w:r>
              <w:rPr>
                <w:rFonts w:hint="eastAsia" w:ascii="Times New Roman" w:hAnsi="Times New Roman" w:cs="Times New Roman"/>
                <w:lang w:val="en-US" w:eastAsia="zh-CN"/>
              </w:rPr>
              <w:t>4.6</w:t>
            </w:r>
            <w:r>
              <w:rPr>
                <w:rFonts w:hint="default" w:ascii="Times New Roman" w:hAnsi="Times New Roman" w:cs="Times New Roman"/>
              </w:rPr>
              <w:t>t/a</w:t>
            </w:r>
            <w:r>
              <w:rPr>
                <w:rFonts w:hint="eastAsia" w:ascii="Times New Roman" w:hAnsi="Times New Roman" w:cs="Times New Roman"/>
                <w:lang w:eastAsia="zh-CN"/>
              </w:rPr>
              <w:t>，废包装袋可暂存于一般固废暂存间，定期由相关企业回收。</w:t>
            </w:r>
          </w:p>
          <w:p>
            <w:pPr>
              <w:pStyle w:val="38"/>
              <w:rPr>
                <w:rFonts w:hint="default" w:ascii="Times New Roman" w:hAnsi="Times New Roman" w:cs="Times New Roman"/>
              </w:rPr>
            </w:pPr>
            <w:r>
              <w:rPr>
                <w:rFonts w:hint="eastAsia" w:ascii="Times New Roman" w:cs="Times New Roman"/>
                <w:lang w:eastAsia="zh-CN"/>
              </w:rPr>
              <w:t>③</w:t>
            </w:r>
            <w:r>
              <w:rPr>
                <w:rFonts w:hint="eastAsia" w:ascii="Times New Roman" w:hAnsi="Times New Roman" w:cs="Times New Roman"/>
                <w:lang w:eastAsia="zh-CN"/>
              </w:rPr>
              <w:t>原辅材料</w:t>
            </w:r>
            <w:r>
              <w:rPr>
                <w:rFonts w:hint="default" w:ascii="Times New Roman" w:hAnsi="Times New Roman" w:cs="Times New Roman"/>
              </w:rPr>
              <w:t>废包装袋</w:t>
            </w:r>
            <w:r>
              <w:rPr>
                <w:rFonts w:hint="eastAsia" w:ascii="Times New Roman" w:hAnsi="Times New Roman" w:cs="Times New Roman"/>
                <w:lang w:eastAsia="zh-CN"/>
              </w:rPr>
              <w:t>：</w:t>
            </w:r>
            <w:r>
              <w:rPr>
                <w:rFonts w:hint="default" w:ascii="Times New Roman" w:hAnsi="Times New Roman" w:cs="Times New Roman"/>
              </w:rPr>
              <w:t>本项目原辅料倒出后产生废旧编织袋等包装材料，产生编织袋约300万个，每个按</w:t>
            </w:r>
            <w:r>
              <w:rPr>
                <w:rFonts w:hint="eastAsia" w:ascii="Times New Roman" w:hAnsi="Times New Roman" w:cs="Times New Roman"/>
                <w:lang w:val="en-US" w:eastAsia="zh-CN"/>
              </w:rPr>
              <w:t>0.1</w:t>
            </w:r>
            <w:r>
              <w:rPr>
                <w:rFonts w:hint="default" w:ascii="Times New Roman" w:hAnsi="Times New Roman" w:cs="Times New Roman"/>
              </w:rPr>
              <w:t>kg计，则年产生量约</w:t>
            </w:r>
            <w:r>
              <w:rPr>
                <w:rFonts w:hint="eastAsia" w:ascii="Times New Roman" w:hAnsi="Times New Roman" w:cs="Times New Roman"/>
                <w:lang w:val="en-US" w:eastAsia="zh-CN"/>
              </w:rPr>
              <w:t>30</w:t>
            </w:r>
            <w:r>
              <w:rPr>
                <w:rFonts w:hint="default" w:ascii="Times New Roman" w:hAnsi="Times New Roman" w:cs="Times New Roman"/>
              </w:rPr>
              <w:t>t/a，属于一般固体废物，</w:t>
            </w:r>
            <w:r>
              <w:rPr>
                <w:rFonts w:hint="eastAsia" w:ascii="Times New Roman" w:hAnsi="Times New Roman" w:cs="Times New Roman"/>
                <w:lang w:eastAsia="zh-CN"/>
              </w:rPr>
              <w:t>废包装袋可暂存于一般固废暂存间，定期由相关企业回收。</w:t>
            </w:r>
          </w:p>
          <w:p>
            <w:pPr>
              <w:pStyle w:val="38"/>
              <w:rPr>
                <w:rFonts w:hint="eastAsia" w:ascii="Times New Roman" w:hAnsi="Times New Roman" w:cs="Times New Roman" w:eastAsiaTheme="minorEastAsia"/>
                <w:lang w:eastAsia="zh-CN"/>
              </w:rPr>
            </w:pPr>
            <w:r>
              <w:rPr>
                <w:rFonts w:hint="eastAsia" w:ascii="Times New Roman" w:cs="Times New Roman"/>
                <w:lang w:eastAsia="zh-CN"/>
              </w:rPr>
              <w:t>④</w:t>
            </w:r>
            <w:r>
              <w:rPr>
                <w:rFonts w:hint="default" w:ascii="Times New Roman" w:hAnsi="Times New Roman" w:cs="Times New Roman"/>
              </w:rPr>
              <w:t>除尘器收集的</w:t>
            </w:r>
            <w:r>
              <w:rPr>
                <w:rFonts w:hint="eastAsia" w:ascii="Times New Roman" w:hAnsi="Times New Roman" w:cs="Times New Roman"/>
                <w:lang w:eastAsia="zh-CN"/>
              </w:rPr>
              <w:t>粉尘</w:t>
            </w:r>
            <w:r>
              <w:rPr>
                <w:rFonts w:hint="default" w:ascii="Times New Roman" w:hAnsi="Times New Roman" w:cs="Times New Roman"/>
              </w:rPr>
              <w:t>：根据工程分析，除尘灰产生量约为</w:t>
            </w:r>
            <w:r>
              <w:rPr>
                <w:rFonts w:hint="eastAsia" w:ascii="Times New Roman" w:cs="Times New Roman"/>
                <w:lang w:val="en-US" w:eastAsia="zh-CN"/>
              </w:rPr>
              <w:t>11.47</w:t>
            </w:r>
            <w:r>
              <w:rPr>
                <w:rFonts w:hint="default" w:ascii="Times New Roman" w:hAnsi="Times New Roman" w:cs="Times New Roman"/>
              </w:rPr>
              <w:t>t/a</w:t>
            </w:r>
            <w:r>
              <w:rPr>
                <w:rFonts w:hint="eastAsia" w:ascii="Times New Roman" w:hAnsi="Times New Roman" w:cs="Times New Roman"/>
                <w:lang w:eastAsia="zh-CN"/>
              </w:rPr>
              <w:t>，除尘器收集的粉尘均为本项目原辅材料，因此可回用于生产线。</w:t>
            </w:r>
          </w:p>
          <w:p>
            <w:pPr>
              <w:pStyle w:val="38"/>
              <w:rPr>
                <w:rFonts w:hint="default" w:ascii="Times New Roman" w:hAnsi="Times New Roman" w:cs="Times New Roman"/>
              </w:rPr>
            </w:pPr>
            <w:r>
              <w:rPr>
                <w:rFonts w:hint="eastAsia" w:ascii="Times New Roman" w:cs="Times New Roman"/>
                <w:lang w:val="en-US" w:eastAsia="zh-CN"/>
              </w:rPr>
              <w:t>（2）</w:t>
            </w:r>
            <w:r>
              <w:rPr>
                <w:rFonts w:hint="default" w:ascii="Times New Roman" w:hAnsi="Times New Roman" w:cs="Times New Roman"/>
              </w:rPr>
              <w:t>危险废物</w:t>
            </w:r>
          </w:p>
          <w:p>
            <w:pPr>
              <w:pStyle w:val="38"/>
              <w:rPr>
                <w:rFonts w:hint="default" w:ascii="Times New Roman" w:hAnsi="Times New Roman" w:cs="Times New Roman"/>
              </w:rPr>
            </w:pPr>
            <w:r>
              <w:rPr>
                <w:rFonts w:hint="default" w:ascii="Times New Roman" w:hAnsi="Times New Roman" w:cs="Times New Roman"/>
              </w:rPr>
              <w:t>危险废物主要包括机械设备维修产生的废机油、含油</w:t>
            </w:r>
            <w:r>
              <w:rPr>
                <w:rFonts w:hint="eastAsia" w:ascii="Times New Roman" w:hAnsi="Times New Roman" w:cs="Times New Roman"/>
                <w:lang w:eastAsia="zh-CN"/>
              </w:rPr>
              <w:t>废抹布及</w:t>
            </w:r>
            <w:r>
              <w:rPr>
                <w:rFonts w:hint="default" w:ascii="Times New Roman" w:hAnsi="Times New Roman" w:cs="Times New Roman"/>
              </w:rPr>
              <w:t>手套。</w:t>
            </w:r>
          </w:p>
          <w:p>
            <w:pPr>
              <w:pStyle w:val="38"/>
              <w:rPr>
                <w:rFonts w:hint="default" w:ascii="Times New Roman" w:hAnsi="Times New Roman" w:cs="Times New Roman"/>
              </w:rPr>
            </w:pPr>
            <w:r>
              <w:rPr>
                <w:rFonts w:hint="eastAsia" w:ascii="Times New Roman" w:cs="Times New Roman"/>
                <w:lang w:eastAsia="zh-CN"/>
              </w:rPr>
              <w:t>①</w:t>
            </w:r>
            <w:r>
              <w:rPr>
                <w:rFonts w:hint="default" w:ascii="Times New Roman" w:hAnsi="Times New Roman" w:cs="Times New Roman"/>
              </w:rPr>
              <w:t>废机油：类比同类型项目分析，设备维修过程中废机油产生量约0.5t/a。</w:t>
            </w:r>
          </w:p>
          <w:p>
            <w:pPr>
              <w:pStyle w:val="38"/>
              <w:rPr>
                <w:rFonts w:hint="default" w:ascii="Times New Roman" w:hAnsi="Times New Roman" w:cs="Times New Roman"/>
              </w:rPr>
            </w:pPr>
            <w:r>
              <w:rPr>
                <w:rFonts w:hint="eastAsia" w:ascii="Times New Roman" w:cs="Times New Roman"/>
                <w:lang w:eastAsia="zh-CN"/>
              </w:rPr>
              <w:t>②</w:t>
            </w:r>
            <w:r>
              <w:rPr>
                <w:rFonts w:hint="default" w:ascii="Times New Roman" w:hAnsi="Times New Roman" w:cs="Times New Roman"/>
              </w:rPr>
              <w:t>含油</w:t>
            </w:r>
            <w:r>
              <w:rPr>
                <w:rFonts w:hint="eastAsia" w:ascii="Times New Roman" w:hAnsi="Times New Roman" w:cs="Times New Roman"/>
                <w:lang w:eastAsia="zh-CN"/>
              </w:rPr>
              <w:t>废抹布及</w:t>
            </w:r>
            <w:r>
              <w:rPr>
                <w:rFonts w:hint="default" w:ascii="Times New Roman" w:hAnsi="Times New Roman" w:cs="Times New Roman"/>
              </w:rPr>
              <w:t>手套：类比同类型项目分析，设备维修过程中含油</w:t>
            </w:r>
            <w:r>
              <w:rPr>
                <w:rFonts w:hint="eastAsia" w:ascii="Times New Roman" w:hAnsi="Times New Roman" w:cs="Times New Roman"/>
                <w:lang w:eastAsia="zh-CN"/>
              </w:rPr>
              <w:t>废抹布及</w:t>
            </w:r>
            <w:r>
              <w:rPr>
                <w:rFonts w:hint="default" w:ascii="Times New Roman" w:hAnsi="Times New Roman" w:cs="Times New Roman"/>
              </w:rPr>
              <w:t>手套产生量约0.1t/a。</w:t>
            </w:r>
          </w:p>
          <w:p>
            <w:pPr>
              <w:pStyle w:val="38"/>
              <w:rPr>
                <w:rFonts w:hint="default" w:ascii="Times New Roman" w:hAnsi="Times New Roman" w:cs="Times New Roman"/>
                <w:lang w:val="en-US" w:eastAsia="zh-CN"/>
              </w:rPr>
            </w:pPr>
            <w:r>
              <w:rPr>
                <w:rFonts w:hint="eastAsia" w:ascii="Times New Roman" w:hAnsi="Times New Roman" w:cs="Times New Roman"/>
                <w:lang w:val="en-US" w:eastAsia="zh-CN"/>
              </w:rPr>
              <w:t>本项目运营期虽然危险废物产生量不大，为避免对环境造成污染，环评要求建设单位应修建建筑面积不小于10m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的危险废物暂存间，上述危险废物应暂存于危险废物暂存间内，委托有资质的单位定期处置。</w:t>
            </w:r>
          </w:p>
          <w:p>
            <w:pPr>
              <w:pStyle w:val="38"/>
              <w:rPr>
                <w:rFonts w:hint="default" w:ascii="Times New Roman" w:hAnsi="Times New Roman" w:cs="Times New Roman"/>
              </w:rPr>
            </w:pPr>
            <w:r>
              <w:rPr>
                <w:rFonts w:hint="eastAsia" w:ascii="Times New Roman" w:cs="Times New Roman"/>
                <w:lang w:val="en-US" w:eastAsia="zh-CN"/>
              </w:rPr>
              <w:t>（3）</w:t>
            </w:r>
            <w:r>
              <w:rPr>
                <w:rFonts w:hint="default" w:ascii="Times New Roman" w:hAnsi="Times New Roman" w:cs="Times New Roman"/>
              </w:rPr>
              <w:t>生活垃圾</w:t>
            </w:r>
          </w:p>
          <w:p>
            <w:pPr>
              <w:pStyle w:val="38"/>
              <w:rPr>
                <w:rFonts w:hint="default" w:ascii="Times New Roman" w:hAnsi="Times New Roman" w:cs="Times New Roman"/>
              </w:rPr>
            </w:pPr>
            <w:r>
              <w:rPr>
                <w:rFonts w:hint="default" w:ascii="Times New Roman" w:hAnsi="Times New Roman" w:cs="Times New Roman"/>
              </w:rPr>
              <w:t>本项目营运后，全厂劳动定员为</w:t>
            </w:r>
            <w:r>
              <w:rPr>
                <w:rFonts w:hint="eastAsia" w:ascii="Times New Roman" w:hAnsi="Times New Roman" w:cs="Times New Roman"/>
                <w:lang w:val="en-US" w:eastAsia="zh-CN"/>
              </w:rPr>
              <w:t>45</w:t>
            </w:r>
            <w:r>
              <w:rPr>
                <w:rFonts w:hint="default" w:ascii="Times New Roman" w:hAnsi="Times New Roman" w:cs="Times New Roman"/>
              </w:rPr>
              <w:t>人，垃圾产生量按每人每天</w:t>
            </w:r>
            <w:r>
              <w:rPr>
                <w:rFonts w:hint="eastAsia" w:ascii="Times New Roman" w:hAnsi="Times New Roman" w:cs="Times New Roman"/>
                <w:lang w:val="en-US" w:eastAsia="zh-CN"/>
              </w:rPr>
              <w:t>0.5</w:t>
            </w:r>
            <w:r>
              <w:rPr>
                <w:rFonts w:hint="default" w:ascii="Times New Roman" w:hAnsi="Times New Roman" w:cs="Times New Roman"/>
              </w:rPr>
              <w:t>kg计，则生活垃圾产生量为</w:t>
            </w:r>
            <w:r>
              <w:rPr>
                <w:rFonts w:hint="eastAsia" w:ascii="Times New Roman" w:hAnsi="Times New Roman" w:cs="Times New Roman"/>
                <w:lang w:val="en-US" w:eastAsia="zh-CN"/>
              </w:rPr>
              <w:t>22.5</w:t>
            </w:r>
            <w:r>
              <w:rPr>
                <w:rFonts w:hint="default" w:ascii="Times New Roman" w:hAnsi="Times New Roman" w:cs="Times New Roman"/>
              </w:rPr>
              <w:t>kg/d、</w:t>
            </w:r>
            <w:r>
              <w:rPr>
                <w:rFonts w:hint="eastAsia" w:ascii="Times New Roman" w:hAnsi="Times New Roman" w:cs="Times New Roman"/>
                <w:lang w:val="en-US" w:eastAsia="zh-CN"/>
              </w:rPr>
              <w:t>6.75</w:t>
            </w:r>
            <w:r>
              <w:rPr>
                <w:rFonts w:hint="default" w:ascii="Times New Roman" w:hAnsi="Times New Roman" w:cs="Times New Roman"/>
              </w:rPr>
              <w:t>t/a，建设单位采用垃圾桶收集后，委托环卫部门定期清运。</w:t>
            </w:r>
          </w:p>
          <w:p>
            <w:pPr>
              <w:pStyle w:val="38"/>
              <w:rPr>
                <w:rFonts w:hint="default" w:ascii="Times New Roman" w:hAnsi="Times New Roman" w:cs="Times New Roman"/>
              </w:rPr>
            </w:pPr>
            <w:r>
              <w:rPr>
                <w:rFonts w:hint="default" w:ascii="Times New Roman" w:hAnsi="Times New Roman" w:cs="Times New Roman"/>
              </w:rPr>
              <w:t>本项目固体废物产生及防治措施见表</w:t>
            </w:r>
            <w:r>
              <w:rPr>
                <w:rFonts w:hint="eastAsia" w:ascii="Times New Roman" w:hAnsi="Times New Roman" w:cs="Times New Roman"/>
                <w:lang w:val="en-US" w:eastAsia="zh-CN"/>
              </w:rPr>
              <w:t>3-15</w:t>
            </w:r>
            <w:r>
              <w:rPr>
                <w:rFonts w:hint="default" w:ascii="Times New Roman" w:hAnsi="Times New Roman" w:cs="Times New Roman"/>
              </w:rPr>
              <w:t>。</w:t>
            </w:r>
          </w:p>
          <w:p>
            <w:pPr>
              <w:pStyle w:val="38"/>
              <w:ind w:left="0" w:leftChars="0" w:firstLine="0" w:firstLineChars="0"/>
              <w:jc w:val="center"/>
              <w:rPr>
                <w:rFonts w:hint="default" w:ascii="Times New Roman" w:hAnsiTheme="minorHAnsi" w:eastAsiaTheme="minorEastAsia" w:cstheme="minorBidi"/>
                <w:b/>
                <w:bCs/>
                <w:kern w:val="2"/>
                <w:sz w:val="21"/>
                <w:szCs w:val="24"/>
                <w:lang w:val="en-US" w:eastAsia="zh-CN" w:bidi="ar-SA"/>
              </w:rPr>
            </w:pPr>
            <w:r>
              <w:rPr>
                <w:rFonts w:hint="default" w:ascii="Times New Roman" w:hAnsiTheme="minorHAnsi" w:eastAsiaTheme="minorEastAsia" w:cstheme="minorBidi"/>
                <w:b/>
                <w:bCs/>
                <w:kern w:val="2"/>
                <w:sz w:val="21"/>
                <w:szCs w:val="24"/>
                <w:lang w:val="en-US" w:eastAsia="zh-CN" w:bidi="ar-SA"/>
              </w:rPr>
              <w:t>表</w:t>
            </w:r>
            <w:r>
              <w:rPr>
                <w:rFonts w:hint="eastAsia" w:ascii="Times New Roman" w:hAnsiTheme="minorHAnsi" w:cstheme="minorBidi"/>
                <w:b/>
                <w:bCs/>
                <w:kern w:val="2"/>
                <w:sz w:val="21"/>
                <w:szCs w:val="24"/>
                <w:lang w:val="en-US" w:eastAsia="zh-CN" w:bidi="ar-SA"/>
              </w:rPr>
              <w:t>3-15</w:t>
            </w:r>
            <w:r>
              <w:rPr>
                <w:rFonts w:hint="eastAsia" w:ascii="Times New Roman" w:hAnsiTheme="minorHAnsi" w:eastAsiaTheme="minorEastAsia" w:cstheme="minorBidi"/>
                <w:b/>
                <w:bCs/>
                <w:kern w:val="2"/>
                <w:sz w:val="21"/>
                <w:szCs w:val="24"/>
                <w:lang w:val="en-US" w:eastAsia="zh-CN" w:bidi="ar-SA"/>
              </w:rPr>
              <w:t xml:space="preserve">  </w:t>
            </w:r>
            <w:r>
              <w:rPr>
                <w:rFonts w:hint="default" w:ascii="Times New Roman" w:hAnsiTheme="minorHAnsi" w:eastAsiaTheme="minorEastAsia" w:cstheme="minorBidi"/>
                <w:b/>
                <w:bCs/>
                <w:kern w:val="2"/>
                <w:sz w:val="21"/>
                <w:szCs w:val="24"/>
                <w:lang w:val="en-US" w:eastAsia="zh-CN" w:bidi="ar-SA"/>
              </w:rPr>
              <w:t>本项目固体废物产生情况及防治措施一览表</w:t>
            </w:r>
            <w:r>
              <w:rPr>
                <w:rFonts w:hint="eastAsia" w:ascii="Times New Roman" w:hAnsiTheme="minorHAnsi" w:cstheme="minorBidi"/>
                <w:b/>
                <w:bCs/>
                <w:kern w:val="2"/>
                <w:sz w:val="21"/>
                <w:szCs w:val="24"/>
                <w:lang w:val="en-US" w:eastAsia="zh-CN" w:bidi="ar-SA"/>
              </w:rPr>
              <w:t xml:space="preserve">  </w:t>
            </w:r>
            <w:r>
              <w:rPr>
                <w:rFonts w:hint="default" w:ascii="Times New Roman" w:hAnsiTheme="minorHAnsi" w:eastAsiaTheme="minorEastAsia" w:cstheme="minorBidi"/>
                <w:b/>
                <w:bCs/>
                <w:kern w:val="2"/>
                <w:sz w:val="21"/>
                <w:szCs w:val="24"/>
                <w:lang w:val="en-US" w:eastAsia="zh-CN" w:bidi="ar-SA"/>
              </w:rPr>
              <w:t>t/a</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9"/>
              <w:gridCol w:w="1057"/>
              <w:gridCol w:w="2023"/>
              <w:gridCol w:w="1080"/>
              <w:gridCol w:w="1150"/>
              <w:gridCol w:w="850"/>
              <w:gridCol w:w="18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产污环节</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污染物</w:t>
                  </w:r>
                </w:p>
              </w:tc>
              <w:tc>
                <w:tcPr>
                  <w:tcW w:w="108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主要成份</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固废性质</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产生量</w:t>
                  </w:r>
                </w:p>
              </w:tc>
              <w:tc>
                <w:tcPr>
                  <w:tcW w:w="181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防治措施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原料初清</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杂质</w:t>
                  </w:r>
                </w:p>
              </w:tc>
              <w:tc>
                <w:tcPr>
                  <w:tcW w:w="10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铁、石子</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57.52</w:t>
                  </w:r>
                </w:p>
              </w:tc>
              <w:tc>
                <w:tcPr>
                  <w:tcW w:w="1818"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收集后暂存一般固废暂存间，定期外售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成品包装</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成品废包装袋</w:t>
                  </w:r>
                </w:p>
              </w:tc>
              <w:tc>
                <w:tcPr>
                  <w:tcW w:w="10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纤维</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4.6</w:t>
                  </w:r>
                </w:p>
              </w:tc>
              <w:tc>
                <w:tcPr>
                  <w:tcW w:w="181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原料接收</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原辅材料</w:t>
                  </w:r>
                  <w:r>
                    <w:rPr>
                      <w:rFonts w:hint="default" w:ascii="Times New Roman" w:hAnsi="Times New Roman" w:cs="Times New Roman"/>
                    </w:rPr>
                    <w:t>废包装袋</w:t>
                  </w:r>
                </w:p>
              </w:tc>
              <w:tc>
                <w:tcPr>
                  <w:tcW w:w="10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纤维</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30</w:t>
                  </w:r>
                </w:p>
              </w:tc>
              <w:tc>
                <w:tcPr>
                  <w:tcW w:w="181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脉冲除尘</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rPr>
                    <w:t>除尘器收集的</w:t>
                  </w:r>
                  <w:r>
                    <w:rPr>
                      <w:rFonts w:hint="eastAsia" w:ascii="Times New Roman" w:hAnsi="Times New Roman" w:cs="Times New Roman"/>
                      <w:lang w:eastAsia="zh-CN"/>
                    </w:rPr>
                    <w:t>粉尘</w:t>
                  </w:r>
                </w:p>
              </w:tc>
              <w:tc>
                <w:tcPr>
                  <w:tcW w:w="108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cs="Times New Roman"/>
                      <w:lang w:val="en-US" w:eastAsia="zh-CN"/>
                    </w:rPr>
                    <w:t>11.47</w:t>
                  </w:r>
                </w:p>
              </w:tc>
              <w:tc>
                <w:tcPr>
                  <w:tcW w:w="181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回用于生产线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设备维修</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rPr>
                    <w:t>废机油</w:t>
                  </w:r>
                </w:p>
              </w:tc>
              <w:tc>
                <w:tcPr>
                  <w:tcW w:w="108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0.5</w:t>
                  </w:r>
                </w:p>
              </w:tc>
              <w:tc>
                <w:tcPr>
                  <w:tcW w:w="1818"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暂存于危废间，</w:t>
                  </w:r>
                  <w:r>
                    <w:rPr>
                      <w:rFonts w:hint="eastAsia" w:ascii="Times New Roman" w:hAnsi="Times New Roman" w:cs="Times New Roman"/>
                      <w:lang w:val="en-US" w:eastAsia="zh-CN"/>
                    </w:rPr>
                    <w:t>委托有资质的单位定期处置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设备维修</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rPr>
                    <w:t>含油</w:t>
                  </w:r>
                  <w:r>
                    <w:rPr>
                      <w:rFonts w:hint="eastAsia" w:ascii="Times New Roman" w:hAnsi="Times New Roman" w:cs="Times New Roman"/>
                      <w:lang w:eastAsia="zh-CN"/>
                    </w:rPr>
                    <w:t>废抹布及</w:t>
                  </w:r>
                  <w:r>
                    <w:rPr>
                      <w:rFonts w:hint="default" w:ascii="Times New Roman" w:hAnsi="Times New Roman" w:cs="Times New Roman"/>
                    </w:rPr>
                    <w:t>手套</w:t>
                  </w:r>
                </w:p>
              </w:tc>
              <w:tc>
                <w:tcPr>
                  <w:tcW w:w="108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0.1</w:t>
                  </w:r>
                </w:p>
              </w:tc>
              <w:tc>
                <w:tcPr>
                  <w:tcW w:w="181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9"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cs="Times New Roman"/>
                      <w:lang w:val="en-US" w:eastAsia="zh-CN"/>
                    </w:rPr>
                    <w:t>7</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办公生活</w:t>
                  </w:r>
                </w:p>
              </w:tc>
              <w:tc>
                <w:tcPr>
                  <w:tcW w:w="2023"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108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果皮、纸屑等</w:t>
                  </w:r>
                </w:p>
              </w:tc>
              <w:tc>
                <w:tcPr>
                  <w:tcW w:w="11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5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6.75</w:t>
                  </w:r>
                </w:p>
              </w:tc>
              <w:tc>
                <w:tcPr>
                  <w:tcW w:w="181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定点收集，环卫</w:t>
                  </w:r>
                  <w:r>
                    <w:rPr>
                      <w:rFonts w:hint="eastAsia" w:ascii="Times New Roman" w:hAnsi="Times New Roman" w:cs="Times New Roman"/>
                      <w:lang w:val="en-US" w:eastAsia="zh-CN"/>
                    </w:rPr>
                    <w:t>部门</w:t>
                  </w:r>
                  <w:r>
                    <w:rPr>
                      <w:rFonts w:hint="default" w:ascii="Times New Roman" w:hAnsi="Times New Roman" w:cs="Times New Roman"/>
                      <w:lang w:val="en-US" w:eastAsia="zh-CN"/>
                    </w:rPr>
                    <w:t>清运</w:t>
                  </w:r>
                </w:p>
              </w:tc>
            </w:tr>
          </w:tbl>
          <w:p>
            <w:pPr>
              <w:pStyle w:val="7"/>
              <w:rPr>
                <w:rFonts w:hint="eastAsia"/>
                <w:lang w:val="en-US" w:eastAsia="zh-CN"/>
              </w:rPr>
            </w:pPr>
          </w:p>
          <w:p>
            <w:pPr>
              <w:spacing w:line="360" w:lineRule="auto"/>
              <w:rPr>
                <w:color w:val="FF0000"/>
                <w:sz w:val="24"/>
              </w:rPr>
            </w:pPr>
          </w:p>
        </w:tc>
      </w:tr>
    </w:tbl>
    <w:p>
      <w:pPr>
        <w:spacing w:line="440" w:lineRule="exact"/>
        <w:outlineLvl w:val="0"/>
        <w:rPr>
          <w:b/>
          <w:sz w:val="32"/>
          <w:szCs w:val="32"/>
        </w:rPr>
      </w:pPr>
      <w:bookmarkStart w:id="37" w:name="_Toc22336"/>
      <w:r>
        <w:rPr>
          <w:rFonts w:hint="eastAsia"/>
          <w:b/>
          <w:sz w:val="32"/>
          <w:szCs w:val="32"/>
          <w:lang w:val="en-US" w:eastAsia="zh-CN"/>
        </w:rPr>
        <w:t>6</w:t>
      </w:r>
      <w:r>
        <w:rPr>
          <w:b/>
          <w:sz w:val="32"/>
          <w:szCs w:val="32"/>
        </w:rPr>
        <w:t>工程主要污染物产生及预计排放情况</w:t>
      </w: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849"/>
        <w:gridCol w:w="1299"/>
        <w:gridCol w:w="2539"/>
        <w:gridCol w:w="2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21" w:type="dxa"/>
            <w:tcBorders>
              <w:tl2br w:val="nil"/>
              <w:tr2bl w:val="nil"/>
            </w:tcBorders>
            <w:vAlign w:val="center"/>
          </w:tcPr>
          <w:p>
            <w:pPr>
              <w:spacing w:line="400" w:lineRule="exact"/>
              <w:jc w:val="center"/>
              <w:rPr>
                <w:b/>
                <w:bCs/>
                <w:i w:val="0"/>
                <w:iCs w:val="0"/>
                <w:sz w:val="24"/>
                <w:u w:val="none"/>
              </w:rPr>
            </w:pPr>
            <w:r>
              <w:rPr>
                <w:b/>
                <w:bCs/>
                <w:i w:val="0"/>
                <w:iCs w:val="0"/>
                <w:sz w:val="24"/>
                <w:u w:val="none"/>
              </w:rPr>
              <w:t>内容</w:t>
            </w:r>
          </w:p>
          <w:p>
            <w:pPr>
              <w:spacing w:line="400" w:lineRule="exact"/>
              <w:jc w:val="center"/>
              <w:rPr>
                <w:b/>
                <w:bCs/>
                <w:i w:val="0"/>
                <w:iCs w:val="0"/>
                <w:sz w:val="24"/>
                <w:u w:val="none"/>
              </w:rPr>
            </w:pPr>
            <w:r>
              <w:rPr>
                <w:b/>
                <w:bCs/>
                <w:i w:val="0"/>
                <w:iCs w:val="0"/>
                <w:sz w:val="24"/>
                <w:u w:val="none"/>
              </w:rPr>
              <w:t>类型</w:t>
            </w:r>
          </w:p>
        </w:tc>
        <w:tc>
          <w:tcPr>
            <w:tcW w:w="1849" w:type="dxa"/>
            <w:tcBorders>
              <w:tl2br w:val="nil"/>
              <w:tr2bl w:val="nil"/>
            </w:tcBorders>
            <w:vAlign w:val="center"/>
          </w:tcPr>
          <w:p>
            <w:pPr>
              <w:spacing w:line="400" w:lineRule="exact"/>
              <w:jc w:val="center"/>
              <w:rPr>
                <w:b/>
                <w:bCs/>
                <w:i w:val="0"/>
                <w:iCs w:val="0"/>
                <w:sz w:val="24"/>
                <w:u w:val="none"/>
              </w:rPr>
            </w:pPr>
            <w:r>
              <w:rPr>
                <w:b/>
                <w:bCs/>
                <w:i w:val="0"/>
                <w:iCs w:val="0"/>
                <w:sz w:val="24"/>
                <w:u w:val="none"/>
              </w:rPr>
              <w:t>排放源</w:t>
            </w:r>
            <w:r>
              <w:rPr>
                <w:rFonts w:hint="eastAsia"/>
                <w:b/>
                <w:bCs/>
                <w:i w:val="0"/>
                <w:iCs w:val="0"/>
                <w:sz w:val="24"/>
                <w:u w:val="none"/>
              </w:rPr>
              <w:t>（编号）</w:t>
            </w:r>
          </w:p>
        </w:tc>
        <w:tc>
          <w:tcPr>
            <w:tcW w:w="1299" w:type="dxa"/>
            <w:tcBorders>
              <w:tl2br w:val="nil"/>
              <w:tr2bl w:val="nil"/>
            </w:tcBorders>
            <w:vAlign w:val="center"/>
          </w:tcPr>
          <w:p>
            <w:pPr>
              <w:spacing w:line="400" w:lineRule="exact"/>
              <w:jc w:val="center"/>
              <w:rPr>
                <w:b/>
                <w:bCs/>
                <w:i w:val="0"/>
                <w:iCs w:val="0"/>
                <w:sz w:val="24"/>
                <w:u w:val="none"/>
              </w:rPr>
            </w:pPr>
            <w:r>
              <w:rPr>
                <w:b/>
                <w:bCs/>
                <w:i w:val="0"/>
                <w:iCs w:val="0"/>
                <w:sz w:val="24"/>
                <w:u w:val="none"/>
              </w:rPr>
              <w:t>污染物名称</w:t>
            </w:r>
          </w:p>
        </w:tc>
        <w:tc>
          <w:tcPr>
            <w:tcW w:w="2539" w:type="dxa"/>
            <w:tcBorders>
              <w:tl2br w:val="nil"/>
              <w:tr2bl w:val="nil"/>
            </w:tcBorders>
            <w:vAlign w:val="center"/>
          </w:tcPr>
          <w:p>
            <w:pPr>
              <w:spacing w:line="400" w:lineRule="exact"/>
              <w:jc w:val="center"/>
              <w:rPr>
                <w:b/>
                <w:bCs/>
                <w:i w:val="0"/>
                <w:iCs w:val="0"/>
                <w:sz w:val="24"/>
                <w:u w:val="none"/>
              </w:rPr>
            </w:pPr>
            <w:r>
              <w:rPr>
                <w:b/>
                <w:bCs/>
                <w:i w:val="0"/>
                <w:iCs w:val="0"/>
                <w:sz w:val="24"/>
                <w:u w:val="none"/>
              </w:rPr>
              <w:t>处理前产生浓度及产生量</w:t>
            </w:r>
          </w:p>
        </w:tc>
        <w:tc>
          <w:tcPr>
            <w:tcW w:w="2463" w:type="dxa"/>
            <w:tcBorders>
              <w:tl2br w:val="nil"/>
              <w:tr2bl w:val="nil"/>
            </w:tcBorders>
            <w:vAlign w:val="center"/>
          </w:tcPr>
          <w:p>
            <w:pPr>
              <w:spacing w:line="400" w:lineRule="exact"/>
              <w:jc w:val="center"/>
              <w:rPr>
                <w:b/>
                <w:bCs/>
                <w:i w:val="0"/>
                <w:iCs w:val="0"/>
                <w:sz w:val="24"/>
                <w:u w:val="none"/>
              </w:rPr>
            </w:pPr>
            <w:r>
              <w:rPr>
                <w:b/>
                <w:bCs/>
                <w:i w:val="0"/>
                <w:iCs w:val="0"/>
                <w:sz w:val="24"/>
                <w:u w:val="none"/>
              </w:rPr>
              <w:t>处理后排放浓度及排放量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1" w:type="dxa"/>
            <w:vMerge w:val="restart"/>
            <w:tcBorders>
              <w:tl2br w:val="nil"/>
              <w:tr2bl w:val="nil"/>
            </w:tcBorders>
            <w:vAlign w:val="center"/>
          </w:tcPr>
          <w:p>
            <w:pPr>
              <w:jc w:val="center"/>
              <w:rPr>
                <w:rFonts w:hint="eastAsia"/>
                <w:i w:val="0"/>
                <w:iCs w:val="0"/>
                <w:sz w:val="24"/>
                <w:u w:val="none"/>
                <w:lang w:eastAsia="zh-CN"/>
              </w:rPr>
            </w:pPr>
            <w:r>
              <w:rPr>
                <w:rFonts w:hint="eastAsia"/>
                <w:i w:val="0"/>
                <w:iCs w:val="0"/>
                <w:sz w:val="24"/>
                <w:u w:val="none"/>
                <w:lang w:eastAsia="zh-CN"/>
              </w:rPr>
              <w:t>大</w:t>
            </w:r>
          </w:p>
          <w:p>
            <w:pPr>
              <w:jc w:val="center"/>
              <w:rPr>
                <w:rFonts w:hint="eastAsia"/>
                <w:i w:val="0"/>
                <w:iCs w:val="0"/>
                <w:sz w:val="24"/>
                <w:u w:val="none"/>
                <w:lang w:eastAsia="zh-CN"/>
              </w:rPr>
            </w:pPr>
            <w:r>
              <w:rPr>
                <w:rFonts w:hint="eastAsia"/>
                <w:i w:val="0"/>
                <w:iCs w:val="0"/>
                <w:sz w:val="24"/>
                <w:u w:val="none"/>
                <w:lang w:eastAsia="zh-CN"/>
              </w:rPr>
              <w:t>气</w:t>
            </w:r>
          </w:p>
          <w:p>
            <w:pPr>
              <w:jc w:val="center"/>
              <w:rPr>
                <w:rFonts w:hint="eastAsia"/>
                <w:i w:val="0"/>
                <w:iCs w:val="0"/>
                <w:sz w:val="24"/>
                <w:u w:val="none"/>
                <w:lang w:eastAsia="zh-CN"/>
              </w:rPr>
            </w:pPr>
            <w:r>
              <w:rPr>
                <w:rFonts w:hint="eastAsia"/>
                <w:i w:val="0"/>
                <w:iCs w:val="0"/>
                <w:sz w:val="24"/>
                <w:u w:val="none"/>
                <w:lang w:eastAsia="zh-CN"/>
              </w:rPr>
              <w:t>污</w:t>
            </w:r>
          </w:p>
          <w:p>
            <w:pPr>
              <w:jc w:val="center"/>
              <w:rPr>
                <w:rFonts w:hint="eastAsia"/>
                <w:i w:val="0"/>
                <w:iCs w:val="0"/>
                <w:sz w:val="24"/>
                <w:u w:val="none"/>
                <w:lang w:eastAsia="zh-CN"/>
              </w:rPr>
            </w:pPr>
            <w:r>
              <w:rPr>
                <w:rFonts w:hint="eastAsia"/>
                <w:i w:val="0"/>
                <w:iCs w:val="0"/>
                <w:sz w:val="24"/>
                <w:u w:val="none"/>
                <w:lang w:eastAsia="zh-CN"/>
              </w:rPr>
              <w:t>染</w:t>
            </w:r>
          </w:p>
          <w:p>
            <w:pPr>
              <w:jc w:val="center"/>
              <w:rPr>
                <w:rFonts w:hint="eastAsia" w:eastAsia="宋体"/>
                <w:i w:val="0"/>
                <w:iCs w:val="0"/>
                <w:sz w:val="24"/>
                <w:u w:val="none"/>
                <w:lang w:eastAsia="zh-CN"/>
              </w:rPr>
            </w:pPr>
            <w:r>
              <w:rPr>
                <w:rFonts w:hint="eastAsia"/>
                <w:i w:val="0"/>
                <w:iCs w:val="0"/>
                <w:sz w:val="24"/>
                <w:u w:val="none"/>
                <w:lang w:eastAsia="zh-CN"/>
              </w:rPr>
              <w:t>物</w:t>
            </w:r>
          </w:p>
        </w:tc>
        <w:tc>
          <w:tcPr>
            <w:tcW w:w="1849" w:type="dxa"/>
            <w:tcBorders>
              <w:tl2br w:val="nil"/>
              <w:tr2bl w:val="nil"/>
            </w:tcBorders>
            <w:vAlign w:val="center"/>
          </w:tcPr>
          <w:p>
            <w:pPr>
              <w:spacing w:line="240" w:lineRule="auto"/>
              <w:jc w:val="center"/>
              <w:rPr>
                <w:rFonts w:hint="default" w:eastAsia="宋体"/>
                <w:i w:val="0"/>
                <w:iCs w:val="0"/>
                <w:sz w:val="24"/>
                <w:u w:val="none"/>
                <w:lang w:val="en-US" w:eastAsia="zh-CN"/>
              </w:rPr>
            </w:pPr>
            <w:r>
              <w:rPr>
                <w:rFonts w:hint="eastAsia"/>
                <w:i w:val="0"/>
                <w:iCs w:val="0"/>
                <w:sz w:val="24"/>
                <w:u w:val="none"/>
                <w:lang w:val="en-US" w:eastAsia="zh-CN"/>
              </w:rPr>
              <w:t>排气筒P1</w:t>
            </w:r>
          </w:p>
        </w:tc>
        <w:tc>
          <w:tcPr>
            <w:tcW w:w="1299" w:type="dxa"/>
            <w:tcBorders>
              <w:tl2br w:val="nil"/>
              <w:tr2bl w:val="nil"/>
            </w:tcBorders>
            <w:vAlign w:val="center"/>
          </w:tcPr>
          <w:p>
            <w:pPr>
              <w:spacing w:line="240" w:lineRule="auto"/>
              <w:jc w:val="center"/>
              <w:rPr>
                <w:rFonts w:hint="eastAsia"/>
                <w:i w:val="0"/>
                <w:iCs w:val="0"/>
                <w:sz w:val="24"/>
                <w:u w:val="none"/>
              </w:rPr>
            </w:pPr>
            <w:r>
              <w:rPr>
                <w:rFonts w:hint="eastAsia"/>
                <w:i w:val="0"/>
                <w:iCs w:val="0"/>
                <w:sz w:val="24"/>
                <w:u w:val="none"/>
                <w:lang w:val="en-US" w:eastAsia="zh-CN"/>
              </w:rPr>
              <w:t>水蒸气</w:t>
            </w:r>
          </w:p>
        </w:tc>
        <w:tc>
          <w:tcPr>
            <w:tcW w:w="2539" w:type="dxa"/>
            <w:tcBorders>
              <w:tl2br w:val="nil"/>
              <w:tr2bl w:val="nil"/>
            </w:tcBorders>
            <w:vAlign w:val="center"/>
          </w:tcPr>
          <w:p>
            <w:pPr>
              <w:spacing w:line="240" w:lineRule="auto"/>
              <w:jc w:val="center"/>
              <w:rPr>
                <w:rFonts w:hint="eastAsia" w:eastAsia="宋体"/>
                <w:i w:val="0"/>
                <w:iCs w:val="0"/>
                <w:sz w:val="24"/>
                <w:u w:val="none"/>
                <w:lang w:eastAsia="zh-CN"/>
              </w:rPr>
            </w:pPr>
            <w:r>
              <w:rPr>
                <w:rFonts w:hint="eastAsia"/>
                <w:i w:val="0"/>
                <w:iCs w:val="0"/>
                <w:sz w:val="24"/>
                <w:u w:val="none"/>
                <w:lang w:val="en-US" w:eastAsia="zh-CN"/>
              </w:rPr>
              <w:t>少量</w:t>
            </w:r>
          </w:p>
        </w:tc>
        <w:tc>
          <w:tcPr>
            <w:tcW w:w="2463" w:type="dxa"/>
            <w:tcBorders>
              <w:tl2br w:val="nil"/>
              <w:tr2bl w:val="nil"/>
            </w:tcBorders>
            <w:vAlign w:val="center"/>
          </w:tcPr>
          <w:p>
            <w:pPr>
              <w:spacing w:line="240" w:lineRule="auto"/>
              <w:jc w:val="center"/>
              <w:rPr>
                <w:rFonts w:hint="eastAsia" w:eastAsia="宋体"/>
                <w:i w:val="0"/>
                <w:iCs w:val="0"/>
                <w:sz w:val="24"/>
                <w:u w:val="none"/>
                <w:lang w:val="en-US" w:eastAsia="zh-CN"/>
              </w:rPr>
            </w:pPr>
            <w:r>
              <w:rPr>
                <w:rFonts w:hint="eastAsia"/>
                <w:i w:val="0"/>
                <w:iCs w:val="0"/>
                <w:sz w:val="24"/>
                <w:u w:val="none"/>
                <w:lang w:val="en-US" w:eastAsia="zh-CN"/>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eastAsia="宋体"/>
                <w:i w:val="0"/>
                <w:iCs w:val="0"/>
                <w:sz w:val="24"/>
                <w:u w:val="none"/>
                <w:lang w:eastAsia="zh-CN"/>
              </w:rPr>
            </w:pPr>
            <w:r>
              <w:rPr>
                <w:rFonts w:hint="eastAsia"/>
                <w:i w:val="0"/>
                <w:iCs w:val="0"/>
                <w:sz w:val="24"/>
                <w:u w:val="none"/>
                <w:lang w:val="en-US" w:eastAsia="zh-CN"/>
              </w:rPr>
              <w:t>排气筒P2</w:t>
            </w:r>
          </w:p>
        </w:tc>
        <w:tc>
          <w:tcPr>
            <w:tcW w:w="1299" w:type="dxa"/>
            <w:tcBorders>
              <w:tl2br w:val="nil"/>
              <w:tr2bl w:val="nil"/>
            </w:tcBorders>
            <w:vAlign w:val="center"/>
          </w:tcPr>
          <w:p>
            <w:pPr>
              <w:spacing w:line="240" w:lineRule="auto"/>
              <w:jc w:val="center"/>
              <w:rPr>
                <w:rFonts w:hint="eastAsia" w:eastAsia="宋体"/>
                <w:i w:val="0"/>
                <w:iCs w:val="0"/>
                <w:sz w:val="24"/>
                <w:u w:val="none"/>
                <w:lang w:val="en-US" w:eastAsia="zh-CN"/>
              </w:rPr>
            </w:pPr>
            <w:r>
              <w:rPr>
                <w:rFonts w:hint="eastAsia"/>
                <w:i w:val="0"/>
                <w:iCs w:val="0"/>
                <w:sz w:val="24"/>
                <w:u w:val="none"/>
                <w:lang w:val="en-US" w:eastAsia="zh-CN"/>
              </w:rPr>
              <w:t>颗粒物</w:t>
            </w:r>
          </w:p>
        </w:tc>
        <w:tc>
          <w:tcPr>
            <w:tcW w:w="2539" w:type="dxa"/>
            <w:tcBorders>
              <w:tl2br w:val="nil"/>
              <w:tr2bl w:val="nil"/>
            </w:tcBorders>
            <w:vAlign w:val="center"/>
          </w:tcPr>
          <w:p>
            <w:pPr>
              <w:spacing w:line="240" w:lineRule="auto"/>
              <w:jc w:val="center"/>
              <w:rPr>
                <w:rFonts w:hint="eastAsia" w:eastAsia="宋体"/>
                <w:i w:val="0"/>
                <w:iCs w:val="0"/>
                <w:sz w:val="24"/>
                <w:u w:val="none"/>
                <w:lang w:eastAsia="zh-CN"/>
              </w:rPr>
            </w:pPr>
            <w:r>
              <w:rPr>
                <w:rFonts w:hint="eastAsia"/>
                <w:i w:val="0"/>
                <w:iCs w:val="0"/>
                <w:sz w:val="24"/>
                <w:u w:val="none"/>
                <w:lang w:val="en-US" w:eastAsia="zh-CN"/>
              </w:rPr>
              <w:t>9.84</w:t>
            </w:r>
            <w:r>
              <w:rPr>
                <w:rFonts w:hint="default"/>
                <w:i w:val="0"/>
                <w:iCs w:val="0"/>
                <w:sz w:val="24"/>
                <w:u w:val="none"/>
              </w:rPr>
              <w:t>t/a</w:t>
            </w:r>
            <w:r>
              <w:rPr>
                <w:rFonts w:hint="eastAsia"/>
                <w:i w:val="0"/>
                <w:iCs w:val="0"/>
                <w:sz w:val="24"/>
                <w:u w:val="none"/>
                <w:lang w:eastAsia="zh-CN"/>
              </w:rPr>
              <w:t>，</w:t>
            </w:r>
            <w:r>
              <w:rPr>
                <w:rFonts w:hint="eastAsia"/>
                <w:sz w:val="24"/>
                <w:szCs w:val="24"/>
                <w:u w:val="none"/>
                <w:lang w:val="en-US" w:eastAsia="zh-CN"/>
              </w:rPr>
              <w:t>136.7</w:t>
            </w:r>
            <w:r>
              <w:rPr>
                <w:rFonts w:hint="eastAsia"/>
                <w:i w:val="0"/>
                <w:iCs w:val="0"/>
                <w:sz w:val="24"/>
                <w:u w:val="none"/>
                <w:lang w:val="en-US" w:eastAsia="zh-CN"/>
              </w:rPr>
              <w:t>mg/m</w:t>
            </w:r>
            <w:r>
              <w:rPr>
                <w:rFonts w:hint="eastAsia"/>
                <w:i w:val="0"/>
                <w:iCs w:val="0"/>
                <w:sz w:val="24"/>
                <w:u w:val="none"/>
                <w:vertAlign w:val="superscript"/>
                <w:lang w:val="en-US" w:eastAsia="zh-CN"/>
              </w:rPr>
              <w:t>3</w:t>
            </w:r>
          </w:p>
        </w:tc>
        <w:tc>
          <w:tcPr>
            <w:tcW w:w="2463" w:type="dxa"/>
            <w:tcBorders>
              <w:tl2br w:val="nil"/>
              <w:tr2bl w:val="nil"/>
            </w:tcBorders>
            <w:vAlign w:val="center"/>
          </w:tcPr>
          <w:p>
            <w:pPr>
              <w:spacing w:line="240" w:lineRule="auto"/>
              <w:jc w:val="center"/>
              <w:rPr>
                <w:rFonts w:hint="eastAsia" w:eastAsia="宋体"/>
                <w:i w:val="0"/>
                <w:iCs w:val="0"/>
                <w:sz w:val="24"/>
                <w:u w:val="none"/>
                <w:lang w:eastAsia="zh-CN"/>
              </w:rPr>
            </w:pPr>
            <w:r>
              <w:rPr>
                <w:rFonts w:hint="eastAsia"/>
                <w:i w:val="0"/>
                <w:iCs w:val="0"/>
                <w:sz w:val="24"/>
                <w:u w:val="none"/>
                <w:lang w:val="en-US" w:eastAsia="zh-CN"/>
              </w:rPr>
              <w:t>0.44</w:t>
            </w:r>
            <w:r>
              <w:rPr>
                <w:rFonts w:hint="default"/>
                <w:i w:val="0"/>
                <w:iCs w:val="0"/>
                <w:sz w:val="24"/>
                <w:u w:val="none"/>
              </w:rPr>
              <w:t>t/a</w:t>
            </w:r>
            <w:r>
              <w:rPr>
                <w:rFonts w:hint="eastAsia"/>
                <w:i w:val="0"/>
                <w:iCs w:val="0"/>
                <w:sz w:val="24"/>
                <w:u w:val="none"/>
                <w:lang w:eastAsia="zh-CN"/>
              </w:rPr>
              <w:t>，</w:t>
            </w:r>
            <w:r>
              <w:rPr>
                <w:rFonts w:hint="eastAsia"/>
                <w:sz w:val="24"/>
                <w:szCs w:val="24"/>
                <w:u w:val="none"/>
                <w:lang w:val="en-US" w:eastAsia="zh-CN"/>
              </w:rPr>
              <w:t>4.58</w:t>
            </w:r>
            <w:r>
              <w:rPr>
                <w:rFonts w:hint="eastAsia"/>
                <w:i w:val="0"/>
                <w:iCs w:val="0"/>
                <w:sz w:val="24"/>
                <w:u w:val="none"/>
                <w:lang w:val="en-US" w:eastAsia="zh-CN"/>
              </w:rPr>
              <w:t>mg/m</w:t>
            </w:r>
            <w:r>
              <w:rPr>
                <w:rFonts w:hint="eastAsia"/>
                <w:i w:val="0"/>
                <w:iCs w:val="0"/>
                <w:sz w:val="24"/>
                <w:u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restart"/>
            <w:tcBorders>
              <w:tl2br w:val="nil"/>
              <w:tr2bl w:val="nil"/>
            </w:tcBorders>
            <w:vAlign w:val="center"/>
          </w:tcPr>
          <w:p>
            <w:pPr>
              <w:spacing w:line="240" w:lineRule="auto"/>
              <w:jc w:val="center"/>
              <w:rPr>
                <w:rFonts w:hint="eastAsia"/>
                <w:i w:val="0"/>
                <w:iCs w:val="0"/>
                <w:sz w:val="24"/>
                <w:u w:val="none"/>
                <w:lang w:eastAsia="zh-CN"/>
              </w:rPr>
            </w:pPr>
            <w:r>
              <w:rPr>
                <w:rFonts w:hint="eastAsia"/>
                <w:i w:val="0"/>
                <w:iCs w:val="0"/>
                <w:sz w:val="24"/>
                <w:u w:val="none"/>
                <w:lang w:val="en-US" w:eastAsia="zh-CN"/>
              </w:rPr>
              <w:t>排气筒P3</w:t>
            </w:r>
          </w:p>
        </w:tc>
        <w:tc>
          <w:tcPr>
            <w:tcW w:w="1299" w:type="dxa"/>
            <w:tcBorders>
              <w:tl2br w:val="nil"/>
              <w:tr2bl w:val="nil"/>
            </w:tcBorders>
            <w:vAlign w:val="center"/>
          </w:tcPr>
          <w:p>
            <w:pPr>
              <w:spacing w:line="240" w:lineRule="auto"/>
              <w:jc w:val="center"/>
              <w:rPr>
                <w:rFonts w:hint="default" w:eastAsia="宋体"/>
                <w:i w:val="0"/>
                <w:iCs w:val="0"/>
                <w:sz w:val="24"/>
                <w:u w:val="none"/>
                <w:lang w:val="en-US" w:eastAsia="zh-CN"/>
              </w:rPr>
            </w:pPr>
            <w:r>
              <w:rPr>
                <w:rFonts w:hint="eastAsia"/>
                <w:i w:val="0"/>
                <w:iCs w:val="0"/>
                <w:sz w:val="24"/>
                <w:u w:val="none"/>
                <w:lang w:val="en-US" w:eastAsia="zh-CN"/>
              </w:rPr>
              <w:t>NH</w:t>
            </w:r>
            <w:r>
              <w:rPr>
                <w:rFonts w:hint="eastAsia"/>
                <w:i w:val="0"/>
                <w:iCs w:val="0"/>
                <w:sz w:val="24"/>
                <w:u w:val="none"/>
                <w:vertAlign w:val="subscript"/>
                <w:lang w:val="en-US" w:eastAsia="zh-CN"/>
              </w:rPr>
              <w:t>3</w:t>
            </w:r>
          </w:p>
        </w:tc>
        <w:tc>
          <w:tcPr>
            <w:tcW w:w="253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0.614</w:t>
            </w:r>
            <w:r>
              <w:rPr>
                <w:rFonts w:hint="default"/>
                <w:i w:val="0"/>
                <w:iCs w:val="0"/>
                <w:sz w:val="24"/>
                <w:u w:val="none"/>
                <w:lang w:val="en-US" w:eastAsia="zh-CN"/>
              </w:rPr>
              <w:t>t/a</w:t>
            </w:r>
            <w:r>
              <w:rPr>
                <w:rFonts w:hint="eastAsia"/>
                <w:i w:val="0"/>
                <w:iCs w:val="0"/>
                <w:sz w:val="24"/>
                <w:u w:val="none"/>
                <w:lang w:val="en-US" w:eastAsia="zh-CN"/>
              </w:rPr>
              <w:t>，51.2mg/m</w:t>
            </w:r>
            <w:r>
              <w:rPr>
                <w:rFonts w:hint="eastAsia"/>
                <w:i w:val="0"/>
                <w:iCs w:val="0"/>
                <w:sz w:val="24"/>
                <w:u w:val="none"/>
                <w:vertAlign w:val="superscript"/>
                <w:lang w:val="en-US" w:eastAsia="zh-CN"/>
              </w:rPr>
              <w:t>3</w:t>
            </w:r>
          </w:p>
        </w:tc>
        <w:tc>
          <w:tcPr>
            <w:tcW w:w="2463"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0.03t/a，2mg/m</w:t>
            </w:r>
            <w:r>
              <w:rPr>
                <w:rFonts w:hint="eastAsia"/>
                <w:i w:val="0"/>
                <w:iCs w:val="0"/>
                <w:sz w:val="24"/>
                <w:u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continue"/>
            <w:tcBorders>
              <w:tl2br w:val="nil"/>
              <w:tr2bl w:val="nil"/>
            </w:tcBorders>
            <w:vAlign w:val="center"/>
          </w:tcPr>
          <w:p>
            <w:pPr>
              <w:spacing w:line="240" w:lineRule="auto"/>
              <w:jc w:val="center"/>
              <w:rPr>
                <w:rFonts w:hint="eastAsia"/>
                <w:i w:val="0"/>
                <w:iCs w:val="0"/>
                <w:sz w:val="24"/>
                <w:u w:val="none"/>
                <w:lang w:val="en-US" w:eastAsia="zh-CN"/>
              </w:rPr>
            </w:pPr>
          </w:p>
        </w:tc>
        <w:tc>
          <w:tcPr>
            <w:tcW w:w="129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H</w:t>
            </w:r>
            <w:r>
              <w:rPr>
                <w:rFonts w:hint="eastAsia"/>
                <w:i w:val="0"/>
                <w:iCs w:val="0"/>
                <w:sz w:val="24"/>
                <w:u w:val="none"/>
                <w:vertAlign w:val="subscript"/>
                <w:lang w:val="en-US" w:eastAsia="zh-CN"/>
              </w:rPr>
              <w:t>2</w:t>
            </w:r>
            <w:r>
              <w:rPr>
                <w:rFonts w:hint="eastAsia"/>
                <w:i w:val="0"/>
                <w:iCs w:val="0"/>
                <w:sz w:val="24"/>
                <w:u w:val="none"/>
                <w:lang w:val="en-US" w:eastAsia="zh-CN"/>
              </w:rPr>
              <w:t>S</w:t>
            </w:r>
          </w:p>
        </w:tc>
        <w:tc>
          <w:tcPr>
            <w:tcW w:w="253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0.0192</w:t>
            </w:r>
            <w:r>
              <w:rPr>
                <w:rFonts w:hint="default"/>
                <w:i w:val="0"/>
                <w:iCs w:val="0"/>
                <w:sz w:val="24"/>
                <w:u w:val="none"/>
                <w:lang w:val="en-US" w:eastAsia="zh-CN"/>
              </w:rPr>
              <w:t>t/a</w:t>
            </w:r>
            <w:r>
              <w:rPr>
                <w:rFonts w:hint="eastAsia"/>
                <w:i w:val="0"/>
                <w:iCs w:val="0"/>
                <w:sz w:val="24"/>
                <w:u w:val="none"/>
                <w:lang w:val="en-US" w:eastAsia="zh-CN"/>
              </w:rPr>
              <w:t>，1.6mg/m</w:t>
            </w:r>
            <w:r>
              <w:rPr>
                <w:rFonts w:hint="eastAsia"/>
                <w:i w:val="0"/>
                <w:iCs w:val="0"/>
                <w:sz w:val="24"/>
                <w:u w:val="none"/>
                <w:vertAlign w:val="superscript"/>
                <w:lang w:val="en-US" w:eastAsia="zh-CN"/>
              </w:rPr>
              <w:t>3</w:t>
            </w:r>
          </w:p>
        </w:tc>
        <w:tc>
          <w:tcPr>
            <w:tcW w:w="2463"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0.0009t/a，0.08mg/m</w:t>
            </w:r>
            <w:r>
              <w:rPr>
                <w:rFonts w:hint="eastAsia"/>
                <w:i w:val="0"/>
                <w:iCs w:val="0"/>
                <w:sz w:val="24"/>
                <w:u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eastAsia="zh-CN"/>
              </w:rPr>
            </w:pPr>
            <w:r>
              <w:rPr>
                <w:rFonts w:hint="eastAsia"/>
                <w:i w:val="0"/>
                <w:iCs w:val="0"/>
                <w:sz w:val="24"/>
                <w:u w:val="none"/>
                <w:lang w:eastAsia="zh-CN"/>
              </w:rPr>
              <w:t>筒仓原料接收</w:t>
            </w:r>
          </w:p>
        </w:tc>
        <w:tc>
          <w:tcPr>
            <w:tcW w:w="1299" w:type="dxa"/>
            <w:tcBorders>
              <w:tl2br w:val="nil"/>
              <w:tr2bl w:val="nil"/>
            </w:tcBorders>
            <w:vAlign w:val="center"/>
          </w:tcPr>
          <w:p>
            <w:pPr>
              <w:spacing w:line="240" w:lineRule="auto"/>
              <w:jc w:val="center"/>
              <w:rPr>
                <w:rFonts w:hint="default"/>
                <w:i w:val="0"/>
                <w:iCs w:val="0"/>
                <w:sz w:val="24"/>
                <w:u w:val="none"/>
              </w:rPr>
            </w:pPr>
            <w:r>
              <w:rPr>
                <w:rFonts w:hint="eastAsia"/>
                <w:i w:val="0"/>
                <w:iCs w:val="0"/>
                <w:sz w:val="24"/>
                <w:u w:val="none"/>
                <w:lang w:val="en-US" w:eastAsia="zh-CN"/>
              </w:rPr>
              <w:t>颗粒物</w:t>
            </w:r>
          </w:p>
        </w:tc>
        <w:tc>
          <w:tcPr>
            <w:tcW w:w="2539" w:type="dxa"/>
            <w:tcBorders>
              <w:tl2br w:val="nil"/>
              <w:tr2bl w:val="nil"/>
            </w:tcBorders>
            <w:vAlign w:val="center"/>
          </w:tcPr>
          <w:p>
            <w:pPr>
              <w:spacing w:line="240" w:lineRule="auto"/>
              <w:jc w:val="center"/>
              <w:rPr>
                <w:rFonts w:hint="default" w:eastAsia="宋体"/>
                <w:i w:val="0"/>
                <w:iCs w:val="0"/>
                <w:sz w:val="24"/>
                <w:u w:val="none"/>
                <w:lang w:val="en-US" w:eastAsia="zh-CN"/>
              </w:rPr>
            </w:pPr>
            <w:r>
              <w:rPr>
                <w:rFonts w:hint="eastAsia"/>
                <w:i w:val="0"/>
                <w:iCs w:val="0"/>
                <w:sz w:val="24"/>
                <w:u w:val="none"/>
                <w:lang w:val="en-US" w:eastAsia="zh-CN"/>
              </w:rPr>
              <w:t>0.12</w:t>
            </w:r>
            <w:r>
              <w:rPr>
                <w:rFonts w:hint="default"/>
                <w:i w:val="0"/>
                <w:iCs w:val="0"/>
                <w:sz w:val="24"/>
                <w:u w:val="none"/>
              </w:rPr>
              <w:t>t/a</w:t>
            </w:r>
          </w:p>
        </w:tc>
        <w:tc>
          <w:tcPr>
            <w:tcW w:w="2463" w:type="dxa"/>
            <w:tcBorders>
              <w:tl2br w:val="nil"/>
              <w:tr2bl w:val="nil"/>
            </w:tcBorders>
            <w:vAlign w:val="center"/>
          </w:tcPr>
          <w:p>
            <w:pPr>
              <w:spacing w:line="240" w:lineRule="auto"/>
              <w:jc w:val="center"/>
              <w:rPr>
                <w:rFonts w:hint="eastAsia"/>
                <w:i w:val="0"/>
                <w:iCs w:val="0"/>
                <w:sz w:val="24"/>
                <w:u w:val="none"/>
              </w:rPr>
            </w:pPr>
            <w:r>
              <w:rPr>
                <w:rFonts w:hint="eastAsia"/>
                <w:i w:val="0"/>
                <w:iCs w:val="0"/>
                <w:sz w:val="24"/>
                <w:u w:val="none"/>
                <w:lang w:val="en-US" w:eastAsia="zh-CN"/>
              </w:rPr>
              <w:t>0.12</w:t>
            </w:r>
            <w:r>
              <w:rPr>
                <w:rFonts w:hint="default"/>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1#车间</w:t>
            </w:r>
          </w:p>
        </w:tc>
        <w:tc>
          <w:tcPr>
            <w:tcW w:w="1299" w:type="dxa"/>
            <w:tcBorders>
              <w:tl2br w:val="nil"/>
              <w:tr2bl w:val="nil"/>
            </w:tcBorders>
            <w:vAlign w:val="center"/>
          </w:tcPr>
          <w:p>
            <w:pPr>
              <w:spacing w:line="240" w:lineRule="auto"/>
              <w:jc w:val="center"/>
              <w:rPr>
                <w:rFonts w:hint="default"/>
                <w:i w:val="0"/>
                <w:iCs w:val="0"/>
                <w:sz w:val="24"/>
                <w:u w:val="none"/>
              </w:rPr>
            </w:pPr>
            <w:r>
              <w:rPr>
                <w:rFonts w:hint="eastAsia"/>
                <w:i w:val="0"/>
                <w:iCs w:val="0"/>
                <w:sz w:val="24"/>
                <w:u w:val="none"/>
                <w:lang w:val="en-US" w:eastAsia="zh-CN"/>
              </w:rPr>
              <w:t>颗粒物</w:t>
            </w:r>
          </w:p>
        </w:tc>
        <w:tc>
          <w:tcPr>
            <w:tcW w:w="2539" w:type="dxa"/>
            <w:tcBorders>
              <w:tl2br w:val="nil"/>
              <w:tr2bl w:val="nil"/>
            </w:tcBorders>
            <w:vAlign w:val="center"/>
          </w:tcPr>
          <w:p>
            <w:pPr>
              <w:spacing w:line="240" w:lineRule="auto"/>
              <w:jc w:val="center"/>
              <w:rPr>
                <w:rFonts w:hint="default" w:eastAsia="宋体"/>
                <w:i w:val="0"/>
                <w:iCs w:val="0"/>
                <w:sz w:val="24"/>
                <w:u w:val="none"/>
                <w:lang w:val="en-US" w:eastAsia="zh-CN"/>
              </w:rPr>
            </w:pPr>
            <w:r>
              <w:rPr>
                <w:rFonts w:hint="eastAsia"/>
                <w:i w:val="0"/>
                <w:iCs w:val="0"/>
                <w:sz w:val="24"/>
                <w:u w:val="none"/>
                <w:lang w:val="en-US" w:eastAsia="zh-CN"/>
              </w:rPr>
              <w:t>0.04</w:t>
            </w:r>
            <w:r>
              <w:rPr>
                <w:rFonts w:hint="default"/>
                <w:i w:val="0"/>
                <w:iCs w:val="0"/>
                <w:sz w:val="24"/>
                <w:u w:val="none"/>
              </w:rPr>
              <w:t>t/a</w:t>
            </w:r>
          </w:p>
        </w:tc>
        <w:tc>
          <w:tcPr>
            <w:tcW w:w="2463" w:type="dxa"/>
            <w:tcBorders>
              <w:tl2br w:val="nil"/>
              <w:tr2bl w:val="nil"/>
            </w:tcBorders>
            <w:vAlign w:val="center"/>
          </w:tcPr>
          <w:p>
            <w:pPr>
              <w:spacing w:line="240" w:lineRule="auto"/>
              <w:jc w:val="center"/>
              <w:rPr>
                <w:rFonts w:hint="eastAsia"/>
                <w:i w:val="0"/>
                <w:iCs w:val="0"/>
                <w:sz w:val="24"/>
                <w:u w:val="none"/>
              </w:rPr>
            </w:pPr>
            <w:r>
              <w:rPr>
                <w:rFonts w:hint="eastAsia"/>
                <w:i w:val="0"/>
                <w:iCs w:val="0"/>
                <w:sz w:val="24"/>
                <w:u w:val="none"/>
                <w:lang w:val="en-US" w:eastAsia="zh-CN"/>
              </w:rPr>
              <w:t>0.04</w:t>
            </w:r>
            <w:r>
              <w:rPr>
                <w:rFonts w:hint="default"/>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主车间</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颗粒物</w:t>
            </w:r>
          </w:p>
        </w:tc>
        <w:tc>
          <w:tcPr>
            <w:tcW w:w="253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0.984</w:t>
            </w:r>
            <w:r>
              <w:rPr>
                <w:rFonts w:hint="default"/>
                <w:i w:val="0"/>
                <w:iCs w:val="0"/>
                <w:sz w:val="24"/>
                <w:u w:val="none"/>
              </w:rPr>
              <w:t>t/a</w:t>
            </w:r>
          </w:p>
        </w:tc>
        <w:tc>
          <w:tcPr>
            <w:tcW w:w="2463"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0.984</w:t>
            </w:r>
            <w:r>
              <w:rPr>
                <w:rFonts w:hint="default"/>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restart"/>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2#车间</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NH</w:t>
            </w:r>
            <w:r>
              <w:rPr>
                <w:rFonts w:hint="eastAsia"/>
                <w:i w:val="0"/>
                <w:iCs w:val="0"/>
                <w:sz w:val="24"/>
                <w:u w:val="none"/>
                <w:vertAlign w:val="subscript"/>
                <w:lang w:val="en-US" w:eastAsia="zh-CN"/>
              </w:rPr>
              <w:t>3</w:t>
            </w:r>
          </w:p>
        </w:tc>
        <w:tc>
          <w:tcPr>
            <w:tcW w:w="253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0.0614</w:t>
            </w:r>
            <w:r>
              <w:rPr>
                <w:rFonts w:hint="default"/>
                <w:i w:val="0"/>
                <w:iCs w:val="0"/>
                <w:sz w:val="24"/>
                <w:u w:val="none"/>
              </w:rPr>
              <w:t>t/a</w:t>
            </w:r>
          </w:p>
        </w:tc>
        <w:tc>
          <w:tcPr>
            <w:tcW w:w="2463"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0.0614</w:t>
            </w:r>
            <w:r>
              <w:rPr>
                <w:rFonts w:hint="default"/>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continue"/>
            <w:tcBorders>
              <w:tl2br w:val="nil"/>
              <w:tr2bl w:val="nil"/>
            </w:tcBorders>
            <w:vAlign w:val="center"/>
          </w:tcPr>
          <w:p>
            <w:pPr>
              <w:spacing w:line="240" w:lineRule="auto"/>
              <w:jc w:val="center"/>
              <w:rPr>
                <w:rFonts w:hint="eastAsia"/>
                <w:i w:val="0"/>
                <w:iCs w:val="0"/>
                <w:sz w:val="24"/>
                <w:u w:val="none"/>
                <w:lang w:val="en-US" w:eastAsia="zh-CN"/>
              </w:rPr>
            </w:pP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H</w:t>
            </w:r>
            <w:r>
              <w:rPr>
                <w:rFonts w:hint="eastAsia"/>
                <w:i w:val="0"/>
                <w:iCs w:val="0"/>
                <w:sz w:val="24"/>
                <w:u w:val="none"/>
                <w:vertAlign w:val="subscript"/>
                <w:lang w:val="en-US" w:eastAsia="zh-CN"/>
              </w:rPr>
              <w:t>2</w:t>
            </w:r>
            <w:r>
              <w:rPr>
                <w:rFonts w:hint="eastAsia"/>
                <w:i w:val="0"/>
                <w:iCs w:val="0"/>
                <w:sz w:val="24"/>
                <w:u w:val="none"/>
                <w:lang w:val="en-US" w:eastAsia="zh-CN"/>
              </w:rPr>
              <w:t>S</w:t>
            </w:r>
          </w:p>
        </w:tc>
        <w:tc>
          <w:tcPr>
            <w:tcW w:w="253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0.00192</w:t>
            </w:r>
            <w:r>
              <w:rPr>
                <w:rFonts w:hint="default"/>
                <w:i w:val="0"/>
                <w:iCs w:val="0"/>
                <w:sz w:val="24"/>
                <w:u w:val="none"/>
              </w:rPr>
              <w:t>t/a</w:t>
            </w:r>
          </w:p>
        </w:tc>
        <w:tc>
          <w:tcPr>
            <w:tcW w:w="2463"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0.00192</w:t>
            </w:r>
            <w:r>
              <w:rPr>
                <w:rFonts w:hint="default"/>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食堂</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油烟</w:t>
            </w:r>
          </w:p>
        </w:tc>
        <w:tc>
          <w:tcPr>
            <w:tcW w:w="2539" w:type="dxa"/>
            <w:tcBorders>
              <w:tl2br w:val="nil"/>
              <w:tr2bl w:val="nil"/>
            </w:tcBorders>
            <w:vAlign w:val="center"/>
          </w:tcPr>
          <w:p>
            <w:pPr>
              <w:spacing w:line="240" w:lineRule="auto"/>
              <w:jc w:val="center"/>
              <w:rPr>
                <w:rFonts w:hint="default" w:eastAsia="宋体"/>
                <w:i w:val="0"/>
                <w:iCs w:val="0"/>
                <w:sz w:val="24"/>
                <w:u w:val="none"/>
                <w:lang w:val="en-US" w:eastAsia="zh-CN"/>
              </w:rPr>
            </w:pPr>
            <w:r>
              <w:rPr>
                <w:rFonts w:hint="eastAsia"/>
                <w:i w:val="0"/>
                <w:iCs w:val="0"/>
                <w:sz w:val="24"/>
                <w:u w:val="none"/>
                <w:lang w:val="en-US" w:eastAsia="zh-CN"/>
              </w:rPr>
              <w:t>0.017</w:t>
            </w:r>
            <w:r>
              <w:rPr>
                <w:rFonts w:hint="default"/>
                <w:i w:val="0"/>
                <w:iCs w:val="0"/>
                <w:sz w:val="24"/>
                <w:u w:val="none"/>
              </w:rPr>
              <w:t>t/a</w:t>
            </w:r>
            <w:r>
              <w:rPr>
                <w:rFonts w:hint="eastAsia"/>
                <w:i w:val="0"/>
                <w:iCs w:val="0"/>
                <w:sz w:val="24"/>
                <w:u w:val="none"/>
                <w:lang w:eastAsia="zh-CN"/>
              </w:rPr>
              <w:t>，</w:t>
            </w:r>
            <w:r>
              <w:rPr>
                <w:rFonts w:hint="eastAsia"/>
                <w:i w:val="0"/>
                <w:iCs w:val="0"/>
                <w:sz w:val="24"/>
                <w:u w:val="none"/>
                <w:lang w:val="en-US" w:eastAsia="zh-CN"/>
              </w:rPr>
              <w:t>7.5mg/m</w:t>
            </w:r>
            <w:r>
              <w:rPr>
                <w:rFonts w:hint="eastAsia"/>
                <w:i w:val="0"/>
                <w:iCs w:val="0"/>
                <w:sz w:val="24"/>
                <w:u w:val="none"/>
                <w:vertAlign w:val="superscript"/>
                <w:lang w:val="en-US" w:eastAsia="zh-CN"/>
              </w:rPr>
              <w:t>3</w:t>
            </w:r>
          </w:p>
        </w:tc>
        <w:tc>
          <w:tcPr>
            <w:tcW w:w="2463"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0.007</w:t>
            </w:r>
            <w:r>
              <w:rPr>
                <w:rFonts w:hint="default"/>
                <w:i w:val="0"/>
                <w:iCs w:val="0"/>
                <w:sz w:val="24"/>
                <w:u w:val="none"/>
              </w:rPr>
              <w:t>t/a</w:t>
            </w:r>
            <w:r>
              <w:rPr>
                <w:rFonts w:hint="eastAsia"/>
                <w:i w:val="0"/>
                <w:iCs w:val="0"/>
                <w:sz w:val="24"/>
                <w:u w:val="none"/>
                <w:lang w:eastAsia="zh-CN"/>
              </w:rPr>
              <w:t>，</w:t>
            </w:r>
            <w:r>
              <w:rPr>
                <w:rFonts w:hint="eastAsia"/>
                <w:i w:val="0"/>
                <w:iCs w:val="0"/>
                <w:sz w:val="24"/>
                <w:u w:val="none"/>
                <w:lang w:val="en-US" w:eastAsia="zh-CN"/>
              </w:rPr>
              <w:t>1.63mg/m</w:t>
            </w:r>
            <w:r>
              <w:rPr>
                <w:rFonts w:hint="eastAsia"/>
                <w:i w:val="0"/>
                <w:iCs w:val="0"/>
                <w:sz w:val="24"/>
                <w:u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21" w:type="dxa"/>
            <w:vMerge w:val="restart"/>
            <w:tcBorders>
              <w:tl2br w:val="nil"/>
              <w:tr2bl w:val="nil"/>
            </w:tcBorders>
            <w:vAlign w:val="center"/>
          </w:tcPr>
          <w:p>
            <w:pPr>
              <w:spacing w:line="360" w:lineRule="auto"/>
              <w:jc w:val="center"/>
              <w:rPr>
                <w:i w:val="0"/>
                <w:iCs w:val="0"/>
                <w:sz w:val="24"/>
                <w:u w:val="none"/>
              </w:rPr>
            </w:pPr>
            <w:r>
              <w:rPr>
                <w:i w:val="0"/>
                <w:iCs w:val="0"/>
                <w:sz w:val="24"/>
                <w:u w:val="none"/>
              </w:rPr>
              <w:t>水</w:t>
            </w:r>
          </w:p>
          <w:p>
            <w:pPr>
              <w:spacing w:line="360" w:lineRule="auto"/>
              <w:jc w:val="center"/>
              <w:rPr>
                <w:i w:val="0"/>
                <w:iCs w:val="0"/>
                <w:sz w:val="24"/>
                <w:u w:val="none"/>
              </w:rPr>
            </w:pPr>
            <w:r>
              <w:rPr>
                <w:i w:val="0"/>
                <w:iCs w:val="0"/>
                <w:sz w:val="24"/>
                <w:u w:val="none"/>
              </w:rPr>
              <w:t>污</w:t>
            </w:r>
          </w:p>
          <w:p>
            <w:pPr>
              <w:spacing w:line="360" w:lineRule="auto"/>
              <w:jc w:val="center"/>
              <w:rPr>
                <w:i w:val="0"/>
                <w:iCs w:val="0"/>
                <w:sz w:val="24"/>
                <w:u w:val="none"/>
              </w:rPr>
            </w:pPr>
            <w:r>
              <w:rPr>
                <w:i w:val="0"/>
                <w:iCs w:val="0"/>
                <w:sz w:val="24"/>
                <w:u w:val="none"/>
              </w:rPr>
              <w:t>染</w:t>
            </w:r>
          </w:p>
          <w:p>
            <w:pPr>
              <w:spacing w:line="360" w:lineRule="auto"/>
              <w:jc w:val="center"/>
              <w:rPr>
                <w:i w:val="0"/>
                <w:iCs w:val="0"/>
                <w:sz w:val="24"/>
                <w:u w:val="none"/>
              </w:rPr>
            </w:pPr>
            <w:r>
              <w:rPr>
                <w:i w:val="0"/>
                <w:iCs w:val="0"/>
                <w:sz w:val="24"/>
                <w:u w:val="none"/>
              </w:rPr>
              <w:t>物</w:t>
            </w:r>
          </w:p>
        </w:tc>
        <w:tc>
          <w:tcPr>
            <w:tcW w:w="1849" w:type="dxa"/>
            <w:vMerge w:val="restart"/>
            <w:tcBorders>
              <w:tl2br w:val="nil"/>
              <w:tr2bl w:val="nil"/>
            </w:tcBorders>
            <w:vAlign w:val="center"/>
          </w:tcPr>
          <w:p>
            <w:pPr>
              <w:spacing w:line="240" w:lineRule="atLeast"/>
              <w:jc w:val="center"/>
              <w:rPr>
                <w:i w:val="0"/>
                <w:iCs w:val="0"/>
                <w:sz w:val="24"/>
                <w:u w:val="none"/>
              </w:rPr>
            </w:pPr>
            <w:r>
              <w:rPr>
                <w:rFonts w:hint="eastAsia"/>
                <w:i w:val="0"/>
                <w:iCs w:val="0"/>
                <w:sz w:val="24"/>
                <w:u w:val="none"/>
              </w:rPr>
              <w:t>生活废水</w:t>
            </w:r>
          </w:p>
          <w:p>
            <w:pPr>
              <w:spacing w:line="240" w:lineRule="atLeast"/>
              <w:jc w:val="center"/>
              <w:rPr>
                <w:i w:val="0"/>
                <w:iCs w:val="0"/>
                <w:sz w:val="24"/>
                <w:u w:val="none"/>
              </w:rPr>
            </w:pPr>
            <w:r>
              <w:rPr>
                <w:rFonts w:hint="eastAsia"/>
                <w:i w:val="0"/>
                <w:iCs w:val="0"/>
                <w:sz w:val="24"/>
                <w:u w:val="none"/>
              </w:rPr>
              <w:t>（</w:t>
            </w:r>
            <w:r>
              <w:rPr>
                <w:rFonts w:hint="eastAsia"/>
                <w:i w:val="0"/>
                <w:iCs w:val="0"/>
                <w:sz w:val="24"/>
                <w:u w:val="none"/>
                <w:lang w:val="en-US" w:eastAsia="zh-CN"/>
              </w:rPr>
              <w:t>648</w:t>
            </w:r>
            <w:r>
              <w:rPr>
                <w:rFonts w:hint="eastAsia"/>
                <w:i w:val="0"/>
                <w:iCs w:val="0"/>
                <w:sz w:val="24"/>
                <w:u w:val="none"/>
              </w:rPr>
              <w:t>m</w:t>
            </w:r>
            <w:r>
              <w:rPr>
                <w:rFonts w:hint="eastAsia"/>
                <w:i w:val="0"/>
                <w:iCs w:val="0"/>
                <w:sz w:val="24"/>
                <w:u w:val="none"/>
                <w:vertAlign w:val="superscript"/>
              </w:rPr>
              <w:t>3</w:t>
            </w:r>
            <w:r>
              <w:rPr>
                <w:i w:val="0"/>
                <w:iCs w:val="0"/>
                <w:sz w:val="24"/>
                <w:u w:val="none"/>
              </w:rPr>
              <w:t>/a</w:t>
            </w:r>
            <w:r>
              <w:rPr>
                <w:rFonts w:hint="eastAsia"/>
                <w:i w:val="0"/>
                <w:iCs w:val="0"/>
                <w:sz w:val="24"/>
                <w:u w:val="none"/>
              </w:rPr>
              <w:t>）</w:t>
            </w:r>
          </w:p>
        </w:tc>
        <w:tc>
          <w:tcPr>
            <w:tcW w:w="1299" w:type="dxa"/>
            <w:tcBorders>
              <w:tl2br w:val="nil"/>
              <w:tr2bl w:val="nil"/>
            </w:tcBorders>
            <w:vAlign w:val="center"/>
          </w:tcPr>
          <w:p>
            <w:pPr>
              <w:spacing w:line="360" w:lineRule="auto"/>
              <w:jc w:val="center"/>
              <w:rPr>
                <w:i w:val="0"/>
                <w:iCs w:val="0"/>
                <w:sz w:val="24"/>
                <w:u w:val="none"/>
              </w:rPr>
            </w:pPr>
            <w:r>
              <w:rPr>
                <w:i w:val="0"/>
                <w:iCs w:val="0"/>
                <w:sz w:val="24"/>
                <w:u w:val="none"/>
              </w:rPr>
              <w:t>COD</w:t>
            </w:r>
            <w:r>
              <w:rPr>
                <w:rFonts w:hint="eastAsia"/>
                <w:i w:val="0"/>
                <w:iCs w:val="0"/>
                <w:sz w:val="24"/>
                <w:u w:val="none"/>
                <w:vertAlign w:val="subscript"/>
              </w:rPr>
              <w:t>Cr</w:t>
            </w:r>
          </w:p>
        </w:tc>
        <w:tc>
          <w:tcPr>
            <w:tcW w:w="2539" w:type="dxa"/>
            <w:tcBorders>
              <w:tl2br w:val="nil"/>
              <w:tr2bl w:val="nil"/>
            </w:tcBorders>
            <w:vAlign w:val="center"/>
          </w:tcPr>
          <w:p>
            <w:pPr>
              <w:spacing w:line="360" w:lineRule="auto"/>
              <w:jc w:val="center"/>
              <w:rPr>
                <w:i w:val="0"/>
                <w:iCs w:val="0"/>
                <w:sz w:val="24"/>
                <w:u w:val="none"/>
              </w:rPr>
            </w:pPr>
            <w:r>
              <w:rPr>
                <w:rFonts w:hint="eastAsia"/>
                <w:i w:val="0"/>
                <w:iCs w:val="0"/>
                <w:sz w:val="24"/>
                <w:u w:val="none"/>
              </w:rPr>
              <w:t>300mg/L</w:t>
            </w:r>
            <w:r>
              <w:rPr>
                <w:rFonts w:hint="eastAsia"/>
                <w:i w:val="0"/>
                <w:iCs w:val="0"/>
                <w:sz w:val="24"/>
                <w:u w:val="none"/>
                <w:lang w:eastAsia="zh-CN"/>
              </w:rPr>
              <w:t>，</w:t>
            </w:r>
            <w:r>
              <w:rPr>
                <w:rFonts w:hint="eastAsia"/>
                <w:i w:val="0"/>
                <w:iCs w:val="0"/>
                <w:sz w:val="24"/>
                <w:u w:val="none"/>
                <w:lang w:val="en-US" w:eastAsia="zh-CN"/>
              </w:rPr>
              <w:t>0.24</w:t>
            </w:r>
            <w:r>
              <w:rPr>
                <w:rFonts w:hint="eastAsia"/>
                <w:i w:val="0"/>
                <w:iCs w:val="0"/>
                <w:sz w:val="24"/>
                <w:u w:val="none"/>
              </w:rPr>
              <w:t>t/a</w:t>
            </w:r>
          </w:p>
        </w:tc>
        <w:tc>
          <w:tcPr>
            <w:tcW w:w="2463" w:type="dxa"/>
            <w:tcBorders>
              <w:tl2br w:val="nil"/>
              <w:tr2bl w:val="nil"/>
            </w:tcBorders>
            <w:vAlign w:val="center"/>
          </w:tcPr>
          <w:p>
            <w:pPr>
              <w:spacing w:line="360" w:lineRule="auto"/>
              <w:jc w:val="center"/>
              <w:rPr>
                <w:rFonts w:hint="eastAsia" w:eastAsia="宋体"/>
                <w:i w:val="0"/>
                <w:iCs w:val="0"/>
                <w:sz w:val="24"/>
                <w:u w:val="none"/>
                <w:lang w:eastAsia="zh-CN"/>
              </w:rPr>
            </w:pPr>
            <w:r>
              <w:rPr>
                <w:rFonts w:hint="eastAsia"/>
                <w:i w:val="0"/>
                <w:iCs w:val="0"/>
                <w:sz w:val="24"/>
                <w:u w:val="none"/>
                <w:lang w:val="en-US" w:eastAsia="zh-CN"/>
              </w:rPr>
              <w:t>200</w:t>
            </w:r>
            <w:r>
              <w:rPr>
                <w:rFonts w:hint="eastAsia"/>
                <w:i w:val="0"/>
                <w:iCs w:val="0"/>
                <w:sz w:val="24"/>
                <w:u w:val="none"/>
              </w:rPr>
              <w:t>mg/L</w:t>
            </w:r>
            <w:r>
              <w:rPr>
                <w:rFonts w:hint="eastAsia"/>
                <w:i w:val="0"/>
                <w:iCs w:val="0"/>
                <w:sz w:val="24"/>
                <w:u w:val="none"/>
                <w:lang w:eastAsia="zh-CN"/>
              </w:rPr>
              <w:t>，</w:t>
            </w:r>
            <w:r>
              <w:rPr>
                <w:rFonts w:hint="eastAsia"/>
                <w:i w:val="0"/>
                <w:iCs w:val="0"/>
                <w:sz w:val="24"/>
                <w:u w:val="none"/>
                <w:lang w:val="en-US" w:eastAsia="zh-CN"/>
              </w:rPr>
              <w:t>0.16</w:t>
            </w:r>
            <w:r>
              <w:rPr>
                <w:rFonts w:hint="eastAsia"/>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continue"/>
            <w:tcBorders>
              <w:tl2br w:val="nil"/>
              <w:tr2bl w:val="nil"/>
            </w:tcBorders>
            <w:vAlign w:val="center"/>
          </w:tcPr>
          <w:p>
            <w:pPr>
              <w:spacing w:line="240" w:lineRule="atLeast"/>
              <w:jc w:val="center"/>
              <w:rPr>
                <w:i w:val="0"/>
                <w:iCs w:val="0"/>
                <w:sz w:val="24"/>
                <w:u w:val="none"/>
              </w:rPr>
            </w:pPr>
          </w:p>
        </w:tc>
        <w:tc>
          <w:tcPr>
            <w:tcW w:w="1299" w:type="dxa"/>
            <w:tcBorders>
              <w:tl2br w:val="nil"/>
              <w:tr2bl w:val="nil"/>
            </w:tcBorders>
            <w:vAlign w:val="center"/>
          </w:tcPr>
          <w:p>
            <w:pPr>
              <w:spacing w:line="360" w:lineRule="auto"/>
              <w:jc w:val="center"/>
              <w:rPr>
                <w:i w:val="0"/>
                <w:iCs w:val="0"/>
                <w:sz w:val="24"/>
                <w:u w:val="none"/>
              </w:rPr>
            </w:pPr>
            <w:r>
              <w:rPr>
                <w:i w:val="0"/>
                <w:iCs w:val="0"/>
                <w:sz w:val="24"/>
                <w:u w:val="none"/>
              </w:rPr>
              <w:t>BOD</w:t>
            </w:r>
            <w:r>
              <w:rPr>
                <w:i w:val="0"/>
                <w:iCs w:val="0"/>
                <w:sz w:val="24"/>
                <w:u w:val="none"/>
                <w:vertAlign w:val="subscript"/>
              </w:rPr>
              <w:t>5</w:t>
            </w:r>
          </w:p>
        </w:tc>
        <w:tc>
          <w:tcPr>
            <w:tcW w:w="2539" w:type="dxa"/>
            <w:tcBorders>
              <w:tl2br w:val="nil"/>
              <w:tr2bl w:val="nil"/>
            </w:tcBorders>
            <w:vAlign w:val="center"/>
          </w:tcPr>
          <w:p>
            <w:pPr>
              <w:spacing w:line="360" w:lineRule="auto"/>
              <w:jc w:val="center"/>
              <w:rPr>
                <w:i w:val="0"/>
                <w:iCs w:val="0"/>
                <w:sz w:val="24"/>
                <w:u w:val="none"/>
              </w:rPr>
            </w:pPr>
            <w:r>
              <w:rPr>
                <w:rFonts w:hint="eastAsia"/>
                <w:i w:val="0"/>
                <w:iCs w:val="0"/>
                <w:sz w:val="24"/>
                <w:u w:val="none"/>
              </w:rPr>
              <w:t>180mg/L</w:t>
            </w:r>
            <w:r>
              <w:rPr>
                <w:rFonts w:hint="eastAsia"/>
                <w:i w:val="0"/>
                <w:iCs w:val="0"/>
                <w:sz w:val="24"/>
                <w:u w:val="none"/>
                <w:lang w:eastAsia="zh-CN"/>
              </w:rPr>
              <w:t>，</w:t>
            </w:r>
            <w:r>
              <w:rPr>
                <w:rFonts w:hint="eastAsia"/>
                <w:i w:val="0"/>
                <w:iCs w:val="0"/>
                <w:sz w:val="24"/>
                <w:u w:val="none"/>
                <w:lang w:val="en-US" w:eastAsia="zh-CN"/>
              </w:rPr>
              <w:t>0.15</w:t>
            </w:r>
            <w:r>
              <w:rPr>
                <w:rFonts w:hint="eastAsia"/>
                <w:i w:val="0"/>
                <w:iCs w:val="0"/>
                <w:sz w:val="24"/>
                <w:u w:val="none"/>
              </w:rPr>
              <w:t>t/a</w:t>
            </w:r>
          </w:p>
        </w:tc>
        <w:tc>
          <w:tcPr>
            <w:tcW w:w="2463" w:type="dxa"/>
            <w:tcBorders>
              <w:tl2br w:val="nil"/>
              <w:tr2bl w:val="nil"/>
            </w:tcBorders>
            <w:vAlign w:val="center"/>
          </w:tcPr>
          <w:p>
            <w:pPr>
              <w:spacing w:line="360" w:lineRule="auto"/>
              <w:jc w:val="center"/>
              <w:rPr>
                <w:i w:val="0"/>
                <w:iCs w:val="0"/>
                <w:sz w:val="24"/>
                <w:u w:val="none"/>
              </w:rPr>
            </w:pPr>
            <w:r>
              <w:rPr>
                <w:rFonts w:hint="eastAsia"/>
                <w:i w:val="0"/>
                <w:iCs w:val="0"/>
                <w:sz w:val="24"/>
                <w:u w:val="none"/>
                <w:lang w:val="en-US" w:eastAsia="zh-CN"/>
              </w:rPr>
              <w:t>150</w:t>
            </w:r>
            <w:r>
              <w:rPr>
                <w:rFonts w:hint="eastAsia"/>
                <w:i w:val="0"/>
                <w:iCs w:val="0"/>
                <w:sz w:val="24"/>
                <w:u w:val="none"/>
              </w:rPr>
              <w:t>mg/L</w:t>
            </w:r>
            <w:r>
              <w:rPr>
                <w:rFonts w:hint="eastAsia"/>
                <w:i w:val="0"/>
                <w:iCs w:val="0"/>
                <w:sz w:val="24"/>
                <w:u w:val="none"/>
                <w:lang w:eastAsia="zh-CN"/>
              </w:rPr>
              <w:t>，</w:t>
            </w:r>
            <w:r>
              <w:rPr>
                <w:rFonts w:hint="eastAsia"/>
                <w:i w:val="0"/>
                <w:iCs w:val="0"/>
                <w:sz w:val="24"/>
                <w:u w:val="none"/>
                <w:lang w:val="en-US" w:eastAsia="zh-CN"/>
              </w:rPr>
              <w:t>0.10</w:t>
            </w:r>
            <w:r>
              <w:rPr>
                <w:rFonts w:hint="eastAsia"/>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continue"/>
            <w:tcBorders>
              <w:tl2br w:val="nil"/>
              <w:tr2bl w:val="nil"/>
            </w:tcBorders>
            <w:vAlign w:val="center"/>
          </w:tcPr>
          <w:p>
            <w:pPr>
              <w:spacing w:line="240" w:lineRule="atLeast"/>
              <w:jc w:val="center"/>
              <w:rPr>
                <w:i w:val="0"/>
                <w:iCs w:val="0"/>
                <w:sz w:val="24"/>
                <w:u w:val="none"/>
              </w:rPr>
            </w:pPr>
          </w:p>
        </w:tc>
        <w:tc>
          <w:tcPr>
            <w:tcW w:w="1299" w:type="dxa"/>
            <w:tcBorders>
              <w:tl2br w:val="nil"/>
              <w:tr2bl w:val="nil"/>
            </w:tcBorders>
            <w:vAlign w:val="center"/>
          </w:tcPr>
          <w:p>
            <w:pPr>
              <w:spacing w:line="360" w:lineRule="auto"/>
              <w:jc w:val="center"/>
              <w:rPr>
                <w:i w:val="0"/>
                <w:iCs w:val="0"/>
                <w:sz w:val="24"/>
                <w:u w:val="none"/>
              </w:rPr>
            </w:pPr>
            <w:r>
              <w:rPr>
                <w:i w:val="0"/>
                <w:iCs w:val="0"/>
                <w:sz w:val="24"/>
                <w:u w:val="none"/>
              </w:rPr>
              <w:t>SS</w:t>
            </w:r>
          </w:p>
        </w:tc>
        <w:tc>
          <w:tcPr>
            <w:tcW w:w="2539" w:type="dxa"/>
            <w:tcBorders>
              <w:tl2br w:val="nil"/>
              <w:tr2bl w:val="nil"/>
            </w:tcBorders>
            <w:vAlign w:val="center"/>
          </w:tcPr>
          <w:p>
            <w:pPr>
              <w:spacing w:line="360" w:lineRule="auto"/>
              <w:jc w:val="center"/>
              <w:rPr>
                <w:i w:val="0"/>
                <w:iCs w:val="0"/>
                <w:sz w:val="24"/>
                <w:u w:val="none"/>
              </w:rPr>
            </w:pPr>
            <w:r>
              <w:rPr>
                <w:rFonts w:hint="eastAsia"/>
                <w:i w:val="0"/>
                <w:iCs w:val="0"/>
                <w:sz w:val="24"/>
                <w:u w:val="none"/>
                <w:lang w:val="en-US" w:eastAsia="zh-CN"/>
              </w:rPr>
              <w:t>200</w:t>
            </w:r>
            <w:r>
              <w:rPr>
                <w:rFonts w:hint="eastAsia"/>
                <w:i w:val="0"/>
                <w:iCs w:val="0"/>
                <w:sz w:val="24"/>
                <w:u w:val="none"/>
              </w:rPr>
              <w:t>mg/L</w:t>
            </w:r>
            <w:r>
              <w:rPr>
                <w:rFonts w:hint="eastAsia"/>
                <w:i w:val="0"/>
                <w:iCs w:val="0"/>
                <w:sz w:val="24"/>
                <w:u w:val="none"/>
                <w:lang w:eastAsia="zh-CN"/>
              </w:rPr>
              <w:t>，</w:t>
            </w:r>
            <w:r>
              <w:rPr>
                <w:rFonts w:hint="eastAsia"/>
                <w:i w:val="0"/>
                <w:iCs w:val="0"/>
                <w:sz w:val="24"/>
                <w:u w:val="none"/>
                <w:lang w:val="en-US" w:eastAsia="zh-CN"/>
              </w:rPr>
              <w:t>0.16</w:t>
            </w:r>
            <w:r>
              <w:rPr>
                <w:rFonts w:hint="eastAsia"/>
                <w:i w:val="0"/>
                <w:iCs w:val="0"/>
                <w:sz w:val="24"/>
                <w:u w:val="none"/>
              </w:rPr>
              <w:t>t/a</w:t>
            </w:r>
          </w:p>
        </w:tc>
        <w:tc>
          <w:tcPr>
            <w:tcW w:w="2463" w:type="dxa"/>
            <w:tcBorders>
              <w:tl2br w:val="nil"/>
              <w:tr2bl w:val="nil"/>
            </w:tcBorders>
            <w:vAlign w:val="center"/>
          </w:tcPr>
          <w:p>
            <w:pPr>
              <w:spacing w:line="360" w:lineRule="auto"/>
              <w:jc w:val="center"/>
              <w:rPr>
                <w:i w:val="0"/>
                <w:iCs w:val="0"/>
                <w:sz w:val="24"/>
                <w:u w:val="none"/>
              </w:rPr>
            </w:pPr>
            <w:r>
              <w:rPr>
                <w:rFonts w:hint="eastAsia"/>
                <w:i w:val="0"/>
                <w:iCs w:val="0"/>
                <w:sz w:val="24"/>
                <w:u w:val="none"/>
                <w:lang w:val="en-US" w:eastAsia="zh-CN"/>
              </w:rPr>
              <w:t>100</w:t>
            </w:r>
            <w:r>
              <w:rPr>
                <w:rFonts w:hint="eastAsia"/>
                <w:i w:val="0"/>
                <w:iCs w:val="0"/>
                <w:sz w:val="24"/>
                <w:u w:val="none"/>
              </w:rPr>
              <w:t>mg/L</w:t>
            </w:r>
            <w:r>
              <w:rPr>
                <w:rFonts w:hint="eastAsia"/>
                <w:i w:val="0"/>
                <w:iCs w:val="0"/>
                <w:sz w:val="24"/>
                <w:u w:val="none"/>
                <w:lang w:eastAsia="zh-CN"/>
              </w:rPr>
              <w:t>，</w:t>
            </w:r>
            <w:r>
              <w:rPr>
                <w:rFonts w:hint="eastAsia"/>
                <w:i w:val="0"/>
                <w:iCs w:val="0"/>
                <w:sz w:val="24"/>
                <w:u w:val="none"/>
                <w:lang w:val="en-US" w:eastAsia="zh-CN"/>
              </w:rPr>
              <w:t>0.12</w:t>
            </w:r>
            <w:r>
              <w:rPr>
                <w:rFonts w:hint="eastAsia"/>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vMerge w:val="continue"/>
            <w:tcBorders>
              <w:tl2br w:val="nil"/>
              <w:tr2bl w:val="nil"/>
            </w:tcBorders>
            <w:vAlign w:val="center"/>
          </w:tcPr>
          <w:p>
            <w:pPr>
              <w:spacing w:line="240" w:lineRule="atLeast"/>
              <w:jc w:val="center"/>
              <w:rPr>
                <w:i w:val="0"/>
                <w:iCs w:val="0"/>
                <w:sz w:val="24"/>
                <w:u w:val="none"/>
              </w:rPr>
            </w:pPr>
          </w:p>
        </w:tc>
        <w:tc>
          <w:tcPr>
            <w:tcW w:w="1299" w:type="dxa"/>
            <w:tcBorders>
              <w:tl2br w:val="nil"/>
              <w:tr2bl w:val="nil"/>
            </w:tcBorders>
            <w:vAlign w:val="center"/>
          </w:tcPr>
          <w:p>
            <w:pPr>
              <w:spacing w:line="360" w:lineRule="auto"/>
              <w:jc w:val="center"/>
              <w:rPr>
                <w:i w:val="0"/>
                <w:iCs w:val="0"/>
                <w:sz w:val="24"/>
                <w:u w:val="none"/>
              </w:rPr>
            </w:pPr>
            <w:r>
              <w:rPr>
                <w:i w:val="0"/>
                <w:iCs w:val="0"/>
                <w:sz w:val="24"/>
                <w:u w:val="none"/>
              </w:rPr>
              <w:t>氨氮</w:t>
            </w:r>
          </w:p>
        </w:tc>
        <w:tc>
          <w:tcPr>
            <w:tcW w:w="2539" w:type="dxa"/>
            <w:tcBorders>
              <w:tl2br w:val="nil"/>
              <w:tr2bl w:val="nil"/>
            </w:tcBorders>
            <w:vAlign w:val="center"/>
          </w:tcPr>
          <w:p>
            <w:pPr>
              <w:spacing w:line="360" w:lineRule="auto"/>
              <w:jc w:val="center"/>
              <w:rPr>
                <w:i w:val="0"/>
                <w:iCs w:val="0"/>
                <w:sz w:val="24"/>
                <w:u w:val="none"/>
              </w:rPr>
            </w:pPr>
            <w:r>
              <w:rPr>
                <w:rFonts w:hint="eastAsia"/>
                <w:i w:val="0"/>
                <w:iCs w:val="0"/>
                <w:sz w:val="24"/>
                <w:u w:val="none"/>
                <w:lang w:val="en-US" w:eastAsia="zh-CN"/>
              </w:rPr>
              <w:t>25</w:t>
            </w:r>
            <w:r>
              <w:rPr>
                <w:rFonts w:hint="eastAsia"/>
                <w:i w:val="0"/>
                <w:iCs w:val="0"/>
                <w:sz w:val="24"/>
                <w:u w:val="none"/>
              </w:rPr>
              <w:t>mg/L</w:t>
            </w:r>
            <w:r>
              <w:rPr>
                <w:rFonts w:hint="eastAsia"/>
                <w:i w:val="0"/>
                <w:iCs w:val="0"/>
                <w:sz w:val="24"/>
                <w:u w:val="none"/>
                <w:lang w:eastAsia="zh-CN"/>
              </w:rPr>
              <w:t>，</w:t>
            </w:r>
            <w:r>
              <w:rPr>
                <w:rFonts w:hint="eastAsia"/>
                <w:i w:val="0"/>
                <w:iCs w:val="0"/>
                <w:sz w:val="24"/>
                <w:u w:val="none"/>
                <w:lang w:val="en-US" w:eastAsia="zh-CN"/>
              </w:rPr>
              <w:t>0.02</w:t>
            </w:r>
            <w:r>
              <w:rPr>
                <w:rFonts w:hint="eastAsia"/>
                <w:i w:val="0"/>
                <w:iCs w:val="0"/>
                <w:sz w:val="24"/>
                <w:u w:val="none"/>
              </w:rPr>
              <w:t>t/a</w:t>
            </w:r>
          </w:p>
        </w:tc>
        <w:tc>
          <w:tcPr>
            <w:tcW w:w="2463" w:type="dxa"/>
            <w:tcBorders>
              <w:tl2br w:val="nil"/>
              <w:tr2bl w:val="nil"/>
            </w:tcBorders>
            <w:vAlign w:val="center"/>
          </w:tcPr>
          <w:p>
            <w:pPr>
              <w:spacing w:line="360" w:lineRule="auto"/>
              <w:jc w:val="center"/>
              <w:rPr>
                <w:i w:val="0"/>
                <w:iCs w:val="0"/>
                <w:sz w:val="24"/>
                <w:u w:val="none"/>
              </w:rPr>
            </w:pPr>
            <w:r>
              <w:rPr>
                <w:rFonts w:hint="eastAsia"/>
                <w:i w:val="0"/>
                <w:iCs w:val="0"/>
                <w:sz w:val="24"/>
                <w:u w:val="none"/>
                <w:lang w:val="en-US" w:eastAsia="zh-CN"/>
              </w:rPr>
              <w:t>20</w:t>
            </w:r>
            <w:r>
              <w:rPr>
                <w:rFonts w:hint="eastAsia"/>
                <w:i w:val="0"/>
                <w:iCs w:val="0"/>
                <w:sz w:val="24"/>
                <w:u w:val="none"/>
              </w:rPr>
              <w:t>mg/L</w:t>
            </w:r>
            <w:r>
              <w:rPr>
                <w:rFonts w:hint="eastAsia"/>
                <w:i w:val="0"/>
                <w:iCs w:val="0"/>
                <w:sz w:val="24"/>
                <w:u w:val="none"/>
                <w:lang w:eastAsia="zh-CN"/>
              </w:rPr>
              <w:t>，</w:t>
            </w:r>
            <w:r>
              <w:rPr>
                <w:rFonts w:hint="eastAsia"/>
                <w:i w:val="0"/>
                <w:iCs w:val="0"/>
                <w:sz w:val="24"/>
                <w:u w:val="none"/>
                <w:lang w:val="en-US" w:eastAsia="zh-CN"/>
              </w:rPr>
              <w:t>0.016</w:t>
            </w:r>
            <w:r>
              <w:rPr>
                <w:rFonts w:hint="eastAsia"/>
                <w:i w:val="0"/>
                <w:iCs w:val="0"/>
                <w:sz w:val="24"/>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21" w:type="dxa"/>
            <w:vMerge w:val="restart"/>
            <w:tcBorders>
              <w:tl2br w:val="nil"/>
              <w:tr2bl w:val="nil"/>
            </w:tcBorders>
            <w:vAlign w:val="center"/>
          </w:tcPr>
          <w:p>
            <w:pPr>
              <w:spacing w:line="360" w:lineRule="auto"/>
              <w:jc w:val="center"/>
              <w:rPr>
                <w:i w:val="0"/>
                <w:iCs w:val="0"/>
                <w:sz w:val="24"/>
                <w:u w:val="none"/>
              </w:rPr>
            </w:pPr>
            <w:r>
              <w:rPr>
                <w:i w:val="0"/>
                <w:iCs w:val="0"/>
                <w:sz w:val="24"/>
                <w:u w:val="none"/>
              </w:rPr>
              <w:t>固</w:t>
            </w:r>
          </w:p>
          <w:p>
            <w:pPr>
              <w:spacing w:line="360" w:lineRule="auto"/>
              <w:jc w:val="center"/>
              <w:rPr>
                <w:i w:val="0"/>
                <w:iCs w:val="0"/>
                <w:sz w:val="24"/>
                <w:u w:val="none"/>
              </w:rPr>
            </w:pPr>
            <w:r>
              <w:rPr>
                <w:i w:val="0"/>
                <w:iCs w:val="0"/>
                <w:sz w:val="24"/>
                <w:u w:val="none"/>
              </w:rPr>
              <w:t>体</w:t>
            </w:r>
          </w:p>
          <w:p>
            <w:pPr>
              <w:spacing w:line="360" w:lineRule="auto"/>
              <w:jc w:val="center"/>
              <w:rPr>
                <w:i w:val="0"/>
                <w:iCs w:val="0"/>
                <w:sz w:val="24"/>
                <w:u w:val="none"/>
              </w:rPr>
            </w:pPr>
            <w:r>
              <w:rPr>
                <w:i w:val="0"/>
                <w:iCs w:val="0"/>
                <w:sz w:val="24"/>
                <w:u w:val="none"/>
              </w:rPr>
              <w:t>废</w:t>
            </w:r>
          </w:p>
          <w:p>
            <w:pPr>
              <w:spacing w:line="360" w:lineRule="auto"/>
              <w:jc w:val="center"/>
              <w:rPr>
                <w:i w:val="0"/>
                <w:iCs w:val="0"/>
                <w:sz w:val="24"/>
                <w:u w:val="none"/>
              </w:rPr>
            </w:pPr>
            <w:r>
              <w:rPr>
                <w:i w:val="0"/>
                <w:iCs w:val="0"/>
                <w:sz w:val="24"/>
                <w:u w:val="none"/>
              </w:rPr>
              <w:t>物</w:t>
            </w: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原料初清</w:t>
            </w:r>
          </w:p>
        </w:tc>
        <w:tc>
          <w:tcPr>
            <w:tcW w:w="1299" w:type="dxa"/>
            <w:vMerge w:val="restart"/>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杂质</w:t>
            </w:r>
          </w:p>
        </w:tc>
        <w:tc>
          <w:tcPr>
            <w:tcW w:w="2539" w:type="dxa"/>
            <w:tcBorders>
              <w:tl2br w:val="nil"/>
              <w:tr2bl w:val="nil"/>
            </w:tcBorders>
            <w:vAlign w:val="center"/>
          </w:tcPr>
          <w:p>
            <w:pPr>
              <w:spacing w:line="360" w:lineRule="auto"/>
              <w:jc w:val="center"/>
              <w:rPr>
                <w:rFonts w:hint="eastAsia"/>
                <w:i w:val="0"/>
                <w:iCs w:val="0"/>
                <w:sz w:val="24"/>
                <w:u w:val="none"/>
                <w:lang w:val="en-US" w:eastAsia="zh-CN"/>
              </w:rPr>
            </w:pPr>
            <w:r>
              <w:rPr>
                <w:rFonts w:hint="eastAsia"/>
                <w:i w:val="0"/>
                <w:iCs w:val="0"/>
                <w:sz w:val="24"/>
                <w:u w:val="none"/>
                <w:lang w:val="en-US" w:eastAsia="zh-CN"/>
              </w:rPr>
              <w:t>57.52t/a</w:t>
            </w:r>
          </w:p>
        </w:tc>
        <w:tc>
          <w:tcPr>
            <w:tcW w:w="2463" w:type="dxa"/>
            <w:vMerge w:val="restart"/>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收集后暂存一般固废暂存间，定期外售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成品包装</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成品废包装袋</w:t>
            </w:r>
          </w:p>
        </w:tc>
        <w:tc>
          <w:tcPr>
            <w:tcW w:w="2539" w:type="dxa"/>
            <w:tcBorders>
              <w:tl2br w:val="nil"/>
              <w:tr2bl w:val="nil"/>
            </w:tcBorders>
            <w:vAlign w:val="center"/>
          </w:tcPr>
          <w:p>
            <w:pPr>
              <w:spacing w:line="360" w:lineRule="auto"/>
              <w:jc w:val="center"/>
              <w:rPr>
                <w:rFonts w:hint="eastAsia"/>
                <w:i w:val="0"/>
                <w:iCs w:val="0"/>
                <w:sz w:val="24"/>
                <w:u w:val="none"/>
                <w:lang w:val="en-US" w:eastAsia="zh-CN"/>
              </w:rPr>
            </w:pPr>
            <w:r>
              <w:rPr>
                <w:rFonts w:hint="eastAsia"/>
                <w:i w:val="0"/>
                <w:iCs w:val="0"/>
                <w:sz w:val="24"/>
                <w:u w:val="none"/>
                <w:lang w:val="en-US" w:eastAsia="zh-CN"/>
              </w:rPr>
              <w:t>4.6t/a</w:t>
            </w:r>
          </w:p>
        </w:tc>
        <w:tc>
          <w:tcPr>
            <w:tcW w:w="2463" w:type="dxa"/>
            <w:vMerge w:val="continue"/>
            <w:tcBorders>
              <w:tl2br w:val="nil"/>
              <w:tr2bl w:val="nil"/>
            </w:tcBorders>
            <w:vAlign w:val="center"/>
          </w:tcPr>
          <w:p>
            <w:pPr>
              <w:spacing w:line="240" w:lineRule="auto"/>
              <w:jc w:val="center"/>
              <w:rPr>
                <w:rFonts w:hint="eastAsia"/>
                <w:i w:val="0"/>
                <w:iCs w:val="0"/>
                <w:sz w:val="24"/>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原料接收</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原辅材料</w:t>
            </w:r>
            <w:r>
              <w:rPr>
                <w:rFonts w:hint="default"/>
                <w:i w:val="0"/>
                <w:iCs w:val="0"/>
                <w:sz w:val="24"/>
                <w:u w:val="none"/>
                <w:lang w:val="en-US" w:eastAsia="zh-CN"/>
              </w:rPr>
              <w:t>废包装袋</w:t>
            </w:r>
          </w:p>
        </w:tc>
        <w:tc>
          <w:tcPr>
            <w:tcW w:w="2539" w:type="dxa"/>
            <w:tcBorders>
              <w:tl2br w:val="nil"/>
              <w:tr2bl w:val="nil"/>
            </w:tcBorders>
            <w:vAlign w:val="center"/>
          </w:tcPr>
          <w:p>
            <w:pPr>
              <w:spacing w:line="360" w:lineRule="auto"/>
              <w:jc w:val="center"/>
              <w:rPr>
                <w:rFonts w:hint="eastAsia"/>
                <w:i w:val="0"/>
                <w:iCs w:val="0"/>
                <w:sz w:val="24"/>
                <w:u w:val="none"/>
                <w:lang w:val="en-US" w:eastAsia="zh-CN"/>
              </w:rPr>
            </w:pPr>
            <w:r>
              <w:rPr>
                <w:rFonts w:hint="eastAsia"/>
                <w:i w:val="0"/>
                <w:iCs w:val="0"/>
                <w:sz w:val="24"/>
                <w:u w:val="none"/>
                <w:lang w:val="en-US" w:eastAsia="zh-CN"/>
              </w:rPr>
              <w:t>30t/a</w:t>
            </w:r>
          </w:p>
        </w:tc>
        <w:tc>
          <w:tcPr>
            <w:tcW w:w="2463" w:type="dxa"/>
            <w:vMerge w:val="continue"/>
            <w:tcBorders>
              <w:tl2br w:val="nil"/>
              <w:tr2bl w:val="nil"/>
            </w:tcBorders>
            <w:vAlign w:val="center"/>
          </w:tcPr>
          <w:p>
            <w:pPr>
              <w:spacing w:line="240" w:lineRule="auto"/>
              <w:jc w:val="center"/>
              <w:rPr>
                <w:rFonts w:hint="eastAsia"/>
                <w:i w:val="0"/>
                <w:iCs w:val="0"/>
                <w:sz w:val="24"/>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脉冲除尘</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除尘器收集的</w:t>
            </w:r>
            <w:r>
              <w:rPr>
                <w:rFonts w:hint="eastAsia"/>
                <w:i w:val="0"/>
                <w:iCs w:val="0"/>
                <w:sz w:val="24"/>
                <w:u w:val="none"/>
                <w:lang w:val="en-US" w:eastAsia="zh-CN"/>
              </w:rPr>
              <w:t>粉尘</w:t>
            </w:r>
          </w:p>
        </w:tc>
        <w:tc>
          <w:tcPr>
            <w:tcW w:w="2539" w:type="dxa"/>
            <w:tcBorders>
              <w:tl2br w:val="nil"/>
              <w:tr2bl w:val="nil"/>
            </w:tcBorders>
            <w:vAlign w:val="center"/>
          </w:tcPr>
          <w:p>
            <w:pPr>
              <w:spacing w:line="360" w:lineRule="auto"/>
              <w:jc w:val="center"/>
              <w:rPr>
                <w:rFonts w:hint="eastAsia"/>
                <w:i w:val="0"/>
                <w:iCs w:val="0"/>
                <w:sz w:val="24"/>
                <w:u w:val="none"/>
                <w:lang w:val="en-US" w:eastAsia="zh-CN"/>
              </w:rPr>
            </w:pPr>
            <w:r>
              <w:rPr>
                <w:rFonts w:hint="eastAsia"/>
                <w:i w:val="0"/>
                <w:iCs w:val="0"/>
                <w:sz w:val="24"/>
                <w:u w:val="none"/>
                <w:lang w:val="en-US" w:eastAsia="zh-CN"/>
              </w:rPr>
              <w:t>11.47t/a</w:t>
            </w:r>
          </w:p>
        </w:tc>
        <w:tc>
          <w:tcPr>
            <w:tcW w:w="2463"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回用于生产线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设备维修</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废机油</w:t>
            </w:r>
          </w:p>
        </w:tc>
        <w:tc>
          <w:tcPr>
            <w:tcW w:w="2539" w:type="dxa"/>
            <w:tcBorders>
              <w:tl2br w:val="nil"/>
              <w:tr2bl w:val="nil"/>
            </w:tcBorders>
            <w:vAlign w:val="center"/>
          </w:tcPr>
          <w:p>
            <w:pPr>
              <w:spacing w:line="360" w:lineRule="auto"/>
              <w:jc w:val="center"/>
              <w:rPr>
                <w:rFonts w:hint="eastAsia"/>
                <w:i w:val="0"/>
                <w:iCs w:val="0"/>
                <w:sz w:val="24"/>
                <w:u w:val="none"/>
                <w:lang w:val="en-US" w:eastAsia="zh-CN"/>
              </w:rPr>
            </w:pPr>
            <w:r>
              <w:rPr>
                <w:rFonts w:hint="eastAsia"/>
                <w:i w:val="0"/>
                <w:iCs w:val="0"/>
                <w:sz w:val="24"/>
                <w:u w:val="none"/>
                <w:lang w:val="en-US" w:eastAsia="zh-CN"/>
              </w:rPr>
              <w:t>0.5t/a</w:t>
            </w:r>
          </w:p>
        </w:tc>
        <w:tc>
          <w:tcPr>
            <w:tcW w:w="2463" w:type="dxa"/>
            <w:vMerge w:val="restart"/>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暂存于危废间，</w:t>
            </w:r>
            <w:r>
              <w:rPr>
                <w:rFonts w:hint="eastAsia"/>
                <w:i w:val="0"/>
                <w:iCs w:val="0"/>
                <w:sz w:val="24"/>
                <w:u w:val="none"/>
                <w:lang w:val="en-US" w:eastAsia="zh-CN"/>
              </w:rPr>
              <w:t>委托有资质的单位定期处置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设备维修</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含油</w:t>
            </w:r>
            <w:r>
              <w:rPr>
                <w:rFonts w:hint="eastAsia"/>
                <w:i w:val="0"/>
                <w:iCs w:val="0"/>
                <w:sz w:val="24"/>
                <w:u w:val="none"/>
                <w:lang w:val="en-US" w:eastAsia="zh-CN"/>
              </w:rPr>
              <w:t>废抹布及</w:t>
            </w:r>
            <w:r>
              <w:rPr>
                <w:rFonts w:hint="default"/>
                <w:i w:val="0"/>
                <w:iCs w:val="0"/>
                <w:sz w:val="24"/>
                <w:u w:val="none"/>
                <w:lang w:val="en-US" w:eastAsia="zh-CN"/>
              </w:rPr>
              <w:t>手套</w:t>
            </w:r>
          </w:p>
        </w:tc>
        <w:tc>
          <w:tcPr>
            <w:tcW w:w="2539" w:type="dxa"/>
            <w:tcBorders>
              <w:tl2br w:val="nil"/>
              <w:tr2bl w:val="nil"/>
            </w:tcBorders>
            <w:vAlign w:val="center"/>
          </w:tcPr>
          <w:p>
            <w:pPr>
              <w:spacing w:line="360" w:lineRule="auto"/>
              <w:jc w:val="center"/>
              <w:rPr>
                <w:rFonts w:hint="eastAsia"/>
                <w:i w:val="0"/>
                <w:iCs w:val="0"/>
                <w:sz w:val="24"/>
                <w:u w:val="none"/>
                <w:lang w:val="en-US" w:eastAsia="zh-CN"/>
              </w:rPr>
            </w:pPr>
            <w:r>
              <w:rPr>
                <w:rFonts w:hint="eastAsia"/>
                <w:i w:val="0"/>
                <w:iCs w:val="0"/>
                <w:sz w:val="24"/>
                <w:u w:val="none"/>
                <w:lang w:val="en-US" w:eastAsia="zh-CN"/>
              </w:rPr>
              <w:t>0.1t/a</w:t>
            </w:r>
          </w:p>
        </w:tc>
        <w:tc>
          <w:tcPr>
            <w:tcW w:w="2463" w:type="dxa"/>
            <w:vMerge w:val="continue"/>
            <w:tcBorders>
              <w:tl2br w:val="nil"/>
              <w:tr2bl w:val="nil"/>
            </w:tcBorders>
            <w:vAlign w:val="center"/>
          </w:tcPr>
          <w:p>
            <w:pPr>
              <w:spacing w:line="240" w:lineRule="auto"/>
              <w:jc w:val="center"/>
              <w:rPr>
                <w:rFonts w:hint="eastAsia"/>
                <w:i w:val="0"/>
                <w:iCs w:val="0"/>
                <w:sz w:val="24"/>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1" w:type="dxa"/>
            <w:vMerge w:val="continue"/>
            <w:tcBorders>
              <w:tl2br w:val="nil"/>
              <w:tr2bl w:val="nil"/>
            </w:tcBorders>
            <w:vAlign w:val="center"/>
          </w:tcPr>
          <w:p>
            <w:pPr>
              <w:jc w:val="center"/>
              <w:rPr>
                <w:i w:val="0"/>
                <w:iCs w:val="0"/>
                <w:sz w:val="24"/>
                <w:u w:val="none"/>
              </w:rPr>
            </w:pPr>
          </w:p>
        </w:tc>
        <w:tc>
          <w:tcPr>
            <w:tcW w:w="1849" w:type="dxa"/>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办公生活</w:t>
            </w:r>
          </w:p>
        </w:tc>
        <w:tc>
          <w:tcPr>
            <w:tcW w:w="1299" w:type="dxa"/>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生活垃圾</w:t>
            </w:r>
          </w:p>
        </w:tc>
        <w:tc>
          <w:tcPr>
            <w:tcW w:w="2539" w:type="dxa"/>
            <w:tcBorders>
              <w:tl2br w:val="nil"/>
              <w:tr2bl w:val="nil"/>
            </w:tcBorders>
            <w:vAlign w:val="center"/>
          </w:tcPr>
          <w:p>
            <w:pPr>
              <w:spacing w:line="240" w:lineRule="auto"/>
              <w:jc w:val="center"/>
              <w:rPr>
                <w:rFonts w:hint="default"/>
                <w:i w:val="0"/>
                <w:iCs w:val="0"/>
                <w:sz w:val="24"/>
                <w:u w:val="none"/>
                <w:lang w:val="en-US" w:eastAsia="zh-CN"/>
              </w:rPr>
            </w:pPr>
            <w:r>
              <w:rPr>
                <w:rFonts w:hint="eastAsia"/>
                <w:i w:val="0"/>
                <w:iCs w:val="0"/>
                <w:sz w:val="24"/>
                <w:u w:val="none"/>
                <w:lang w:val="en-US" w:eastAsia="zh-CN"/>
              </w:rPr>
              <w:t>6.75</w:t>
            </w:r>
          </w:p>
        </w:tc>
        <w:tc>
          <w:tcPr>
            <w:tcW w:w="2463" w:type="dxa"/>
            <w:tcBorders>
              <w:tl2br w:val="nil"/>
              <w:tr2bl w:val="nil"/>
            </w:tcBorders>
            <w:vAlign w:val="center"/>
          </w:tcPr>
          <w:p>
            <w:pPr>
              <w:spacing w:line="240" w:lineRule="auto"/>
              <w:jc w:val="center"/>
              <w:rPr>
                <w:rFonts w:hint="eastAsia"/>
                <w:i w:val="0"/>
                <w:iCs w:val="0"/>
                <w:sz w:val="24"/>
                <w:u w:val="none"/>
                <w:lang w:val="en-US" w:eastAsia="zh-CN"/>
              </w:rPr>
            </w:pPr>
            <w:r>
              <w:rPr>
                <w:rFonts w:hint="default"/>
                <w:i w:val="0"/>
                <w:iCs w:val="0"/>
                <w:sz w:val="24"/>
                <w:u w:val="none"/>
                <w:lang w:val="en-US" w:eastAsia="zh-CN"/>
              </w:rPr>
              <w:t>定点收集，环卫</w:t>
            </w:r>
            <w:r>
              <w:rPr>
                <w:rFonts w:hint="eastAsia"/>
                <w:i w:val="0"/>
                <w:iCs w:val="0"/>
                <w:sz w:val="24"/>
                <w:u w:val="none"/>
                <w:lang w:val="en-US" w:eastAsia="zh-CN"/>
              </w:rPr>
              <w:t>部门</w:t>
            </w:r>
            <w:r>
              <w:rPr>
                <w:rFonts w:hint="default"/>
                <w:i w:val="0"/>
                <w:iCs w:val="0"/>
                <w:sz w:val="24"/>
                <w:u w:val="none"/>
                <w:lang w:val="en-US" w:eastAsia="zh-CN"/>
              </w:rPr>
              <w:t>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 w:type="dxa"/>
            <w:tcBorders>
              <w:tl2br w:val="nil"/>
              <w:tr2bl w:val="nil"/>
            </w:tcBorders>
            <w:vAlign w:val="center"/>
          </w:tcPr>
          <w:p>
            <w:pPr>
              <w:spacing w:line="360" w:lineRule="auto"/>
              <w:jc w:val="center"/>
              <w:rPr>
                <w:i w:val="0"/>
                <w:iCs w:val="0"/>
                <w:sz w:val="24"/>
                <w:u w:val="none"/>
              </w:rPr>
            </w:pPr>
            <w:r>
              <w:rPr>
                <w:i w:val="0"/>
                <w:iCs w:val="0"/>
                <w:sz w:val="24"/>
                <w:u w:val="none"/>
              </w:rPr>
              <w:t>噪</w:t>
            </w:r>
          </w:p>
          <w:p>
            <w:pPr>
              <w:spacing w:line="360" w:lineRule="auto"/>
              <w:jc w:val="center"/>
              <w:rPr>
                <w:i w:val="0"/>
                <w:iCs w:val="0"/>
                <w:sz w:val="24"/>
                <w:u w:val="none"/>
              </w:rPr>
            </w:pPr>
            <w:r>
              <w:rPr>
                <w:i w:val="0"/>
                <w:iCs w:val="0"/>
                <w:sz w:val="24"/>
                <w:u w:val="none"/>
              </w:rPr>
              <w:t>声</w:t>
            </w:r>
          </w:p>
        </w:tc>
        <w:tc>
          <w:tcPr>
            <w:tcW w:w="8150" w:type="dxa"/>
            <w:gridSpan w:val="4"/>
            <w:tcBorders>
              <w:tl2br w:val="nil"/>
              <w:tr2bl w:val="nil"/>
            </w:tcBorders>
            <w:vAlign w:val="center"/>
          </w:tcPr>
          <w:p>
            <w:pPr>
              <w:spacing w:line="360" w:lineRule="auto"/>
              <w:ind w:firstLine="480" w:firstLineChars="200"/>
              <w:jc w:val="left"/>
              <w:rPr>
                <w:i w:val="0"/>
                <w:iCs w:val="0"/>
                <w:sz w:val="24"/>
                <w:u w:val="none"/>
              </w:rPr>
            </w:pPr>
            <w:r>
              <w:rPr>
                <w:i w:val="0"/>
                <w:iCs w:val="0"/>
                <w:sz w:val="24"/>
                <w:u w:val="none"/>
              </w:rPr>
              <w:t>主要为</w:t>
            </w:r>
            <w:r>
              <w:rPr>
                <w:rFonts w:hint="eastAsia"/>
                <w:i w:val="0"/>
                <w:iCs w:val="0"/>
                <w:sz w:val="24"/>
                <w:u w:val="none"/>
              </w:rPr>
              <w:t>生产设备噪声</w:t>
            </w:r>
            <w:r>
              <w:rPr>
                <w:i w:val="0"/>
                <w:iCs w:val="0"/>
                <w:sz w:val="24"/>
                <w:u w:val="none"/>
              </w:rPr>
              <w:t>，噪声源强约为</w:t>
            </w:r>
            <w:r>
              <w:rPr>
                <w:rFonts w:hint="eastAsia"/>
                <w:i w:val="0"/>
                <w:iCs w:val="0"/>
                <w:sz w:val="24"/>
                <w:u w:val="none"/>
              </w:rPr>
              <w:t>7</w:t>
            </w:r>
            <w:r>
              <w:rPr>
                <w:rFonts w:hint="eastAsia"/>
                <w:i w:val="0"/>
                <w:iCs w:val="0"/>
                <w:sz w:val="24"/>
                <w:u w:val="none"/>
                <w:lang w:val="en-US" w:eastAsia="zh-CN"/>
              </w:rPr>
              <w:t>5</w:t>
            </w:r>
            <w:r>
              <w:rPr>
                <w:rFonts w:eastAsia="MS UI Gothic"/>
                <w:i w:val="0"/>
                <w:iCs w:val="0"/>
                <w:sz w:val="24"/>
                <w:u w:val="none"/>
              </w:rPr>
              <w:t>-</w:t>
            </w:r>
            <w:r>
              <w:rPr>
                <w:i w:val="0"/>
                <w:iCs w:val="0"/>
                <w:sz w:val="24"/>
                <w:u w:val="none"/>
              </w:rPr>
              <w:t>9</w:t>
            </w:r>
            <w:r>
              <w:rPr>
                <w:rFonts w:hint="eastAsia"/>
                <w:i w:val="0"/>
                <w:iCs w:val="0"/>
                <w:sz w:val="24"/>
                <w:u w:val="none"/>
              </w:rPr>
              <w:t>0</w:t>
            </w:r>
            <w:r>
              <w:rPr>
                <w:i w:val="0"/>
                <w:iCs w:val="0"/>
                <w:sz w:val="24"/>
                <w:u w:val="none"/>
              </w:rPr>
              <w:t xml:space="preserve"> dB(A)。</w:t>
            </w:r>
            <w:r>
              <w:rPr>
                <w:bCs/>
                <w:i w:val="0"/>
                <w:iCs w:val="0"/>
                <w:color w:val="000000"/>
                <w:sz w:val="24"/>
                <w:u w:val="none"/>
              </w:rPr>
              <w:t>通过</w:t>
            </w:r>
            <w:r>
              <w:rPr>
                <w:rFonts w:hint="eastAsia"/>
                <w:bCs/>
                <w:i w:val="0"/>
                <w:iCs w:val="0"/>
                <w:color w:val="000000"/>
                <w:sz w:val="24"/>
                <w:u w:val="none"/>
              </w:rPr>
              <w:t>采取设备</w:t>
            </w:r>
            <w:r>
              <w:rPr>
                <w:bCs/>
                <w:i w:val="0"/>
                <w:iCs w:val="0"/>
                <w:color w:val="000000"/>
                <w:sz w:val="24"/>
                <w:u w:val="none"/>
              </w:rPr>
              <w:t>底座减振、</w:t>
            </w:r>
            <w:r>
              <w:rPr>
                <w:rFonts w:hint="eastAsia"/>
                <w:bCs/>
                <w:i w:val="0"/>
                <w:iCs w:val="0"/>
                <w:color w:val="000000"/>
                <w:sz w:val="24"/>
                <w:u w:val="none"/>
              </w:rPr>
              <w:t>车间</w:t>
            </w:r>
            <w:r>
              <w:rPr>
                <w:bCs/>
                <w:i w:val="0"/>
                <w:iCs w:val="0"/>
                <w:color w:val="000000"/>
                <w:sz w:val="24"/>
                <w:u w:val="none"/>
              </w:rPr>
              <w:t>隔声</w:t>
            </w:r>
            <w:r>
              <w:rPr>
                <w:rFonts w:hint="eastAsia"/>
                <w:bCs/>
                <w:i w:val="0"/>
                <w:iCs w:val="0"/>
                <w:color w:val="000000"/>
                <w:sz w:val="24"/>
                <w:u w:val="none"/>
              </w:rPr>
              <w:t>、限速等措施</w:t>
            </w:r>
            <w:r>
              <w:rPr>
                <w:rFonts w:hint="eastAsia"/>
                <w:bCs/>
                <w:i w:val="0"/>
                <w:iCs w:val="0"/>
                <w:color w:val="000000"/>
                <w:sz w:val="24"/>
                <w:u w:val="none"/>
                <w:lang w:eastAsia="zh-CN"/>
              </w:rPr>
              <w:t>减少</w:t>
            </w:r>
            <w:r>
              <w:rPr>
                <w:rFonts w:hint="eastAsia"/>
                <w:bCs/>
                <w:i w:val="0"/>
                <w:iCs w:val="0"/>
                <w:color w:val="000000"/>
                <w:sz w:val="24"/>
                <w:u w:val="none"/>
              </w:rPr>
              <w:t>噪声对周边环境的影响</w:t>
            </w:r>
            <w:r>
              <w:rPr>
                <w:i w:val="0"/>
                <w:iCs w:val="0"/>
                <w:color w:val="000000"/>
                <w:sz w:val="24"/>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9071" w:type="dxa"/>
            <w:gridSpan w:val="5"/>
            <w:tcBorders>
              <w:tl2br w:val="nil"/>
              <w:tr2bl w:val="nil"/>
            </w:tcBorders>
          </w:tcPr>
          <w:p>
            <w:pPr>
              <w:spacing w:line="400" w:lineRule="exact"/>
              <w:rPr>
                <w:i w:val="0"/>
                <w:iCs w:val="0"/>
                <w:szCs w:val="21"/>
                <w:u w:val="none"/>
              </w:rPr>
            </w:pPr>
            <w:r>
              <w:rPr>
                <w:b/>
                <w:i w:val="0"/>
                <w:iCs w:val="0"/>
                <w:sz w:val="24"/>
                <w:u w:val="none"/>
              </w:rPr>
              <w:t>主要生态影响(不够时可附另页)</w:t>
            </w:r>
          </w:p>
          <w:p>
            <w:pPr>
              <w:spacing w:line="400" w:lineRule="exact"/>
              <w:ind w:firstLine="480" w:firstLineChars="200"/>
              <w:rPr>
                <w:rFonts w:hint="eastAsia"/>
                <w:i w:val="0"/>
                <w:iCs w:val="0"/>
                <w:sz w:val="24"/>
                <w:u w:val="none"/>
              </w:rPr>
            </w:pPr>
            <w:r>
              <w:rPr>
                <w:rFonts w:hint="default" w:ascii="Times New Roman" w:hAnsi="Times New Roman" w:cs="Times New Roman"/>
                <w:kern w:val="0"/>
                <w:sz w:val="24"/>
                <w:szCs w:val="24"/>
              </w:rPr>
              <w:t>主要是施工期对地表植被的破坏，以及地表开挖造成的水土流失。但这些活动属于不连续的局部影响，在施工时做到科学管理，并结合项目建成后</w:t>
            </w:r>
            <w:r>
              <w:rPr>
                <w:rFonts w:hint="eastAsia" w:ascii="Times New Roman" w:hAnsi="Times New Roman" w:cs="Times New Roman"/>
                <w:kern w:val="0"/>
                <w:sz w:val="24"/>
                <w:szCs w:val="24"/>
                <w:lang w:eastAsia="zh-CN"/>
              </w:rPr>
              <w:t>的绿化建设</w:t>
            </w:r>
            <w:r>
              <w:rPr>
                <w:rFonts w:hint="default" w:ascii="Times New Roman" w:hAnsi="Times New Roman" w:cs="Times New Roman"/>
                <w:kern w:val="0"/>
                <w:sz w:val="24"/>
                <w:szCs w:val="24"/>
              </w:rPr>
              <w:t>，整体上不会对项目拟建场地生态环境系统造成较大影响</w:t>
            </w:r>
            <w:r>
              <w:rPr>
                <w:rFonts w:hint="eastAsia"/>
                <w:i w:val="0"/>
                <w:iCs w:val="0"/>
                <w:sz w:val="24"/>
                <w:u w:val="none"/>
              </w:rPr>
              <w:t>。</w:t>
            </w:r>
          </w:p>
          <w:p>
            <w:pPr>
              <w:pStyle w:val="21"/>
              <w:ind w:left="0" w:leftChars="0" w:firstLine="0" w:firstLineChars="0"/>
              <w:rPr>
                <w:rFonts w:hint="eastAsia"/>
                <w:i w:val="0"/>
                <w:iCs w:val="0"/>
                <w:sz w:val="24"/>
                <w:u w:val="none"/>
              </w:rPr>
            </w:pPr>
          </w:p>
          <w:p>
            <w:pPr>
              <w:ind w:firstLine="480" w:firstLineChars="200"/>
              <w:rPr>
                <w:i w:val="0"/>
                <w:iCs w:val="0"/>
                <w:sz w:val="24"/>
                <w:u w:val="none"/>
              </w:rPr>
            </w:pPr>
          </w:p>
        </w:tc>
      </w:tr>
    </w:tbl>
    <w:p>
      <w:pPr>
        <w:spacing w:line="440" w:lineRule="exact"/>
        <w:outlineLvl w:val="0"/>
        <w:rPr>
          <w:b/>
          <w:sz w:val="32"/>
          <w:szCs w:val="32"/>
        </w:rPr>
      </w:pPr>
      <w:r>
        <w:rPr>
          <w:rFonts w:hint="eastAsia"/>
          <w:b/>
          <w:sz w:val="32"/>
          <w:szCs w:val="32"/>
          <w:lang w:val="en-US" w:eastAsia="zh-CN"/>
        </w:rPr>
        <w:t>7</w:t>
      </w:r>
      <w:r>
        <w:rPr>
          <w:b/>
          <w:sz w:val="32"/>
          <w:szCs w:val="32"/>
        </w:rPr>
        <w:t>环境影响分析</w:t>
      </w:r>
      <w:bookmarkEnd w:id="37"/>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98" w:hRule="atLeast"/>
          <w:jc w:val="center"/>
        </w:trPr>
        <w:tc>
          <w:tcPr>
            <w:tcW w:w="9072" w:type="dxa"/>
          </w:tcPr>
          <w:p>
            <w:pPr>
              <w:spacing w:line="360" w:lineRule="auto"/>
              <w:rPr>
                <w:b/>
                <w:sz w:val="28"/>
                <w:szCs w:val="28"/>
              </w:rPr>
            </w:pPr>
            <w:r>
              <w:rPr>
                <w:b/>
                <w:sz w:val="28"/>
                <w:szCs w:val="28"/>
              </w:rPr>
              <w:t>一、施工期环境影响分析</w:t>
            </w:r>
          </w:p>
          <w:p>
            <w:pPr>
              <w:spacing w:line="360" w:lineRule="auto"/>
              <w:ind w:firstLine="480" w:firstLineChars="200"/>
              <w:outlineLvl w:val="9"/>
              <w:rPr>
                <w:rFonts w:hint="default" w:ascii="Times New Roman" w:hAnsi="Times New Roman" w:cs="Times New Roman" w:eastAsiaTheme="minorEastAsia"/>
                <w:snapToGrid w:val="0"/>
                <w:kern w:val="0"/>
                <w:sz w:val="24"/>
                <w:szCs w:val="24"/>
                <w:lang w:val="en-US" w:eastAsia="zh-CN" w:bidi="ar-SA"/>
              </w:rPr>
            </w:pPr>
            <w:r>
              <w:rPr>
                <w:rFonts w:hint="default" w:ascii="Times New Roman" w:hAnsi="Times New Roman" w:eastAsia="宋体" w:cs="Times New Roman"/>
                <w:kern w:val="2"/>
                <w:sz w:val="24"/>
                <w:szCs w:val="24"/>
                <w:lang w:val="en-US" w:eastAsia="zh-CN" w:bidi="ar-SA"/>
              </w:rPr>
              <w:t>工程施工</w:t>
            </w:r>
            <w:r>
              <w:rPr>
                <w:rFonts w:hint="eastAsia" w:ascii="Times New Roman" w:hAnsi="Times New Roman" w:eastAsia="宋体" w:cs="Times New Roman"/>
                <w:kern w:val="2"/>
                <w:sz w:val="24"/>
                <w:szCs w:val="24"/>
                <w:lang w:val="en-US" w:eastAsia="zh-CN" w:bidi="ar-SA"/>
              </w:rPr>
              <w:t>期</w:t>
            </w:r>
            <w:r>
              <w:rPr>
                <w:rFonts w:hint="default" w:ascii="Times New Roman" w:hAnsi="Times New Roman" w:eastAsia="宋体" w:cs="Times New Roman"/>
                <w:kern w:val="2"/>
                <w:sz w:val="24"/>
                <w:szCs w:val="24"/>
                <w:lang w:val="en-US" w:eastAsia="zh-CN" w:bidi="ar-SA"/>
              </w:rPr>
              <w:t>对环境的影响包括废气、废水、噪声和固体废物等，施工期环境污染行为较为复杂，但从污染程度和范围分析，工程施工废气和噪声对环境的影响相对较大，但施工期环境污染只是短期影响，随着工程竣工，施工影响基本消除。</w:t>
            </w:r>
            <w:bookmarkStart w:id="38" w:name="_Toc302766764"/>
          </w:p>
          <w:p>
            <w:pPr>
              <w:spacing w:line="360" w:lineRule="auto"/>
              <w:ind w:firstLine="480" w:firstLineChars="200"/>
              <w:outlineLvl w:val="9"/>
              <w:rPr>
                <w:rFonts w:hint="default" w:ascii="Times New Roman" w:hAnsi="Times New Roman" w:cs="Times New Roman" w:eastAsiaTheme="minorEastAsia"/>
                <w:b/>
                <w:bCs/>
                <w:snapToGrid w:val="0"/>
                <w:kern w:val="0"/>
                <w:sz w:val="24"/>
                <w:szCs w:val="24"/>
                <w:lang w:val="en-US" w:eastAsia="zh-CN" w:bidi="ar-SA"/>
              </w:rPr>
            </w:pPr>
            <w:r>
              <w:rPr>
                <w:rFonts w:hint="eastAsia" w:cs="Times New Roman"/>
                <w:b w:val="0"/>
                <w:bCs w:val="0"/>
                <w:snapToGrid w:val="0"/>
                <w:kern w:val="0"/>
                <w:sz w:val="24"/>
                <w:szCs w:val="24"/>
                <w:lang w:val="en-US" w:eastAsia="zh-CN" w:bidi="ar-SA"/>
              </w:rPr>
              <w:t>1、</w:t>
            </w:r>
            <w:r>
              <w:rPr>
                <w:rFonts w:hint="default" w:ascii="Times New Roman" w:hAnsi="Times New Roman" w:cs="Times New Roman" w:eastAsiaTheme="minorEastAsia"/>
                <w:b w:val="0"/>
                <w:bCs w:val="0"/>
                <w:snapToGrid w:val="0"/>
                <w:kern w:val="0"/>
                <w:sz w:val="24"/>
                <w:szCs w:val="24"/>
                <w:lang w:val="en-US" w:eastAsia="zh-CN" w:bidi="ar-SA"/>
              </w:rPr>
              <w:t>施工期大气环境影响分析</w:t>
            </w:r>
            <w:bookmarkEnd w:id="38"/>
          </w:p>
          <w:p>
            <w:pPr>
              <w:spacing w:line="360" w:lineRule="auto"/>
              <w:ind w:firstLine="480" w:firstLineChars="200"/>
              <w:outlineLvl w:val="9"/>
              <w:rPr>
                <w:rFonts w:hint="default" w:ascii="Times New Roman" w:hAnsi="Times New Roman" w:cs="Times New Roman" w:eastAsiaTheme="minorEastAsia"/>
                <w:snapToGrid w:val="0"/>
                <w:kern w:val="0"/>
                <w:sz w:val="24"/>
                <w:szCs w:val="24"/>
                <w:lang w:val="en-US" w:eastAsia="zh-CN" w:bidi="ar-SA"/>
              </w:rPr>
            </w:pPr>
            <w:r>
              <w:rPr>
                <w:rFonts w:hint="default" w:ascii="Times New Roman" w:hAnsi="Times New Roman" w:cs="Times New Roman" w:eastAsiaTheme="minorEastAsia"/>
                <w:snapToGrid w:val="0"/>
                <w:kern w:val="0"/>
                <w:sz w:val="24"/>
                <w:szCs w:val="24"/>
                <w:lang w:val="en-US" w:eastAsia="zh-CN" w:bidi="ar-SA"/>
              </w:rPr>
              <w:t>施工过程中造成大气污染的主要产生源有：地基开挖及运输车辆、施工机械走行车道所带来的扬尘；施工建筑材料(水泥、石灰、砂石料)的装卸、运输、堆砌过程以及开挖弃土的堆砌、运输过程中</w:t>
            </w:r>
            <w:r>
              <w:rPr>
                <w:rFonts w:hint="eastAsia" w:ascii="Times New Roman" w:hAnsi="Times New Roman" w:cs="Times New Roman" w:eastAsiaTheme="minorEastAsia"/>
                <w:snapToGrid w:val="0"/>
                <w:kern w:val="0"/>
                <w:sz w:val="24"/>
                <w:szCs w:val="24"/>
                <w:lang w:val="en-US" w:eastAsia="zh-CN" w:bidi="ar-SA"/>
              </w:rPr>
              <w:t>产生扬尘</w:t>
            </w:r>
            <w:r>
              <w:rPr>
                <w:rFonts w:hint="default" w:ascii="Times New Roman" w:hAnsi="Times New Roman" w:cs="Times New Roman" w:eastAsiaTheme="minorEastAsia"/>
                <w:snapToGrid w:val="0"/>
                <w:kern w:val="0"/>
                <w:sz w:val="24"/>
                <w:szCs w:val="24"/>
                <w:lang w:val="en-US" w:eastAsia="zh-CN" w:bidi="ar-SA"/>
              </w:rPr>
              <w:t>；各类施工机械和运输车辆所排放的废气（对环境影响比较小，此处不再进行分析，具体见工程分析章节）；房屋装修的油漆废气。</w:t>
            </w:r>
          </w:p>
          <w:p>
            <w:pPr>
              <w:spacing w:line="360" w:lineRule="auto"/>
              <w:ind w:firstLine="480" w:firstLineChars="200"/>
              <w:outlineLvl w:val="9"/>
              <w:rPr>
                <w:rFonts w:hint="default"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（1）施工扬尘</w:t>
            </w:r>
          </w:p>
          <w:p>
            <w:pPr>
              <w:spacing w:line="360" w:lineRule="auto"/>
              <w:ind w:firstLine="480" w:firstLineChars="200"/>
              <w:outlineLvl w:val="9"/>
              <w:rPr>
                <w:rFonts w:hint="default" w:cs="Times New Roman"/>
                <w:b w:val="0"/>
                <w:bCs w:val="0"/>
                <w:snapToGrid w:val="0"/>
                <w:kern w:val="0"/>
                <w:sz w:val="24"/>
                <w:szCs w:val="24"/>
                <w:lang w:val="en-US" w:eastAsia="zh-CN" w:bidi="ar-SA"/>
              </w:rPr>
            </w:pPr>
            <w:r>
              <w:rPr>
                <w:rFonts w:hint="default" w:cs="Times New Roman"/>
                <w:b w:val="0"/>
                <w:bCs w:val="0"/>
                <w:snapToGrid w:val="0"/>
                <w:kern w:val="0"/>
                <w:sz w:val="24"/>
                <w:szCs w:val="24"/>
                <w:lang w:val="en-US" w:eastAsia="zh-CN" w:bidi="ar-SA"/>
              </w:rPr>
              <w:t>如果在施工期间对车辆行驶的路面实施洒水抑尘，每天洒水4～5次，可使扬尘减少70%左右。表</w:t>
            </w:r>
            <w:r>
              <w:rPr>
                <w:rFonts w:hint="eastAsia" w:cs="Times New Roman"/>
                <w:b w:val="0"/>
                <w:bCs w:val="0"/>
                <w:snapToGrid w:val="0"/>
                <w:kern w:val="0"/>
                <w:sz w:val="24"/>
                <w:szCs w:val="24"/>
                <w:lang w:val="en-US" w:eastAsia="zh-CN" w:bidi="ar-SA"/>
              </w:rPr>
              <w:t>7-1</w:t>
            </w:r>
            <w:r>
              <w:rPr>
                <w:rFonts w:hint="default" w:cs="Times New Roman"/>
                <w:b w:val="0"/>
                <w:bCs w:val="0"/>
                <w:snapToGrid w:val="0"/>
                <w:kern w:val="0"/>
                <w:sz w:val="24"/>
                <w:szCs w:val="24"/>
                <w:lang w:val="en-US" w:eastAsia="zh-CN" w:bidi="ar-SA"/>
              </w:rPr>
              <w:t>为施工场地洒水抑尘的试验结果，结果表明实施每天洒水4～5次进行抑尘，可有效地控制施工扬尘，可将TSP污染距离缩小到20～50m范围。</w:t>
            </w:r>
          </w:p>
          <w:p>
            <w:pPr>
              <w:spacing w:line="360" w:lineRule="auto"/>
              <w:jc w:val="center"/>
              <w:outlineLvl w:val="9"/>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7-1</w:t>
            </w:r>
            <w:r>
              <w:rPr>
                <w:rFonts w:hint="eastAsia" w:ascii="Times New Roman" w:hAnsi="Times New Roman" w:cs="Times New Roman"/>
                <w:b/>
                <w:bCs/>
                <w:sz w:val="21"/>
                <w:szCs w:val="21"/>
                <w:lang w:val="en-US" w:eastAsia="zh-CN"/>
              </w:rPr>
              <w:t xml:space="preserve">  施工场地洒水抑尘试验结果</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3"/>
              <w:gridCol w:w="1348"/>
              <w:gridCol w:w="1309"/>
              <w:gridCol w:w="1308"/>
              <w:gridCol w:w="1310"/>
              <w:gridCol w:w="13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3427"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距离（米）</w:t>
                  </w:r>
                </w:p>
              </w:tc>
              <w:tc>
                <w:tcPr>
                  <w:tcW w:w="13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5</w:t>
                  </w:r>
                </w:p>
              </w:tc>
              <w:tc>
                <w:tcPr>
                  <w:tcW w:w="132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20</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50</w:t>
                  </w:r>
                </w:p>
              </w:tc>
              <w:tc>
                <w:tcPr>
                  <w:tcW w:w="13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2061"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TSP小时平均浓度</w:t>
                  </w:r>
                </w:p>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（mg/m</w:t>
                  </w:r>
                  <w:r>
                    <w:rPr>
                      <w:rFonts w:hint="default" w:ascii="Times New Roman" w:hAnsi="Times New Roman" w:cs="Times New Roman"/>
                      <w:kern w:val="28"/>
                      <w:sz w:val="21"/>
                      <w:szCs w:val="21"/>
                      <w:u w:val="none"/>
                      <w:vertAlign w:val="superscript"/>
                    </w:rPr>
                    <w:t>3</w:t>
                  </w:r>
                  <w:r>
                    <w:rPr>
                      <w:rFonts w:hint="default" w:ascii="Times New Roman" w:hAnsi="Times New Roman" w:cs="Times New Roman"/>
                      <w:kern w:val="28"/>
                      <w:sz w:val="21"/>
                      <w:szCs w:val="21"/>
                      <w:u w:val="none"/>
                    </w:rPr>
                    <w:t>）</w:t>
                  </w:r>
                </w:p>
              </w:tc>
              <w:tc>
                <w:tcPr>
                  <w:tcW w:w="136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不洒水</w:t>
                  </w:r>
                </w:p>
              </w:tc>
              <w:tc>
                <w:tcPr>
                  <w:tcW w:w="13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10.14</w:t>
                  </w:r>
                </w:p>
              </w:tc>
              <w:tc>
                <w:tcPr>
                  <w:tcW w:w="132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2.89</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1.15</w:t>
                  </w:r>
                </w:p>
              </w:tc>
              <w:tc>
                <w:tcPr>
                  <w:tcW w:w="13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0.86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2061"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p>
              </w:tc>
              <w:tc>
                <w:tcPr>
                  <w:tcW w:w="136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洒水</w:t>
                  </w:r>
                </w:p>
              </w:tc>
              <w:tc>
                <w:tcPr>
                  <w:tcW w:w="13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2.01</w:t>
                  </w:r>
                </w:p>
              </w:tc>
              <w:tc>
                <w:tcPr>
                  <w:tcW w:w="132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1.40</w:t>
                  </w:r>
                </w:p>
              </w:tc>
              <w:tc>
                <w:tcPr>
                  <w:tcW w:w="13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0.67</w:t>
                  </w:r>
                </w:p>
              </w:tc>
              <w:tc>
                <w:tcPr>
                  <w:tcW w:w="13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0.60</w:t>
                  </w:r>
                </w:p>
              </w:tc>
            </w:tr>
          </w:tbl>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因此，限速行驶及保持路面清洁，同时适当洒水是减少汽车扬尘的有效手段。施工扬尘的另一种情况是露天堆场和裸露场地的风力扬尘，由于施工需要，一些建材需露天堆放，一些施工点表层土壤需人工开挖、堆放，在气候干燥又有风的情况下，会产生扬尘，其扬尘量可按堆场起尘的经验公式计算：</w:t>
            </w:r>
          </w:p>
          <w:p>
            <w:pPr>
              <w:pStyle w:val="21"/>
              <w:spacing w:line="360" w:lineRule="auto"/>
              <w:ind w:left="0" w:leftChars="0" w:firstLine="0" w:firstLineChars="0"/>
              <w:jc w:val="center"/>
              <w:rPr>
                <w:rFonts w:hint="eastAsia" w:ascii="Times New Roman" w:hAnsi="Times New Roman" w:cs="Times New Roman" w:eastAsiaTheme="minorEastAsia"/>
                <w:snapToGrid w:val="0"/>
                <w:kern w:val="0"/>
                <w:sz w:val="24"/>
                <w:szCs w:val="24"/>
                <w:lang w:val="en-US" w:eastAsia="zh-CN" w:bidi="ar-SA"/>
              </w:rPr>
            </w:pPr>
            <w:r>
              <w:rPr>
                <w:rFonts w:hint="eastAsia" w:ascii="Times New Roman" w:hAnsi="Times New Roman" w:cs="Times New Roman" w:eastAsiaTheme="minorEastAsia"/>
                <w:snapToGrid w:val="0"/>
                <w:kern w:val="0"/>
                <w:sz w:val="24"/>
                <w:szCs w:val="24"/>
                <w:lang w:val="en-US" w:eastAsia="zh-CN" w:bidi="ar-SA"/>
              </w:rPr>
              <w:object>
                <v:shape id="_x0000_i1033" o:spt="75" type="#_x0000_t75" style="height:19pt;width:121.95pt;" o:ole="t" filled="f" o:preferrelative="t" stroked="f" coordsize="21600,21600">
                  <v:path/>
                  <v:fill on="f" focussize="0,0"/>
                  <v:stroke on="f"/>
                  <v:imagedata r:id="rId30" o:title=""/>
                  <o:lock v:ext="edit" grouping="f" rotation="f" text="f" aspectratio="t"/>
                  <w10:wrap type="none"/>
                  <w10:anchorlock/>
                </v:shape>
                <o:OLEObject Type="Embed" ProgID="Equation.3" ShapeID="_x0000_i1033" DrawAspect="Content" ObjectID="_1468075733" r:id="rId29">
                  <o:LockedField>false</o:LockedField>
                </o:OLEObject>
              </w:objec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式中：Q—起尘量，kg/t·年</w:t>
            </w:r>
          </w:p>
          <w:p>
            <w:pPr>
              <w:spacing w:line="360" w:lineRule="auto"/>
              <w:ind w:firstLine="1200" w:firstLineChars="5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V</w:t>
            </w:r>
            <w:r>
              <w:rPr>
                <w:rFonts w:hint="eastAsia" w:cs="Times New Roman"/>
                <w:b w:val="0"/>
                <w:bCs w:val="0"/>
                <w:snapToGrid w:val="0"/>
                <w:kern w:val="0"/>
                <w:sz w:val="24"/>
                <w:szCs w:val="24"/>
                <w:vertAlign w:val="subscript"/>
                <w:lang w:val="en-US" w:eastAsia="zh-CN" w:bidi="ar-SA"/>
              </w:rPr>
              <w:t>50</w:t>
            </w:r>
            <w:r>
              <w:rPr>
                <w:rFonts w:hint="eastAsia" w:cs="Times New Roman"/>
                <w:b w:val="0"/>
                <w:bCs w:val="0"/>
                <w:snapToGrid w:val="0"/>
                <w:kern w:val="0"/>
                <w:sz w:val="24"/>
                <w:szCs w:val="24"/>
                <w:lang w:val="en-US" w:eastAsia="zh-CN" w:bidi="ar-SA"/>
              </w:rPr>
              <w:t>——距地面50米处风速，m/s；</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 xml:space="preserve">      V</w:t>
            </w:r>
            <w:r>
              <w:rPr>
                <w:rFonts w:hint="eastAsia" w:cs="Times New Roman"/>
                <w:b w:val="0"/>
                <w:bCs w:val="0"/>
                <w:snapToGrid w:val="0"/>
                <w:kern w:val="0"/>
                <w:sz w:val="24"/>
                <w:szCs w:val="24"/>
                <w:vertAlign w:val="subscript"/>
                <w:lang w:val="en-US" w:eastAsia="zh-CN" w:bidi="ar-SA"/>
              </w:rPr>
              <w:t>0</w:t>
            </w:r>
            <w:r>
              <w:rPr>
                <w:rFonts w:hint="eastAsia" w:cs="Times New Roman"/>
                <w:b w:val="0"/>
                <w:bCs w:val="0"/>
                <w:snapToGrid w:val="0"/>
                <w:kern w:val="0"/>
                <w:sz w:val="24"/>
                <w:szCs w:val="24"/>
                <w:lang w:val="en-US" w:eastAsia="zh-CN" w:bidi="ar-SA"/>
              </w:rPr>
              <w:t>——起尘风速，m/s；</w:t>
            </w:r>
          </w:p>
          <w:p>
            <w:pPr>
              <w:spacing w:line="360" w:lineRule="auto"/>
              <w:ind w:firstLine="1200" w:firstLineChars="5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w——尘粒含水率，%。</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ascii="Times New Roman" w:hAnsi="Times New Roman" w:cs="Times New Roman" w:eastAsiaTheme="minorEastAsia"/>
                <w:snapToGrid w:val="0"/>
                <w:kern w:val="0"/>
                <w:sz w:val="24"/>
                <w:szCs w:val="24"/>
                <w:lang w:val="en-US" w:eastAsia="zh-CN" w:bidi="ar-SA"/>
              </w:rPr>
              <w:t>由</w:t>
            </w:r>
            <w:r>
              <w:rPr>
                <w:rFonts w:hint="eastAsia" w:cs="Times New Roman"/>
                <w:b w:val="0"/>
                <w:bCs w:val="0"/>
                <w:snapToGrid w:val="0"/>
                <w:kern w:val="0"/>
                <w:sz w:val="24"/>
                <w:szCs w:val="24"/>
                <w:lang w:val="en-US" w:eastAsia="zh-CN" w:bidi="ar-SA"/>
              </w:rPr>
              <w:t>此可见，这类扬尘的主要特点是与风速和尘粒含水率有关，因此，减少建材的露天堆放和保证一定的含水率是抑制这类扬尘的有效手段。</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尘粒在空气中的传播扩散情况与风速等气象条件有关，也与尘粒本身的沉降速度有关。以沙尘土为例，其沉降速度随粒径的增大而迅速增大。当粒径为250微米时，沉降速度为1.005m/s，因此当尘粒大于250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治措施，以减少施工扬尘对周围环境的影响。</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类比同类型项目，在一般天气条件下，施工扬尘的影响范围为施工场地周围80m左右的范围内。项目拟建地周边80m范围内无环境敏感点，因此施工期间扬尘对该区域的影响较小。</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（2）装修废气</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建筑装修废气主要为建筑装修材料产生的氨、甲醛、苯、甲苯、二甲苯、苯并α芘、总挥发性有机物等有害物质。建设单位应按照国家有关规定委托有资质单位进行设计、施工、检测，并选用符合国家相关标准的建筑装修材料，以确保室内空气中有害物质含量符合《室内空气质量标准》（GB/T18883-2002）中标准，可避免损害市场内的人体健康和人身安全。</w:t>
            </w:r>
          </w:p>
          <w:p>
            <w:pPr>
              <w:spacing w:line="360" w:lineRule="auto"/>
              <w:ind w:firstLine="480" w:firstLineChars="200"/>
              <w:outlineLvl w:val="9"/>
              <w:rPr>
                <w:rFonts w:hint="eastAsia" w:cs="Times New Roman"/>
                <w:b w:val="0"/>
                <w:bCs w:val="0"/>
                <w:snapToGrid w:val="0"/>
                <w:kern w:val="0"/>
                <w:sz w:val="24"/>
                <w:szCs w:val="24"/>
                <w:lang w:val="en-US" w:eastAsia="zh-CN" w:bidi="ar-SA"/>
              </w:rPr>
            </w:pPr>
            <w:bookmarkStart w:id="39" w:name="_Toc302766765"/>
            <w:r>
              <w:rPr>
                <w:rFonts w:hint="eastAsia" w:cs="Times New Roman"/>
                <w:b w:val="0"/>
                <w:bCs w:val="0"/>
                <w:snapToGrid w:val="0"/>
                <w:kern w:val="0"/>
                <w:sz w:val="24"/>
                <w:szCs w:val="24"/>
                <w:lang w:val="en-US" w:eastAsia="zh-CN" w:bidi="ar-SA"/>
              </w:rPr>
              <w:t>2、施工期废水影响分析</w:t>
            </w:r>
            <w:bookmarkEnd w:id="39"/>
            <w:r>
              <w:rPr>
                <w:rFonts w:hint="eastAsia" w:cs="Times New Roman"/>
                <w:b w:val="0"/>
                <w:bCs w:val="0"/>
                <w:snapToGrid w:val="0"/>
                <w:kern w:val="0"/>
                <w:sz w:val="24"/>
                <w:szCs w:val="24"/>
                <w:lang w:val="en-US" w:eastAsia="zh-CN" w:bidi="ar-SA"/>
              </w:rPr>
              <w:t xml:space="preserve"> </w:t>
            </w:r>
          </w:p>
          <w:p>
            <w:pPr>
              <w:spacing w:line="360" w:lineRule="auto"/>
              <w:ind w:firstLine="480" w:firstLineChars="200"/>
              <w:outlineLvl w:val="9"/>
              <w:rPr>
                <w:rFonts w:hint="eastAsia" w:cs="Times New Roman"/>
                <w:b w:val="0"/>
                <w:bCs w:val="0"/>
                <w:snapToGrid w:val="0"/>
                <w:kern w:val="0"/>
                <w:sz w:val="24"/>
                <w:szCs w:val="24"/>
                <w:lang w:val="en-US" w:eastAsia="zh-CN" w:bidi="ar-SA"/>
              </w:rPr>
            </w:pPr>
            <w:bookmarkStart w:id="40" w:name="_Toc302766766"/>
            <w:r>
              <w:rPr>
                <w:rFonts w:hint="eastAsia" w:cs="Times New Roman"/>
                <w:b w:val="0"/>
                <w:bCs w:val="0"/>
                <w:snapToGrid w:val="0"/>
                <w:kern w:val="0"/>
                <w:sz w:val="24"/>
                <w:szCs w:val="24"/>
                <w:lang w:val="en-US" w:eastAsia="zh-CN" w:bidi="ar-SA"/>
              </w:rPr>
              <w:t>施工期水污染源主要包括施工作业产生的施工废水和施工人员生活污水。</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施工生产废水为开挖和钻孔产生的泥浆水、浇注砼后的冲洗水、机械设备运转的冷却水和洗涤水、车辆清洗水等。施工污水的特点是悬浮物含量高，含有一定的油污，如肆意排放废水将对区域水环境造成一定的影响，项目产生的施工废水必须妥善处置，应通过建设临时隔油沉淀池处理后回用于施工生产，严禁外排，以保护项目周边水体。</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施工人员生活污水主要来自清洗污水和粪便污水等，其排放量的大小由现场施工人数来确定，项目建设期间不同时段，施工人员人数不同。本项目高峰期施工人员可达100人左右，最大排水量约为8m</w:t>
            </w:r>
            <w:r>
              <w:rPr>
                <w:rFonts w:hint="eastAsia" w:cs="Times New Roman"/>
                <w:b w:val="0"/>
                <w:bCs w:val="0"/>
                <w:snapToGrid w:val="0"/>
                <w:kern w:val="0"/>
                <w:sz w:val="24"/>
                <w:szCs w:val="24"/>
                <w:vertAlign w:val="superscript"/>
                <w:lang w:val="en-US" w:eastAsia="zh-CN" w:bidi="ar-SA"/>
              </w:rPr>
              <w:t>3</w:t>
            </w:r>
            <w:r>
              <w:rPr>
                <w:rFonts w:hint="eastAsia" w:cs="Times New Roman"/>
                <w:b w:val="0"/>
                <w:bCs w:val="0"/>
                <w:snapToGrid w:val="0"/>
                <w:kern w:val="0"/>
                <w:sz w:val="24"/>
                <w:szCs w:val="24"/>
                <w:lang w:val="en-US" w:eastAsia="zh-CN" w:bidi="ar-SA"/>
              </w:rPr>
              <w:t>/d，其主要污染物及其含量一般为：COD350mg/L、BOD</w:t>
            </w:r>
            <w:r>
              <w:rPr>
                <w:rFonts w:hint="eastAsia" w:cs="Times New Roman"/>
                <w:b w:val="0"/>
                <w:bCs w:val="0"/>
                <w:snapToGrid w:val="0"/>
                <w:kern w:val="0"/>
                <w:sz w:val="24"/>
                <w:szCs w:val="24"/>
                <w:vertAlign w:val="subscript"/>
                <w:lang w:val="en-US" w:eastAsia="zh-CN" w:bidi="ar-SA"/>
              </w:rPr>
              <w:t>5</w:t>
            </w:r>
            <w:r>
              <w:rPr>
                <w:rFonts w:hint="eastAsia" w:cs="Times New Roman"/>
                <w:b w:val="0"/>
                <w:bCs w:val="0"/>
                <w:snapToGrid w:val="0"/>
                <w:kern w:val="0"/>
                <w:sz w:val="24"/>
                <w:szCs w:val="24"/>
                <w:lang w:val="en-US" w:eastAsia="zh-CN" w:bidi="ar-SA"/>
              </w:rPr>
              <w:t>160mg/L、NH</w:t>
            </w:r>
            <w:r>
              <w:rPr>
                <w:rFonts w:hint="eastAsia" w:cs="Times New Roman"/>
                <w:b w:val="0"/>
                <w:bCs w:val="0"/>
                <w:snapToGrid w:val="0"/>
                <w:kern w:val="0"/>
                <w:sz w:val="24"/>
                <w:szCs w:val="24"/>
                <w:vertAlign w:val="subscript"/>
                <w:lang w:val="en-US" w:eastAsia="zh-CN" w:bidi="ar-SA"/>
              </w:rPr>
              <w:t>3</w:t>
            </w:r>
            <w:r>
              <w:rPr>
                <w:rFonts w:hint="eastAsia" w:cs="Times New Roman"/>
                <w:b w:val="0"/>
                <w:bCs w:val="0"/>
                <w:snapToGrid w:val="0"/>
                <w:kern w:val="0"/>
                <w:sz w:val="24"/>
                <w:szCs w:val="24"/>
                <w:lang w:val="en-US" w:eastAsia="zh-CN" w:bidi="ar-SA"/>
              </w:rPr>
              <w:t>-N30mg/L、SS230mg/L、TP3mg/L。由于施工人员较多，施工人员生活污水需采用化粪池处理后排入市政污水管网。</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3、施工期声环境影响分析</w:t>
            </w:r>
            <w:bookmarkEnd w:id="40"/>
          </w:p>
          <w:p>
            <w:pPr>
              <w:spacing w:line="360" w:lineRule="auto"/>
              <w:ind w:firstLine="480" w:firstLineChars="200"/>
              <w:outlineLvl w:val="9"/>
              <w:rPr>
                <w:rFonts w:hint="eastAsia" w:cs="Times New Roman"/>
                <w:b w:val="0"/>
                <w:bCs w:val="0"/>
                <w:snapToGrid w:val="0"/>
                <w:kern w:val="0"/>
                <w:sz w:val="24"/>
                <w:szCs w:val="24"/>
                <w:lang w:val="en-US" w:eastAsia="zh-CN" w:bidi="ar-SA"/>
              </w:rPr>
            </w:pPr>
            <w:bookmarkStart w:id="41" w:name="_Toc302766767"/>
            <w:r>
              <w:rPr>
                <w:rFonts w:hint="eastAsia" w:cs="Times New Roman"/>
                <w:b w:val="0"/>
                <w:bCs w:val="0"/>
                <w:snapToGrid w:val="0"/>
                <w:kern w:val="0"/>
                <w:sz w:val="24"/>
                <w:szCs w:val="24"/>
                <w:lang w:val="en-US" w:eastAsia="zh-CN" w:bidi="ar-SA"/>
              </w:rPr>
              <w:t>施工噪声主要可分为机械噪声、施工作业噪声和施工车辆噪声。建筑施工可分为土石方工程阶段、基础施工阶段、结构施工阶段和装修阶段。各阶段的施工设备产生的噪声具有阶段性、临时性和不固定性，不同的施工阶段有不同的噪声源。总体而言，主要的噪声源有挖掘机、推土机、装卸机、吊车、沙轮机、电钻、电梯、切割机等，但不同的施工队所拥有的建筑设备也不尽相同。</w:t>
            </w:r>
          </w:p>
          <w:p>
            <w:pPr>
              <w:spacing w:line="360" w:lineRule="auto"/>
              <w:ind w:firstLine="480" w:firstLineChars="200"/>
              <w:outlineLvl w:val="9"/>
              <w:rPr>
                <w:rFonts w:hint="eastAsia" w:ascii="Times New Roman" w:hAnsi="Times New Roman" w:cs="Times New Roman" w:eastAsiaTheme="minorEastAsia"/>
                <w:snapToGrid w:val="0"/>
                <w:kern w:val="0"/>
                <w:sz w:val="24"/>
                <w:szCs w:val="24"/>
                <w:lang w:val="en-US" w:eastAsia="zh-CN" w:bidi="ar-SA"/>
              </w:rPr>
            </w:pPr>
            <w:r>
              <w:rPr>
                <w:rFonts w:hint="eastAsia" w:cs="Times New Roman"/>
                <w:b w:val="0"/>
                <w:bCs w:val="0"/>
                <w:snapToGrid w:val="0"/>
                <w:kern w:val="0"/>
                <w:sz w:val="24"/>
                <w:szCs w:val="24"/>
                <w:lang w:val="en-US" w:eastAsia="zh-CN" w:bidi="ar-SA"/>
              </w:rPr>
              <w:t>上述影响范围计算公式采用点声源衰减公式：</w:t>
            </w:r>
          </w:p>
          <w:p>
            <w:pPr>
              <w:pStyle w:val="21"/>
              <w:spacing w:line="360" w:lineRule="auto"/>
              <w:ind w:left="0" w:leftChars="0" w:firstLine="0" w:firstLineChars="0"/>
              <w:jc w:val="center"/>
              <w:rPr>
                <w:rFonts w:hint="eastAsia" w:ascii="Times New Roman" w:hAnsi="Times New Roman" w:cs="Times New Roman" w:eastAsiaTheme="minorEastAsia"/>
                <w:snapToGrid w:val="0"/>
                <w:kern w:val="0"/>
                <w:sz w:val="24"/>
                <w:szCs w:val="24"/>
                <w:lang w:val="en-US" w:eastAsia="zh-CN" w:bidi="ar-SA"/>
              </w:rPr>
            </w:pPr>
            <w:r>
              <w:rPr>
                <w:rFonts w:hint="eastAsia" w:ascii="Times New Roman" w:hAnsi="Times New Roman" w:cs="Times New Roman" w:eastAsiaTheme="minorEastAsia"/>
                <w:snapToGrid w:val="0"/>
                <w:kern w:val="0"/>
                <w:sz w:val="24"/>
                <w:szCs w:val="24"/>
                <w:lang w:val="en-US" w:eastAsia="zh-CN" w:bidi="ar-SA"/>
              </w:rPr>
              <w:t>L</w:t>
            </w:r>
            <w:r>
              <w:rPr>
                <w:rFonts w:hint="eastAsia" w:ascii="Times New Roman" w:hAnsi="Times New Roman" w:cs="Times New Roman" w:eastAsiaTheme="minorEastAsia"/>
                <w:snapToGrid w:val="0"/>
                <w:kern w:val="0"/>
                <w:sz w:val="24"/>
                <w:szCs w:val="24"/>
                <w:vertAlign w:val="subscript"/>
                <w:lang w:val="en-US" w:eastAsia="zh-CN" w:bidi="ar-SA"/>
              </w:rPr>
              <w:t>2</w:t>
            </w:r>
            <w:r>
              <w:rPr>
                <w:rFonts w:hint="eastAsia" w:ascii="Times New Roman" w:hAnsi="Times New Roman" w:cs="Times New Roman" w:eastAsiaTheme="minorEastAsia"/>
                <w:snapToGrid w:val="0"/>
                <w:kern w:val="0"/>
                <w:sz w:val="24"/>
                <w:szCs w:val="24"/>
                <w:lang w:val="en-US" w:eastAsia="zh-CN" w:bidi="ar-SA"/>
              </w:rPr>
              <w:t>=L</w:t>
            </w:r>
            <w:r>
              <w:rPr>
                <w:rFonts w:hint="eastAsia" w:ascii="Times New Roman" w:hAnsi="Times New Roman" w:cs="Times New Roman" w:eastAsiaTheme="minorEastAsia"/>
                <w:snapToGrid w:val="0"/>
                <w:kern w:val="0"/>
                <w:sz w:val="24"/>
                <w:szCs w:val="24"/>
                <w:vertAlign w:val="subscript"/>
                <w:lang w:val="en-US" w:eastAsia="zh-CN" w:bidi="ar-SA"/>
              </w:rPr>
              <w:t>1</w:t>
            </w:r>
            <w:r>
              <w:rPr>
                <w:rFonts w:hint="eastAsia" w:ascii="Times New Roman" w:hAnsi="Times New Roman" w:cs="Times New Roman" w:eastAsiaTheme="minorEastAsia"/>
                <w:snapToGrid w:val="0"/>
                <w:kern w:val="0"/>
                <w:sz w:val="24"/>
                <w:szCs w:val="24"/>
                <w:lang w:val="en-US" w:eastAsia="zh-CN" w:bidi="ar-SA"/>
              </w:rPr>
              <w:t>-20lg（r</w:t>
            </w:r>
            <w:r>
              <w:rPr>
                <w:rFonts w:hint="eastAsia" w:ascii="Times New Roman" w:hAnsi="Times New Roman" w:cs="Times New Roman" w:eastAsiaTheme="minorEastAsia"/>
                <w:snapToGrid w:val="0"/>
                <w:kern w:val="0"/>
                <w:sz w:val="24"/>
                <w:szCs w:val="24"/>
                <w:vertAlign w:val="subscript"/>
                <w:lang w:val="en-US" w:eastAsia="zh-CN" w:bidi="ar-SA"/>
              </w:rPr>
              <w:t>2</w:t>
            </w:r>
            <w:r>
              <w:rPr>
                <w:rFonts w:hint="eastAsia" w:ascii="Times New Roman" w:hAnsi="Times New Roman" w:cs="Times New Roman" w:eastAsiaTheme="minorEastAsia"/>
                <w:snapToGrid w:val="0"/>
                <w:kern w:val="0"/>
                <w:sz w:val="24"/>
                <w:szCs w:val="24"/>
                <w:lang w:val="en-US" w:eastAsia="zh-CN" w:bidi="ar-SA"/>
              </w:rPr>
              <w:t>/r</w:t>
            </w:r>
            <w:r>
              <w:rPr>
                <w:rFonts w:hint="eastAsia" w:ascii="Times New Roman" w:hAnsi="Times New Roman" w:cs="Times New Roman" w:eastAsiaTheme="minorEastAsia"/>
                <w:snapToGrid w:val="0"/>
                <w:kern w:val="0"/>
                <w:sz w:val="24"/>
                <w:szCs w:val="24"/>
                <w:vertAlign w:val="subscript"/>
                <w:lang w:val="en-US" w:eastAsia="zh-CN" w:bidi="ar-SA"/>
              </w:rPr>
              <w:t>1</w:t>
            </w:r>
            <w:r>
              <w:rPr>
                <w:rFonts w:hint="eastAsia" w:ascii="Times New Roman" w:hAnsi="Times New Roman" w:cs="Times New Roman" w:eastAsiaTheme="minorEastAsia"/>
                <w:snapToGrid w:val="0"/>
                <w:kern w:val="0"/>
                <w:sz w:val="24"/>
                <w:szCs w:val="24"/>
                <w:lang w:val="en-US" w:eastAsia="zh-CN" w:bidi="ar-SA"/>
              </w:rPr>
              <w:t>）</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式中：L</w:t>
            </w:r>
            <w:r>
              <w:rPr>
                <w:rFonts w:hint="eastAsia" w:cs="Times New Roman"/>
                <w:b w:val="0"/>
                <w:bCs w:val="0"/>
                <w:snapToGrid w:val="0"/>
                <w:kern w:val="0"/>
                <w:sz w:val="24"/>
                <w:szCs w:val="24"/>
                <w:vertAlign w:val="subscript"/>
                <w:lang w:val="en-US" w:eastAsia="zh-CN" w:bidi="ar-SA"/>
              </w:rPr>
              <w:t>1</w:t>
            </w:r>
            <w:r>
              <w:rPr>
                <w:rFonts w:hint="eastAsia" w:cs="Times New Roman"/>
                <w:b w:val="0"/>
                <w:bCs w:val="0"/>
                <w:snapToGrid w:val="0"/>
                <w:kern w:val="0"/>
                <w:sz w:val="24"/>
                <w:szCs w:val="24"/>
                <w:lang w:val="en-US" w:eastAsia="zh-CN" w:bidi="ar-SA"/>
              </w:rPr>
              <w:t>、L</w:t>
            </w:r>
            <w:r>
              <w:rPr>
                <w:rFonts w:hint="eastAsia" w:cs="Times New Roman"/>
                <w:b w:val="0"/>
                <w:bCs w:val="0"/>
                <w:snapToGrid w:val="0"/>
                <w:kern w:val="0"/>
                <w:sz w:val="24"/>
                <w:szCs w:val="24"/>
                <w:vertAlign w:val="subscript"/>
                <w:lang w:val="en-US" w:eastAsia="zh-CN" w:bidi="ar-SA"/>
              </w:rPr>
              <w:t>2</w:t>
            </w:r>
            <w:r>
              <w:rPr>
                <w:rFonts w:hint="eastAsia" w:cs="Times New Roman"/>
                <w:b w:val="0"/>
                <w:bCs w:val="0"/>
                <w:snapToGrid w:val="0"/>
                <w:kern w:val="0"/>
                <w:sz w:val="24"/>
                <w:szCs w:val="24"/>
                <w:lang w:val="en-US" w:eastAsia="zh-CN" w:bidi="ar-SA"/>
              </w:rPr>
              <w:t>——为距声源r</w:t>
            </w:r>
            <w:r>
              <w:rPr>
                <w:rFonts w:hint="eastAsia" w:cs="Times New Roman"/>
                <w:b w:val="0"/>
                <w:bCs w:val="0"/>
                <w:snapToGrid w:val="0"/>
                <w:kern w:val="0"/>
                <w:sz w:val="24"/>
                <w:szCs w:val="24"/>
                <w:vertAlign w:val="subscript"/>
                <w:lang w:val="en-US" w:eastAsia="zh-CN" w:bidi="ar-SA"/>
              </w:rPr>
              <w:t>1</w:t>
            </w:r>
            <w:r>
              <w:rPr>
                <w:rFonts w:hint="eastAsia" w:cs="Times New Roman"/>
                <w:b w:val="0"/>
                <w:bCs w:val="0"/>
                <w:snapToGrid w:val="0"/>
                <w:kern w:val="0"/>
                <w:sz w:val="24"/>
                <w:szCs w:val="24"/>
                <w:lang w:val="en-US" w:eastAsia="zh-CN" w:bidi="ar-SA"/>
              </w:rPr>
              <w:t>、r</w:t>
            </w:r>
            <w:r>
              <w:rPr>
                <w:rFonts w:hint="eastAsia" w:cs="Times New Roman"/>
                <w:b w:val="0"/>
                <w:bCs w:val="0"/>
                <w:snapToGrid w:val="0"/>
                <w:kern w:val="0"/>
                <w:sz w:val="24"/>
                <w:szCs w:val="24"/>
                <w:vertAlign w:val="subscript"/>
                <w:lang w:val="en-US" w:eastAsia="zh-CN" w:bidi="ar-SA"/>
              </w:rPr>
              <w:t>2</w:t>
            </w:r>
            <w:r>
              <w:rPr>
                <w:rFonts w:hint="eastAsia" w:cs="Times New Roman"/>
                <w:b w:val="0"/>
                <w:bCs w:val="0"/>
                <w:snapToGrid w:val="0"/>
                <w:kern w:val="0"/>
                <w:sz w:val="24"/>
                <w:szCs w:val="24"/>
                <w:lang w:val="en-US" w:eastAsia="zh-CN" w:bidi="ar-SA"/>
              </w:rPr>
              <w:t>处的等效A声级[dB(A)]；</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 xml:space="preserve">       r</w:t>
            </w:r>
            <w:r>
              <w:rPr>
                <w:rFonts w:hint="eastAsia" w:cs="Times New Roman"/>
                <w:b w:val="0"/>
                <w:bCs w:val="0"/>
                <w:snapToGrid w:val="0"/>
                <w:kern w:val="0"/>
                <w:sz w:val="24"/>
                <w:szCs w:val="24"/>
                <w:vertAlign w:val="subscript"/>
                <w:lang w:val="en-US" w:eastAsia="zh-CN" w:bidi="ar-SA"/>
              </w:rPr>
              <w:t>1</w:t>
            </w:r>
            <w:r>
              <w:rPr>
                <w:rFonts w:hint="eastAsia" w:cs="Times New Roman"/>
                <w:b w:val="0"/>
                <w:bCs w:val="0"/>
                <w:snapToGrid w:val="0"/>
                <w:kern w:val="0"/>
                <w:sz w:val="24"/>
                <w:szCs w:val="24"/>
                <w:lang w:val="en-US" w:eastAsia="zh-CN" w:bidi="ar-SA"/>
              </w:rPr>
              <w:t>、r</w:t>
            </w:r>
            <w:r>
              <w:rPr>
                <w:rFonts w:hint="eastAsia" w:cs="Times New Roman"/>
                <w:b w:val="0"/>
                <w:bCs w:val="0"/>
                <w:snapToGrid w:val="0"/>
                <w:kern w:val="0"/>
                <w:sz w:val="24"/>
                <w:szCs w:val="24"/>
                <w:vertAlign w:val="subscript"/>
                <w:lang w:val="en-US" w:eastAsia="zh-CN" w:bidi="ar-SA"/>
              </w:rPr>
              <w:t>2</w:t>
            </w:r>
            <w:r>
              <w:rPr>
                <w:rFonts w:hint="eastAsia" w:cs="Times New Roman"/>
                <w:b w:val="0"/>
                <w:bCs w:val="0"/>
                <w:snapToGrid w:val="0"/>
                <w:kern w:val="0"/>
                <w:sz w:val="24"/>
                <w:szCs w:val="24"/>
                <w:lang w:val="en-US" w:eastAsia="zh-CN" w:bidi="ar-SA"/>
              </w:rPr>
              <w:t>——为接受点距声源的距离（m）。</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表7-2为施工机械噪声源强及影响状况。</w:t>
            </w:r>
          </w:p>
          <w:p>
            <w:pPr>
              <w:spacing w:line="360" w:lineRule="auto"/>
              <w:jc w:val="center"/>
              <w:outlineLvl w:val="9"/>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w:t>
            </w:r>
            <w:r>
              <w:rPr>
                <w:rFonts w:hint="eastAsia" w:ascii="Times New Roman" w:hAnsi="Times New Roman" w:cs="Times New Roman"/>
                <w:b/>
                <w:bCs/>
                <w:sz w:val="21"/>
                <w:szCs w:val="21"/>
                <w:lang w:val="en-US" w:eastAsia="zh-CN"/>
              </w:rPr>
              <w:t>-2  各种施工机械在不同距离的噪声值    单位：dB（A）</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09"/>
              <w:gridCol w:w="624"/>
              <w:gridCol w:w="619"/>
              <w:gridCol w:w="621"/>
              <w:gridCol w:w="621"/>
              <w:gridCol w:w="622"/>
              <w:gridCol w:w="620"/>
              <w:gridCol w:w="621"/>
              <w:gridCol w:w="622"/>
              <w:gridCol w:w="622"/>
              <w:gridCol w:w="622"/>
              <w:gridCol w:w="5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2"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b/>
                      <w:bCs/>
                      <w:sz w:val="21"/>
                    </w:rPr>
                    <mc:AlternateContent>
                      <mc:Choice Requires="wps">
                        <w:drawing>
                          <wp:anchor distT="0" distB="0" distL="114300" distR="114300" simplePos="0" relativeHeight="3777118208" behindDoc="0" locked="0" layoutInCell="1" allowOverlap="1">
                            <wp:simplePos x="0" y="0"/>
                            <wp:positionH relativeFrom="column">
                              <wp:posOffset>-62865</wp:posOffset>
                            </wp:positionH>
                            <wp:positionV relativeFrom="paragraph">
                              <wp:posOffset>12700</wp:posOffset>
                            </wp:positionV>
                            <wp:extent cx="1143000" cy="424180"/>
                            <wp:effectExtent l="1905" t="4445" r="17145" b="9525"/>
                            <wp:wrapNone/>
                            <wp:docPr id="22" name="直接连接符 22"/>
                            <wp:cNvGraphicFramePr/>
                            <a:graphic xmlns:a="http://schemas.openxmlformats.org/drawingml/2006/main">
                              <a:graphicData uri="http://schemas.microsoft.com/office/word/2010/wordprocessingShape">
                                <wps:wsp>
                                  <wps:cNvCnPr/>
                                  <wps:spPr>
                                    <a:xfrm>
                                      <a:off x="1007110" y="7107555"/>
                                      <a:ext cx="1143000" cy="424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pt;margin-top:1pt;height:33.4pt;width:90pt;z-index:-517849088;mso-width-relative:page;mso-height-relative:page;" filled="f" stroked="t" coordsize="21600,21600" o:gfxdata="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XtI&#10;/NUAAAAHAQAADwAAAAAAAAABACAAAAAiAAAAZHJzL2Rvd25yZXYueG1sUEsBAhQAFAAAAAgAh07i&#10;QCFCes/sAQAArQMAAA4AAAAAAAAAAQAgAAAAJAEAAGRycy9lMm9Eb2MueG1sUEsFBgAAAAAGAAYA&#10;WQEAAIIFAAAAAA==&#10;">
                            <v:fill on="f" focussize="0,0"/>
                            <v:stroke color="#000000 [3213]" joinstyle="round"/>
                            <v:imagedata o:title=""/>
                            <o:lock v:ext="edit" aspectratio="f"/>
                          </v:line>
                        </w:pict>
                      </mc:Fallback>
                    </mc:AlternateContent>
                  </w:r>
                  <w:r>
                    <w:rPr>
                      <w:rFonts w:hint="default" w:ascii="Times New Roman" w:hAnsi="Times New Roman" w:cs="Times New Roman"/>
                      <w:b/>
                      <w:bCs/>
                      <w:kern w:val="28"/>
                      <w:sz w:val="21"/>
                      <w:szCs w:val="21"/>
                      <w:u w:val="none"/>
                    </w:rPr>
                    <w:t xml:space="preserve">     </w:t>
                  </w:r>
                  <w:r>
                    <w:rPr>
                      <w:rFonts w:hint="eastAsia" w:ascii="Times New Roman" w:hAnsi="Times New Roman" w:cs="Times New Roman"/>
                      <w:b/>
                      <w:bCs/>
                      <w:kern w:val="28"/>
                      <w:sz w:val="21"/>
                      <w:szCs w:val="21"/>
                      <w:u w:val="none"/>
                      <w:lang w:val="en-US" w:eastAsia="zh-CN"/>
                    </w:rPr>
                    <w:t xml:space="preserve">      </w:t>
                  </w:r>
                  <w:r>
                    <w:rPr>
                      <w:rFonts w:hint="default" w:ascii="Times New Roman" w:hAnsi="Times New Roman" w:cs="Times New Roman"/>
                      <w:b/>
                      <w:bCs/>
                      <w:kern w:val="28"/>
                      <w:sz w:val="21"/>
                      <w:szCs w:val="21"/>
                      <w:u w:val="none"/>
                    </w:rPr>
                    <w:t>距离</w:t>
                  </w:r>
                </w:p>
                <w:p>
                  <w:pPr>
                    <w:adjustRightInd w:val="0"/>
                    <w:snapToGrid w:val="0"/>
                    <w:spacing w:line="240" w:lineRule="auto"/>
                    <w:ind w:firstLine="0" w:firstLineChars="0"/>
                    <w:jc w:val="both"/>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设备</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5</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10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20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30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40</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50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60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70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80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100</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rPr>
                  </w:pPr>
                  <w:r>
                    <w:rPr>
                      <w:rFonts w:hint="default" w:ascii="Times New Roman" w:hAnsi="Times New Roman" w:cs="Times New Roman"/>
                      <w:b/>
                      <w:bCs/>
                      <w:kern w:val="28"/>
                      <w:sz w:val="21"/>
                      <w:szCs w:val="21"/>
                      <w:u w:val="none"/>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装载机</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76</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64</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58</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54</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53</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52</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50</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推土机</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72</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56</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54</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52</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49</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48</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46</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挖掘机</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81</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75</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69</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65</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63</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61</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59</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58</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57</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55</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卡车</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71</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65</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59</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55</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53</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51</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49</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48</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47</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45</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电锯、电刨</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89</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83</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77</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73</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71</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69</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67</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65</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63</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振捣棒</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81</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75</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69</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65</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63</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61</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59</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58</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57</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55</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电钻、手工钻</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91</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85</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78</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75</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73</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71</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69</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68</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67</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65</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多功能木工刨</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76</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64</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58</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54</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53</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52</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50</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磨光机</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86</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80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74</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74</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68</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64</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63</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62</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60</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卷扬机</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66</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54</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48</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44</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43</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42</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40</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183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吊车、升降机</w:t>
                  </w:r>
                </w:p>
              </w:tc>
              <w:tc>
                <w:tcPr>
                  <w:tcW w:w="63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66</w:t>
                  </w:r>
                </w:p>
              </w:tc>
              <w:tc>
                <w:tcPr>
                  <w:tcW w:w="62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60</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54</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50</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48</w:t>
                  </w:r>
                </w:p>
              </w:tc>
              <w:tc>
                <w:tcPr>
                  <w:tcW w:w="62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46</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44</w:t>
                  </w:r>
                </w:p>
              </w:tc>
              <w:tc>
                <w:tcPr>
                  <w:tcW w:w="6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43</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42</w:t>
                  </w:r>
                </w:p>
              </w:tc>
              <w:tc>
                <w:tcPr>
                  <w:tcW w:w="6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40</w:t>
                  </w:r>
                </w:p>
              </w:tc>
              <w:tc>
                <w:tcPr>
                  <w:tcW w:w="6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rPr>
                  </w:pPr>
                  <w:r>
                    <w:rPr>
                      <w:rFonts w:hint="default" w:ascii="Times New Roman" w:hAnsi="Times New Roman" w:cs="Times New Roman"/>
                      <w:kern w:val="28"/>
                      <w:sz w:val="21"/>
                      <w:szCs w:val="21"/>
                      <w:u w:val="none"/>
                    </w:rPr>
                    <w:t>38</w:t>
                  </w:r>
                </w:p>
              </w:tc>
            </w:tr>
          </w:tbl>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根据表7-2的预测结果可知，施工机械噪声在空旷地带的传播距离较远，施工期主要噪声源经过100m距离衰减后噪声可降低到65dB(A)以下，基本可以符合《建筑施工场界环境噪声排放标准》(GB12523-2011)的要求；若施工作业恰在建设项目边界，且衰减距离小于100m，则会对周围的声环境造成一定的影响，但边界施工期噪声一般都是短期暂时性的。项目拟建地周边500m范围内无环境敏感点，因此项目施工期间对周边声环境影响较小。</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为了减轻施工噪声对周围环境的影响，建议采取以下措施：</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1）施工应安排在昼间6：00~12：00、14：00~22：00期间进行，中午及夜间休息时间禁止施工；若由于工程需要，确实要进行夜间连续施工的，必须取得相应主管部门的批准，同时搞好施工组织，将高噪声施工活动放在昼间进行、避免在夜间进行高噪声施工，施工应确保上述边界夜间声级不超出《建筑施工场界环境噪声排放标准》（GB12523-2011）的限值要求，即夜间≤55dB(A)。另外，禁止在重要节假日进行施工作业。</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（2）制订合理的施工计划，尽可能避免高噪声设备同时施工。高噪声施工时间尽量安排在昼间进行，除抢险等特殊情况外，严禁夜间进行高噪声施工作业。</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（3）合理布局高噪声设备在场内的布局，避免在同一地点安排大量动力机械设备，以免局部声级过高。</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（4）施工单位应尽量选用低噪声或带有隔音、消音的机械设备，如以液压机械代替燃油机械，并加强对设备的维护保养。</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（5）降低人为噪声，按规定操作机械设备，模板、支架拆卸吊装过程中，遵守作业规定，减少碰撞噪音。尽量少用哨子等指挥作业，而代以现代化设备，如用无线对讲机等。</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（6）对位置相对固定的高噪声机械设备，尽量在工棚内操作，不能进入棚内的，</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可采取围档之类的单面声屏障。对各施工环节中噪声较为突出且又难以对声源进行降噪可能的设备装置，应采取临时围障措施，围障最好敷以吸声材料，以此达到降噪效果。</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（7）加强运输车辆的管理，按规定组织车辆运输，合理规定运输通道。施工场地内道路应尽量保持平坦，减少由于道路不平而引起的车辆颠簸噪声。</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根据经验，在采取上述治理及控制措施后，各类机械设备的施工噪声能从影响程度、影响时间及影响强度等方面得以一定程度的削减。但由于建筑作业难以做到全封闭施工，因此建设单位和施工单位应对施工期的噪声污染防治引起重视，落实控制措施，尽可能将该影响控制在最低水平。施工噪声对环境的不利影响是短暂，将随着施工期的结束而消失。</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4、施工期固体废物环境影响分析</w:t>
            </w:r>
            <w:bookmarkEnd w:id="41"/>
          </w:p>
          <w:p>
            <w:pPr>
              <w:spacing w:line="360" w:lineRule="auto"/>
              <w:ind w:firstLine="480" w:firstLineChars="200"/>
              <w:outlineLvl w:val="9"/>
              <w:rPr>
                <w:rFonts w:hint="eastAsia" w:cs="Times New Roman"/>
                <w:b w:val="0"/>
                <w:bCs w:val="0"/>
                <w:snapToGrid w:val="0"/>
                <w:kern w:val="0"/>
                <w:sz w:val="24"/>
                <w:szCs w:val="24"/>
                <w:lang w:val="en-US" w:eastAsia="zh-CN" w:bidi="ar-SA"/>
              </w:rPr>
            </w:pPr>
            <w:bookmarkStart w:id="42" w:name="_Toc302766768"/>
            <w:r>
              <w:rPr>
                <w:rFonts w:hint="eastAsia" w:cs="Times New Roman"/>
                <w:b w:val="0"/>
                <w:bCs w:val="0"/>
                <w:snapToGrid w:val="0"/>
                <w:kern w:val="0"/>
                <w:sz w:val="24"/>
                <w:szCs w:val="24"/>
                <w:lang w:val="en-US" w:eastAsia="zh-CN" w:bidi="ar-SA"/>
              </w:rPr>
              <w:t>施工期固体废物主要为施工人员生活垃圾、建筑垃圾及废弃土石方。</w:t>
            </w:r>
          </w:p>
          <w:bookmarkEnd w:id="42"/>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（1）生活垃圾</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施工过程中产生的生活垃圾如不及时进行清理，则会腐烂变质，孳生蚊虫苍蝇，产生恶臭，传染疾病，从而对周围环境和作业人员健康带来不利影响。故对施工人员的生活垃圾应定点存放、及时收集，回收可利用物质，将生活垃圾减量化、资源化后委托环卫部门统一收集处理，管理得当、收集清运及时则不会对环境造成影响。</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本项目施工期间生活垃圾产生总量为15t，要求设专人打扫卫生，设置垃圾箱、垃圾桶，每天收集施工区域的生活垃圾，交由环卫部门统一清运、处理。</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（2）建筑垃圾</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本项目建筑垃圾产生总量51.77t，建设单位拟对其进行集中堆放，按类分检予以回收，不能回收利用的运往渣土部门指定的场所填埋处置，对区域环境影响较小。</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（3）弃土</w:t>
            </w:r>
          </w:p>
          <w:p>
            <w:pPr>
              <w:spacing w:line="360" w:lineRule="auto"/>
              <w:ind w:firstLine="480" w:firstLineChars="200"/>
              <w:outlineLvl w:val="9"/>
              <w:rPr>
                <w:rFonts w:hint="eastAsia"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根据环评现场勘查，项目拟建地目前已完成三通一平，施工期土石方开挖与回填基本可做到平衡，无废弃土石方外运。</w:t>
            </w:r>
          </w:p>
          <w:p>
            <w:pPr>
              <w:spacing w:line="360" w:lineRule="auto"/>
              <w:ind w:firstLine="480" w:firstLineChars="200"/>
              <w:outlineLvl w:val="9"/>
              <w:rPr>
                <w:rFonts w:hint="default" w:cs="Times New Roman"/>
                <w:b w:val="0"/>
                <w:bCs w:val="0"/>
                <w:snapToGrid w:val="0"/>
                <w:kern w:val="0"/>
                <w:sz w:val="24"/>
                <w:szCs w:val="24"/>
                <w:lang w:val="en-US" w:eastAsia="zh-CN" w:bidi="ar-SA"/>
              </w:rPr>
            </w:pPr>
            <w:r>
              <w:rPr>
                <w:rFonts w:hint="eastAsia" w:cs="Times New Roman"/>
                <w:b w:val="0"/>
                <w:bCs w:val="0"/>
                <w:snapToGrid w:val="0"/>
                <w:kern w:val="0"/>
                <w:sz w:val="24"/>
                <w:szCs w:val="24"/>
                <w:lang w:val="en-US" w:eastAsia="zh-CN" w:bidi="ar-SA"/>
              </w:rPr>
              <w:t>5、</w:t>
            </w:r>
            <w:r>
              <w:rPr>
                <w:rFonts w:hint="default" w:cs="Times New Roman"/>
                <w:b w:val="0"/>
                <w:bCs w:val="0"/>
                <w:snapToGrid w:val="0"/>
                <w:kern w:val="0"/>
                <w:sz w:val="24"/>
                <w:szCs w:val="24"/>
                <w:lang w:val="en-US" w:eastAsia="zh-CN" w:bidi="ar-SA"/>
              </w:rPr>
              <w:t>施工期对生态环境的影响</w:t>
            </w:r>
          </w:p>
          <w:p>
            <w:pPr>
              <w:spacing w:line="360" w:lineRule="auto"/>
              <w:ind w:firstLine="480" w:firstLineChars="200"/>
              <w:outlineLvl w:val="9"/>
              <w:rPr>
                <w:rFonts w:hint="default" w:cs="Times New Roman"/>
                <w:b w:val="0"/>
                <w:bCs w:val="0"/>
                <w:snapToGrid w:val="0"/>
                <w:kern w:val="0"/>
                <w:sz w:val="24"/>
                <w:szCs w:val="24"/>
                <w:lang w:val="en-US" w:eastAsia="zh-CN" w:bidi="ar-SA"/>
              </w:rPr>
            </w:pPr>
            <w:r>
              <w:rPr>
                <w:rFonts w:hint="default" w:cs="Times New Roman"/>
                <w:b w:val="0"/>
                <w:bCs w:val="0"/>
                <w:snapToGrid w:val="0"/>
                <w:kern w:val="0"/>
                <w:sz w:val="24"/>
                <w:szCs w:val="24"/>
                <w:lang w:val="en-US" w:eastAsia="zh-CN" w:bidi="ar-SA"/>
              </w:rPr>
              <w:t>本项目的施工建设，将使部分区域现有生态环境发生不逆转的变化，区域生态环境将会受到明显损害。建设期间的主要环境影响表现在以下几个方面：</w:t>
            </w:r>
          </w:p>
          <w:p>
            <w:pPr>
              <w:spacing w:line="360" w:lineRule="auto"/>
              <w:ind w:firstLine="480" w:firstLineChars="200"/>
              <w:outlineLvl w:val="9"/>
              <w:rPr>
                <w:rFonts w:hint="default" w:cs="Times New Roman"/>
                <w:b w:val="0"/>
                <w:bCs w:val="0"/>
                <w:snapToGrid w:val="0"/>
                <w:kern w:val="0"/>
                <w:sz w:val="24"/>
                <w:szCs w:val="24"/>
                <w:lang w:val="en-US" w:eastAsia="zh-CN" w:bidi="ar-SA"/>
              </w:rPr>
            </w:pPr>
            <w:r>
              <w:rPr>
                <w:rFonts w:hint="default" w:cs="Times New Roman"/>
                <w:b w:val="0"/>
                <w:bCs w:val="0"/>
                <w:snapToGrid w:val="0"/>
                <w:kern w:val="0"/>
                <w:sz w:val="24"/>
                <w:szCs w:val="24"/>
                <w:lang w:val="en-US" w:eastAsia="zh-CN" w:bidi="ar-SA"/>
              </w:rPr>
              <w:t>（1）对生态要素的影响：施工过程扰乱了土壤的土层结构，既会造成水土流失，也降低了生态系统的承载力，也可能造成对水环境的影响。</w:t>
            </w:r>
          </w:p>
          <w:p>
            <w:pPr>
              <w:spacing w:line="360" w:lineRule="auto"/>
              <w:ind w:firstLine="480" w:firstLineChars="200"/>
              <w:outlineLvl w:val="9"/>
              <w:rPr>
                <w:rFonts w:hint="default" w:cs="Times New Roman"/>
                <w:b w:val="0"/>
                <w:bCs w:val="0"/>
                <w:snapToGrid w:val="0"/>
                <w:kern w:val="0"/>
                <w:sz w:val="24"/>
                <w:szCs w:val="24"/>
                <w:lang w:val="en-US" w:eastAsia="zh-CN" w:bidi="ar-SA"/>
              </w:rPr>
            </w:pPr>
            <w:r>
              <w:rPr>
                <w:rFonts w:hint="default" w:cs="Times New Roman"/>
                <w:b w:val="0"/>
                <w:bCs w:val="0"/>
                <w:snapToGrid w:val="0"/>
                <w:kern w:val="0"/>
                <w:sz w:val="24"/>
                <w:szCs w:val="24"/>
                <w:lang w:val="en-US" w:eastAsia="zh-CN" w:bidi="ar-SA"/>
              </w:rPr>
              <w:t>（2）对植被的影响：主要是施工期对地表植被的破坏，以及地表开挖造成的水土流失。但这些活动属于不连续的局部影响，在施工时做到科学管理，并结合项目建成后</w:t>
            </w:r>
            <w:r>
              <w:rPr>
                <w:rFonts w:hint="eastAsia" w:cs="Times New Roman"/>
                <w:b w:val="0"/>
                <w:bCs w:val="0"/>
                <w:snapToGrid w:val="0"/>
                <w:kern w:val="0"/>
                <w:sz w:val="24"/>
                <w:szCs w:val="24"/>
                <w:lang w:val="en-US" w:eastAsia="zh-CN" w:bidi="ar-SA"/>
              </w:rPr>
              <w:t>的绿化建设</w:t>
            </w:r>
            <w:r>
              <w:rPr>
                <w:rFonts w:hint="default" w:cs="Times New Roman"/>
                <w:b w:val="0"/>
                <w:bCs w:val="0"/>
                <w:snapToGrid w:val="0"/>
                <w:kern w:val="0"/>
                <w:sz w:val="24"/>
                <w:szCs w:val="24"/>
                <w:lang w:val="en-US" w:eastAsia="zh-CN" w:bidi="ar-SA"/>
              </w:rPr>
              <w:t>，整体上不会对项目拟建场地生态环境系统造成较大影响。随着</w:t>
            </w:r>
            <w:r>
              <w:rPr>
                <w:rFonts w:hint="eastAsia" w:cs="Times New Roman"/>
                <w:b w:val="0"/>
                <w:bCs w:val="0"/>
                <w:snapToGrid w:val="0"/>
                <w:kern w:val="0"/>
                <w:sz w:val="24"/>
                <w:szCs w:val="24"/>
                <w:lang w:val="en-US" w:eastAsia="zh-CN" w:bidi="ar-SA"/>
              </w:rPr>
              <w:t>项目绿化的不断完善</w:t>
            </w:r>
            <w:r>
              <w:rPr>
                <w:rFonts w:hint="default" w:cs="Times New Roman"/>
                <w:b w:val="0"/>
                <w:bCs w:val="0"/>
                <w:snapToGrid w:val="0"/>
                <w:kern w:val="0"/>
                <w:sz w:val="24"/>
                <w:szCs w:val="24"/>
                <w:lang w:val="en-US" w:eastAsia="zh-CN" w:bidi="ar-SA"/>
              </w:rPr>
              <w:t>，会增加本项目所在区域的生物多样性，对原有的生态环境系统起到改善和增加作用。本项目对生态环境的影响因素主要体现在以下几个方面：施工阶段造成植被的破坏，减少了生物量；施工阶段永久占用的土地受到不同程度的扰动，扰动原地貌新增了当地的水土流失；施工阶段若对挖方、填方管理不善，在降雨季节，弃土堆受到雨水冲蚀，将造成水土流失。</w:t>
            </w:r>
          </w:p>
          <w:p>
            <w:pPr>
              <w:spacing w:line="360" w:lineRule="auto"/>
              <w:ind w:firstLine="480" w:firstLineChars="200"/>
              <w:outlineLvl w:val="9"/>
              <w:rPr>
                <w:rFonts w:hint="eastAsia"/>
                <w:sz w:val="24"/>
                <w:lang w:val="en-US" w:eastAsia="zh-CN"/>
              </w:rPr>
            </w:pPr>
            <w:r>
              <w:rPr>
                <w:rFonts w:hint="default" w:cs="Times New Roman"/>
                <w:b w:val="0"/>
                <w:bCs w:val="0"/>
                <w:snapToGrid w:val="0"/>
                <w:kern w:val="0"/>
                <w:sz w:val="24"/>
                <w:szCs w:val="24"/>
                <w:lang w:val="en-US" w:eastAsia="zh-CN" w:bidi="ar-SA"/>
              </w:rPr>
              <w:t>（3）对野生动物的影响：</w:t>
            </w:r>
            <w:r>
              <w:rPr>
                <w:rFonts w:hint="eastAsia" w:cs="Times New Roman"/>
                <w:b w:val="0"/>
                <w:bCs w:val="0"/>
                <w:snapToGrid w:val="0"/>
                <w:kern w:val="0"/>
                <w:sz w:val="24"/>
                <w:szCs w:val="24"/>
                <w:lang w:val="en-US" w:eastAsia="zh-CN" w:bidi="ar-SA"/>
              </w:rPr>
              <w:t>项目拟建地属于工业集中区，</w:t>
            </w:r>
            <w:r>
              <w:rPr>
                <w:rFonts w:hint="default" w:cs="Times New Roman"/>
                <w:b w:val="0"/>
                <w:bCs w:val="0"/>
                <w:snapToGrid w:val="0"/>
                <w:kern w:val="0"/>
                <w:sz w:val="24"/>
                <w:szCs w:val="24"/>
                <w:lang w:val="en-US" w:eastAsia="zh-CN" w:bidi="ar-SA"/>
              </w:rPr>
              <w:t>本地区无大型野生动物，</w:t>
            </w:r>
            <w:r>
              <w:rPr>
                <w:rFonts w:hint="eastAsia" w:cs="Times New Roman"/>
                <w:b w:val="0"/>
                <w:bCs w:val="0"/>
                <w:snapToGrid w:val="0"/>
                <w:kern w:val="0"/>
                <w:sz w:val="24"/>
                <w:szCs w:val="24"/>
                <w:lang w:val="en-US" w:eastAsia="zh-CN" w:bidi="ar-SA"/>
              </w:rPr>
              <w:t>项目的建设不会</w:t>
            </w:r>
            <w:r>
              <w:rPr>
                <w:rFonts w:hint="default" w:cs="Times New Roman"/>
                <w:b w:val="0"/>
                <w:bCs w:val="0"/>
                <w:snapToGrid w:val="0"/>
                <w:kern w:val="0"/>
                <w:sz w:val="24"/>
                <w:szCs w:val="24"/>
                <w:lang w:val="en-US" w:eastAsia="zh-CN" w:bidi="ar-SA"/>
              </w:rPr>
              <w:t>造成生物量的明显减少。</w:t>
            </w:r>
          </w:p>
          <w:p>
            <w:pPr>
              <w:spacing w:line="360" w:lineRule="auto"/>
              <w:rPr>
                <w:b/>
                <w:bCs/>
                <w:sz w:val="28"/>
                <w:szCs w:val="28"/>
              </w:rPr>
            </w:pPr>
            <w:r>
              <w:rPr>
                <w:b/>
                <w:bCs/>
                <w:sz w:val="28"/>
                <w:szCs w:val="28"/>
              </w:rPr>
              <w:t>二、运营期环境影响分析</w:t>
            </w:r>
          </w:p>
          <w:p>
            <w:pPr>
              <w:spacing w:line="360" w:lineRule="auto"/>
              <w:ind w:firstLine="480" w:firstLineChars="200"/>
              <w:rPr>
                <w:sz w:val="24"/>
                <w:u w:val="none"/>
              </w:rPr>
            </w:pPr>
            <w:r>
              <w:rPr>
                <w:sz w:val="24"/>
                <w:u w:val="none"/>
              </w:rPr>
              <w:t>1、废气环境影响分析</w:t>
            </w:r>
          </w:p>
          <w:p>
            <w:pPr>
              <w:spacing w:line="360" w:lineRule="auto"/>
              <w:ind w:firstLine="480" w:firstLineChars="200"/>
              <w:rPr>
                <w:rFonts w:hint="default" w:ascii="TT5Co00" w:hAnsi="TT5Co00"/>
                <w:sz w:val="24"/>
                <w:u w:val="none"/>
                <w:lang w:eastAsia="zh-CN"/>
              </w:rPr>
            </w:pPr>
            <w:r>
              <w:rPr>
                <w:rFonts w:hint="default" w:ascii="TT5Co00" w:hAnsi="TT5Co00"/>
                <w:sz w:val="24"/>
                <w:u w:val="none"/>
                <w:lang w:eastAsia="zh-CN"/>
              </w:rPr>
              <w:t>根据</w:t>
            </w:r>
            <w:r>
              <w:rPr>
                <w:rFonts w:hint="eastAsia" w:ascii="TT5Co00" w:hAnsi="TT5Co00"/>
                <w:sz w:val="24"/>
                <w:u w:val="none"/>
                <w:lang w:eastAsia="zh-CN"/>
              </w:rPr>
              <w:t>表</w:t>
            </w:r>
            <w:r>
              <w:rPr>
                <w:rFonts w:hint="eastAsia" w:ascii="TT5Co00" w:hAnsi="TT5Co00"/>
                <w:sz w:val="24"/>
                <w:u w:val="none"/>
                <w:lang w:val="en-US" w:eastAsia="zh-CN"/>
              </w:rPr>
              <w:t>1-10</w:t>
            </w:r>
            <w:r>
              <w:rPr>
                <w:rFonts w:hint="default" w:ascii="TT5Co00" w:hAnsi="TT5Co00"/>
                <w:sz w:val="24"/>
                <w:u w:val="none"/>
                <w:lang w:eastAsia="zh-CN"/>
              </w:rPr>
              <w:t>，</w:t>
            </w:r>
            <w:r>
              <w:rPr>
                <w:rFonts w:hint="default" w:ascii="Times New Roman" w:hAnsi="Times New Roman" w:cs="Times New Roman"/>
                <w:color w:val="auto"/>
                <w:sz w:val="24"/>
                <w:u w:val="none"/>
              </w:rPr>
              <w:t>本项目正常工况下</w:t>
            </w:r>
            <w:r>
              <w:rPr>
                <w:rFonts w:hint="eastAsia" w:ascii="Times New Roman" w:hAnsi="Times New Roman" w:cs="Times New Roman"/>
                <w:color w:val="auto"/>
                <w:sz w:val="24"/>
                <w:u w:val="none"/>
                <w:lang w:val="en-US" w:eastAsia="zh-CN"/>
              </w:rPr>
              <w:t>颗粒物</w:t>
            </w:r>
            <w:r>
              <w:rPr>
                <w:rFonts w:hint="default" w:ascii="Times New Roman" w:hAnsi="Times New Roman" w:cs="Times New Roman"/>
                <w:color w:val="auto"/>
                <w:sz w:val="24"/>
                <w:u w:val="none"/>
              </w:rPr>
              <w:t>最大落地浓度占标率（P</w:t>
            </w:r>
            <w:r>
              <w:rPr>
                <w:rFonts w:hint="default" w:ascii="Times New Roman" w:hAnsi="Times New Roman" w:cs="Times New Roman"/>
                <w:color w:val="auto"/>
                <w:sz w:val="24"/>
                <w:u w:val="none"/>
                <w:vertAlign w:val="subscript"/>
              </w:rPr>
              <w:t>max</w:t>
            </w:r>
            <w:r>
              <w:rPr>
                <w:rFonts w:hint="default" w:ascii="Times New Roman" w:hAnsi="Times New Roman" w:cs="Times New Roman"/>
                <w:color w:val="auto"/>
                <w:sz w:val="24"/>
                <w:u w:val="none"/>
              </w:rPr>
              <w:t>）为</w:t>
            </w:r>
            <w:r>
              <w:rPr>
                <w:rFonts w:hint="eastAsia" w:cs="Times New Roman"/>
                <w:color w:val="auto"/>
                <w:sz w:val="24"/>
                <w:u w:val="none"/>
                <w:lang w:val="en-US" w:eastAsia="zh-CN"/>
              </w:rPr>
              <w:t>7.33</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rPr>
              <w:t>H</w:t>
            </w:r>
            <w:r>
              <w:rPr>
                <w:rFonts w:hint="eastAsia" w:ascii="Times New Roman" w:hAnsi="Times New Roman" w:cs="Times New Roman"/>
                <w:color w:val="auto"/>
                <w:sz w:val="24"/>
                <w:u w:val="none"/>
                <w:vertAlign w:val="subscript"/>
              </w:rPr>
              <w:t>2</w:t>
            </w:r>
            <w:r>
              <w:rPr>
                <w:rFonts w:hint="eastAsia" w:ascii="Times New Roman" w:hAnsi="Times New Roman" w:cs="Times New Roman"/>
                <w:color w:val="auto"/>
                <w:sz w:val="24"/>
                <w:u w:val="none"/>
              </w:rPr>
              <w:t>S</w:t>
            </w:r>
            <w:r>
              <w:rPr>
                <w:rFonts w:hint="default" w:ascii="Times New Roman" w:hAnsi="Times New Roman" w:cs="Times New Roman"/>
                <w:color w:val="auto"/>
                <w:sz w:val="24"/>
                <w:u w:val="none"/>
              </w:rPr>
              <w:t>最大落地浓度占标率（P</w:t>
            </w:r>
            <w:r>
              <w:rPr>
                <w:rFonts w:hint="default" w:ascii="Times New Roman" w:hAnsi="Times New Roman" w:cs="Times New Roman"/>
                <w:color w:val="auto"/>
                <w:sz w:val="24"/>
                <w:u w:val="none"/>
                <w:vertAlign w:val="subscript"/>
              </w:rPr>
              <w:t>max</w:t>
            </w:r>
            <w:r>
              <w:rPr>
                <w:rFonts w:hint="default" w:ascii="Times New Roman" w:hAnsi="Times New Roman" w:cs="Times New Roman"/>
                <w:color w:val="auto"/>
                <w:sz w:val="24"/>
                <w:u w:val="none"/>
              </w:rPr>
              <w:t>）为</w:t>
            </w:r>
            <w:r>
              <w:rPr>
                <w:rFonts w:hint="eastAsia" w:ascii="Times New Roman" w:hAnsi="Times New Roman" w:cs="Times New Roman"/>
                <w:color w:val="auto"/>
                <w:sz w:val="24"/>
                <w:u w:val="none"/>
                <w:lang w:val="en-US" w:eastAsia="zh-CN"/>
              </w:rPr>
              <w:t>7.81</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rPr>
              <w:t>NH</w:t>
            </w:r>
            <w:r>
              <w:rPr>
                <w:rFonts w:hint="eastAsia" w:ascii="Times New Roman" w:hAnsi="Times New Roman" w:cs="Times New Roman"/>
                <w:color w:val="auto"/>
                <w:sz w:val="24"/>
                <w:u w:val="none"/>
                <w:vertAlign w:val="subscript"/>
              </w:rPr>
              <w:t>3</w:t>
            </w:r>
            <w:r>
              <w:rPr>
                <w:rFonts w:hint="default" w:ascii="Times New Roman" w:hAnsi="Times New Roman" w:cs="Times New Roman"/>
                <w:color w:val="auto"/>
                <w:sz w:val="24"/>
                <w:u w:val="none"/>
              </w:rPr>
              <w:t>最大落地浓度占标率（P</w:t>
            </w:r>
            <w:r>
              <w:rPr>
                <w:rFonts w:hint="default" w:ascii="Times New Roman" w:hAnsi="Times New Roman" w:cs="Times New Roman"/>
                <w:color w:val="auto"/>
                <w:sz w:val="24"/>
                <w:u w:val="none"/>
                <w:vertAlign w:val="subscript"/>
              </w:rPr>
              <w:t>max</w:t>
            </w:r>
            <w:r>
              <w:rPr>
                <w:rFonts w:hint="default" w:ascii="Times New Roman" w:hAnsi="Times New Roman" w:cs="Times New Roman"/>
                <w:color w:val="auto"/>
                <w:sz w:val="24"/>
                <w:u w:val="none"/>
              </w:rPr>
              <w:t>）为</w:t>
            </w:r>
            <w:r>
              <w:rPr>
                <w:rFonts w:hint="eastAsia" w:ascii="Times New Roman" w:hAnsi="Times New Roman" w:cs="Times New Roman"/>
                <w:color w:val="auto"/>
                <w:sz w:val="24"/>
                <w:u w:val="none"/>
                <w:lang w:val="en-US" w:eastAsia="zh-CN"/>
              </w:rPr>
              <w:t>8.96</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u w:val="none"/>
              </w:rPr>
              <w:t>因此</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u w:val="none"/>
              </w:rPr>
              <w:t>确定本项目大气环境影响评价等级为</w:t>
            </w:r>
            <w:r>
              <w:rPr>
                <w:rFonts w:hint="eastAsia" w:ascii="Times New Roman" w:hAnsi="Times New Roman" w:cs="Times New Roman"/>
                <w:color w:val="auto"/>
                <w:sz w:val="24"/>
                <w:u w:val="none"/>
                <w:lang w:eastAsia="zh-CN"/>
              </w:rPr>
              <w:t>二</w:t>
            </w:r>
            <w:r>
              <w:rPr>
                <w:rFonts w:hint="default" w:ascii="Times New Roman" w:hAnsi="Times New Roman" w:cs="Times New Roman"/>
                <w:color w:val="auto"/>
                <w:sz w:val="24"/>
                <w:u w:val="none"/>
              </w:rPr>
              <w:t>级</w:t>
            </w:r>
            <w:r>
              <w:rPr>
                <w:rFonts w:hint="eastAsia" w:cs="Times New Roman"/>
                <w:color w:val="auto"/>
                <w:sz w:val="24"/>
                <w:u w:val="none"/>
                <w:lang w:eastAsia="zh-CN"/>
              </w:rPr>
              <w:t>，</w:t>
            </w:r>
            <w:r>
              <w:rPr>
                <w:rFonts w:hint="default" w:ascii="TT5Co00" w:hAnsi="TT5Co00"/>
                <w:sz w:val="24"/>
                <w:u w:val="none"/>
                <w:lang w:eastAsia="zh-CN"/>
              </w:rPr>
              <w:t>不进行进一步评价，仅进行污染物排放量核算。</w:t>
            </w:r>
          </w:p>
          <w:p>
            <w:pPr>
              <w:spacing w:line="360" w:lineRule="auto"/>
              <w:ind w:firstLine="480" w:firstLineChars="200"/>
              <w:jc w:val="left"/>
              <w:rPr>
                <w:rFonts w:hint="default" w:ascii="Times New Roman" w:hAnsi="Times New Roman" w:cs="Times New Roman"/>
                <w:sz w:val="24"/>
                <w:szCs w:val="22"/>
                <w:u w:val="none"/>
                <w:lang w:val="en-US" w:eastAsia="zh-CN"/>
              </w:rPr>
            </w:pPr>
            <w:r>
              <w:rPr>
                <w:rFonts w:hint="default" w:ascii="Times New Roman" w:hAnsi="Times New Roman" w:cs="Times New Roman"/>
                <w:sz w:val="24"/>
                <w:szCs w:val="22"/>
                <w:u w:val="none"/>
                <w:lang w:val="en-US" w:eastAsia="zh-CN"/>
              </w:rPr>
              <w:t>（</w:t>
            </w:r>
            <w:r>
              <w:rPr>
                <w:rFonts w:hint="eastAsia" w:cs="Times New Roman"/>
                <w:sz w:val="24"/>
                <w:szCs w:val="22"/>
                <w:u w:val="none"/>
                <w:lang w:val="en-US" w:eastAsia="zh-CN"/>
              </w:rPr>
              <w:t>1</w:t>
            </w:r>
            <w:r>
              <w:rPr>
                <w:rFonts w:hint="default" w:ascii="Times New Roman" w:hAnsi="Times New Roman" w:cs="Times New Roman"/>
                <w:sz w:val="24"/>
                <w:szCs w:val="22"/>
                <w:u w:val="none"/>
                <w:lang w:val="en-US" w:eastAsia="zh-CN"/>
              </w:rPr>
              <w:t>）污染物排放量核算</w:t>
            </w:r>
          </w:p>
          <w:p>
            <w:pPr>
              <w:autoSpaceDE w:val="0"/>
              <w:autoSpaceDN w:val="0"/>
              <w:adjustRightInd w:val="0"/>
              <w:spacing w:line="360" w:lineRule="auto"/>
              <w:ind w:firstLine="480" w:firstLineChars="200"/>
              <w:rPr>
                <w:rFonts w:hint="eastAsia" w:ascii="TT5Co00" w:hAnsi="TT5Co00"/>
                <w:sz w:val="24"/>
                <w:u w:val="none"/>
                <w:lang w:eastAsia="zh-CN"/>
              </w:rPr>
            </w:pPr>
            <w:r>
              <w:rPr>
                <w:rFonts w:hint="eastAsia" w:ascii="TT5Co00" w:hAnsi="TT5Co00"/>
                <w:sz w:val="24"/>
                <w:u w:val="none"/>
                <w:lang w:eastAsia="zh-CN"/>
              </w:rPr>
              <w:t>①有组织排放量核算</w:t>
            </w:r>
          </w:p>
          <w:p>
            <w:pPr>
              <w:spacing w:line="360" w:lineRule="auto"/>
              <w:jc w:val="center"/>
              <w:rPr>
                <w:rFonts w:hint="eastAsia" w:ascii="TT5Co00" w:hAnsi="TT5Co00"/>
                <w:b/>
                <w:bCs/>
                <w:sz w:val="21"/>
                <w:szCs w:val="21"/>
                <w:u w:val="none"/>
                <w:lang w:val="en-US" w:eastAsia="zh-CN"/>
              </w:rPr>
            </w:pPr>
            <w:r>
              <w:rPr>
                <w:rFonts w:hint="eastAsia" w:ascii="TT5Co00" w:hAnsi="TT5Co00"/>
                <w:b/>
                <w:bCs/>
                <w:sz w:val="21"/>
                <w:szCs w:val="21"/>
                <w:u w:val="none"/>
                <w:lang w:val="en-US" w:eastAsia="zh-CN"/>
              </w:rPr>
              <w:t>表7-3  大气污染物有组织排放量核算表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260"/>
              <w:gridCol w:w="1120"/>
              <w:gridCol w:w="2096"/>
              <w:gridCol w:w="1818"/>
              <w:gridCol w:w="16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序号</w:t>
                  </w:r>
                </w:p>
              </w:tc>
              <w:tc>
                <w:tcPr>
                  <w:tcW w:w="1260"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排放口编号</w:t>
                  </w:r>
                </w:p>
              </w:tc>
              <w:tc>
                <w:tcPr>
                  <w:tcW w:w="1120"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污染物</w:t>
                  </w:r>
                </w:p>
              </w:tc>
              <w:tc>
                <w:tcPr>
                  <w:tcW w:w="2096"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核算排放浓度/（</w:t>
                  </w:r>
                  <w:r>
                    <w:rPr>
                      <w:rFonts w:hint="eastAsia" w:ascii="Times New Roman" w:hAnsi="Times New Roman" w:cs="Times New Roman"/>
                      <w:b/>
                      <w:kern w:val="0"/>
                      <w:sz w:val="21"/>
                      <w:szCs w:val="21"/>
                      <w:lang w:val="en-US" w:eastAsia="zh-CN"/>
                    </w:rPr>
                    <w:t>m</w:t>
                  </w:r>
                  <w:r>
                    <w:rPr>
                      <w:rFonts w:hint="default" w:ascii="Times New Roman" w:hAnsi="Times New Roman" w:cs="Times New Roman"/>
                      <w:b/>
                      <w:kern w:val="0"/>
                      <w:sz w:val="21"/>
                      <w:szCs w:val="21"/>
                    </w:rPr>
                    <w:t>g/m</w:t>
                  </w:r>
                  <w:r>
                    <w:rPr>
                      <w:rFonts w:hint="default" w:ascii="Times New Roman" w:hAnsi="Times New Roman" w:cs="Times New Roman"/>
                      <w:b/>
                      <w:kern w:val="0"/>
                      <w:sz w:val="21"/>
                      <w:szCs w:val="21"/>
                      <w:vertAlign w:val="superscript"/>
                    </w:rPr>
                    <w:t>3</w:t>
                  </w:r>
                  <w:r>
                    <w:rPr>
                      <w:rFonts w:hint="default" w:ascii="Times New Roman" w:hAnsi="Times New Roman" w:cs="Times New Roman"/>
                      <w:b/>
                      <w:kern w:val="0"/>
                      <w:sz w:val="21"/>
                      <w:szCs w:val="21"/>
                    </w:rPr>
                    <w:t>）</w:t>
                  </w:r>
                </w:p>
              </w:tc>
              <w:tc>
                <w:tcPr>
                  <w:tcW w:w="1818"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核算排放速率/（kg/h）</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核算年排放量/（t/a）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1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一般排放口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702"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kern w:val="0"/>
                      <w:sz w:val="21"/>
                      <w:szCs w:val="21"/>
                      <w:lang w:val="en-US" w:eastAsia="zh-CN"/>
                    </w:rPr>
                    <w:t>1</w:t>
                  </w:r>
                </w:p>
              </w:tc>
              <w:tc>
                <w:tcPr>
                  <w:tcW w:w="1260"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P</w:t>
                  </w:r>
                  <w:r>
                    <w:rPr>
                      <w:rFonts w:hint="eastAsia" w:cs="Times New Roman"/>
                      <w:kern w:val="0"/>
                      <w:sz w:val="21"/>
                      <w:szCs w:val="21"/>
                      <w:lang w:val="en-US" w:eastAsia="zh-CN"/>
                    </w:rPr>
                    <w:t>2</w:t>
                  </w:r>
                </w:p>
              </w:tc>
              <w:tc>
                <w:tcPr>
                  <w:tcW w:w="1120"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颗粒物</w:t>
                  </w:r>
                </w:p>
              </w:tc>
              <w:tc>
                <w:tcPr>
                  <w:tcW w:w="2096"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4.58</w:t>
                  </w:r>
                </w:p>
              </w:tc>
              <w:tc>
                <w:tcPr>
                  <w:tcW w:w="1818"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0.18</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kern w:val="0"/>
                      <w:sz w:val="21"/>
                      <w:szCs w:val="21"/>
                      <w:lang w:val="en-US" w:eastAsia="zh-CN"/>
                    </w:rPr>
                    <w:t>2</w:t>
                  </w:r>
                </w:p>
              </w:tc>
              <w:tc>
                <w:tcPr>
                  <w:tcW w:w="126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P</w:t>
                  </w:r>
                  <w:r>
                    <w:rPr>
                      <w:rFonts w:hint="eastAsia" w:cs="Times New Roman"/>
                      <w:kern w:val="0"/>
                      <w:sz w:val="21"/>
                      <w:szCs w:val="21"/>
                      <w:lang w:val="en-US" w:eastAsia="zh-CN"/>
                    </w:rPr>
                    <w:t>3</w:t>
                  </w:r>
                </w:p>
              </w:tc>
              <w:tc>
                <w:tcPr>
                  <w:tcW w:w="1120" w:type="dxa"/>
                  <w:tcBorders>
                    <w:tl2br w:val="nil"/>
                    <w:tr2bl w:val="nil"/>
                  </w:tcBorders>
                  <w:vAlign w:val="center"/>
                </w:tcPr>
                <w:p>
                  <w:pPr>
                    <w:jc w:val="center"/>
                    <w:rPr>
                      <w:rFonts w:hint="eastAsia" w:ascii="Times New Roman" w:hAnsi="Times New Roman" w:cs="Times New Roman" w:eastAsiaTheme="minorEastAsia"/>
                      <w:kern w:val="0"/>
                      <w:sz w:val="21"/>
                      <w:szCs w:val="21"/>
                      <w:vertAlign w:val="subscript"/>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2096" w:type="dxa"/>
                  <w:tcBorders>
                    <w:tl2br w:val="nil"/>
                    <w:tr2bl w:val="nil"/>
                  </w:tcBorders>
                  <w:vAlign w:val="center"/>
                </w:tcPr>
                <w:p>
                  <w:pPr>
                    <w:pStyle w:val="65"/>
                    <w:spacing w:before="8" w:line="240" w:lineRule="auto"/>
                    <w:ind w:right="0" w:right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2</w:t>
                  </w:r>
                </w:p>
              </w:tc>
              <w:tc>
                <w:tcPr>
                  <w:tcW w:w="18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0.01</w:t>
                  </w:r>
                </w:p>
              </w:tc>
              <w:tc>
                <w:tcPr>
                  <w:tcW w:w="1621" w:type="dxa"/>
                  <w:tcBorders>
                    <w:tl2br w:val="nil"/>
                    <w:tr2bl w:val="nil"/>
                  </w:tcBorders>
                  <w:vAlign w:val="center"/>
                </w:tcPr>
                <w:p>
                  <w:pPr>
                    <w:pStyle w:val="65"/>
                    <w:spacing w:before="8" w:line="240" w:lineRule="auto"/>
                    <w:ind w:right="0" w:right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p>
              </w:tc>
              <w:tc>
                <w:tcPr>
                  <w:tcW w:w="126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1120" w:type="dxa"/>
                  <w:tcBorders>
                    <w:tl2br w:val="nil"/>
                    <w:tr2bl w:val="nil"/>
                  </w:tcBorders>
                  <w:vAlign w:val="center"/>
                </w:tcPr>
                <w:p>
                  <w:pPr>
                    <w:jc w:val="center"/>
                    <w:rPr>
                      <w:rFonts w:hint="eastAsia" w:ascii="Times New Roman" w:hAnsi="Times New Roman" w:cs="Times New Roman" w:eastAsiaTheme="minorEastAsia"/>
                      <w:kern w:val="0"/>
                      <w:sz w:val="21"/>
                      <w:szCs w:val="21"/>
                      <w:vertAlign w:val="subscript"/>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c>
                <w:tcPr>
                  <w:tcW w:w="2096" w:type="dxa"/>
                  <w:tcBorders>
                    <w:tl2br w:val="nil"/>
                    <w:tr2bl w:val="nil"/>
                  </w:tcBorders>
                  <w:vAlign w:val="center"/>
                </w:tcPr>
                <w:p>
                  <w:pPr>
                    <w:pStyle w:val="65"/>
                    <w:spacing w:before="8" w:line="240" w:lineRule="auto"/>
                    <w:ind w:right="0" w:right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0.08</w:t>
                  </w:r>
                </w:p>
              </w:tc>
              <w:tc>
                <w:tcPr>
                  <w:tcW w:w="18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0.0004</w:t>
                  </w:r>
                </w:p>
              </w:tc>
              <w:tc>
                <w:tcPr>
                  <w:tcW w:w="1621" w:type="dxa"/>
                  <w:tcBorders>
                    <w:tl2br w:val="nil"/>
                    <w:tr2bl w:val="nil"/>
                  </w:tcBorders>
                  <w:vAlign w:val="center"/>
                </w:tcPr>
                <w:p>
                  <w:pPr>
                    <w:pStyle w:val="65"/>
                    <w:spacing w:before="8" w:line="240" w:lineRule="auto"/>
                    <w:ind w:right="0" w:right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0.0009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62" w:type="dxa"/>
                  <w:gridSpan w:val="2"/>
                  <w:vMerge w:val="restar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kern w:val="0"/>
                      <w:sz w:val="21"/>
                      <w:szCs w:val="21"/>
                      <w:lang w:eastAsia="zh-CN"/>
                    </w:rPr>
                    <w:t>一般排放口合计</w:t>
                  </w:r>
                </w:p>
              </w:tc>
              <w:tc>
                <w:tcPr>
                  <w:tcW w:w="5034" w:type="dxa"/>
                  <w:gridSpan w:val="3"/>
                  <w:tcBorders>
                    <w:tl2br w:val="nil"/>
                    <w:tr2bl w:val="nil"/>
                  </w:tcBorders>
                  <w:vAlign w:val="center"/>
                </w:tcPr>
                <w:p>
                  <w:pPr>
                    <w:jc w:val="center"/>
                    <w:rPr>
                      <w:rFonts w:hint="default" w:ascii="TT5Co00" w:hAnsi="TT5Co00" w:eastAsiaTheme="minorEastAsia" w:cstheme="minorBidi"/>
                      <w:b w:val="0"/>
                      <w:bCs w:val="0"/>
                      <w:kern w:val="2"/>
                      <w:sz w:val="21"/>
                      <w:szCs w:val="21"/>
                      <w:vertAlign w:val="baseline"/>
                      <w:lang w:val="en-US" w:eastAsia="zh-CN" w:bidi="ar-SA"/>
                    </w:rPr>
                  </w:pPr>
                  <w:r>
                    <w:rPr>
                      <w:rFonts w:hint="eastAsia" w:ascii="Times New Roman" w:hAnsi="Times New Roman" w:cs="Times New Roman"/>
                      <w:kern w:val="0"/>
                      <w:sz w:val="21"/>
                      <w:szCs w:val="21"/>
                      <w:lang w:val="en-US" w:eastAsia="zh-CN"/>
                    </w:rPr>
                    <w:t>颗粒物</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1962"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5034" w:type="dxa"/>
                  <w:gridSpan w:val="3"/>
                  <w:tcBorders>
                    <w:tl2br w:val="nil"/>
                    <w:tr2bl w:val="nil"/>
                  </w:tcBorders>
                  <w:vAlign w:val="center"/>
                </w:tcPr>
                <w:p>
                  <w:pPr>
                    <w:jc w:val="center"/>
                    <w:rPr>
                      <w:rFonts w:hint="eastAsia" w:ascii="Times New Roman" w:hAnsi="Times New Roman" w:cs="Times New Roman"/>
                      <w:kern w:val="0"/>
                      <w:sz w:val="21"/>
                      <w:szCs w:val="21"/>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1962"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5034" w:type="dxa"/>
                  <w:gridSpan w:val="3"/>
                  <w:tcBorders>
                    <w:tl2br w:val="nil"/>
                    <w:tr2bl w:val="nil"/>
                  </w:tcBorders>
                  <w:vAlign w:val="center"/>
                </w:tcPr>
                <w:p>
                  <w:pPr>
                    <w:jc w:val="center"/>
                    <w:rPr>
                      <w:rFonts w:hint="eastAsia" w:ascii="Times New Roman" w:hAnsi="Times New Roman" w:cs="Times New Roman"/>
                      <w:kern w:val="0"/>
                      <w:sz w:val="21"/>
                      <w:szCs w:val="21"/>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0.0009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62"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有组织排放总计</w:t>
                  </w:r>
                </w:p>
              </w:tc>
              <w:tc>
                <w:tcPr>
                  <w:tcW w:w="5034" w:type="dxa"/>
                  <w:gridSpan w:val="3"/>
                  <w:tcBorders>
                    <w:tl2br w:val="nil"/>
                    <w:tr2bl w:val="nil"/>
                  </w:tcBorders>
                  <w:vAlign w:val="center"/>
                </w:tcPr>
                <w:p>
                  <w:pPr>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颗粒物</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9" w:hRule="atLeast"/>
                <w:jc w:val="center"/>
              </w:trPr>
              <w:tc>
                <w:tcPr>
                  <w:tcW w:w="1962"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5034" w:type="dxa"/>
                  <w:gridSpan w:val="3"/>
                  <w:tcBorders>
                    <w:tl2br w:val="nil"/>
                    <w:tr2bl w:val="nil"/>
                  </w:tcBorders>
                  <w:vAlign w:val="center"/>
                </w:tcPr>
                <w:p>
                  <w:pPr>
                    <w:jc w:val="center"/>
                    <w:rPr>
                      <w:rFonts w:hint="default" w:ascii="Times New Roman" w:hAnsi="Times New Roman" w:cs="Times New Roman"/>
                      <w:kern w:val="0"/>
                      <w:sz w:val="21"/>
                      <w:szCs w:val="21"/>
                      <w:lang w:val="en-US" w:eastAsia="zh-CN"/>
                    </w:rPr>
                  </w:pPr>
                  <w:r>
                    <w:rPr>
                      <w:rFonts w:hint="eastAsia" w:ascii="TT5Co00" w:hAnsi="TT5Co00"/>
                      <w:b w:val="0"/>
                      <w:bCs w:val="0"/>
                      <w:sz w:val="21"/>
                      <w:szCs w:val="21"/>
                      <w:vertAlign w:val="baseline"/>
                      <w:lang w:val="en-US" w:eastAsia="zh-CN"/>
                    </w:rPr>
                    <w:t>NH</w:t>
                  </w:r>
                  <w:r>
                    <w:rPr>
                      <w:rFonts w:hint="eastAsia" w:ascii="TT5Co00" w:hAnsi="TT5Co00"/>
                      <w:b w:val="0"/>
                      <w:bCs w:val="0"/>
                      <w:sz w:val="21"/>
                      <w:szCs w:val="21"/>
                      <w:vertAlign w:val="subscript"/>
                      <w:lang w:val="en-US" w:eastAsia="zh-CN"/>
                    </w:rPr>
                    <w:t>3</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9" w:hRule="atLeast"/>
                <w:jc w:val="center"/>
              </w:trPr>
              <w:tc>
                <w:tcPr>
                  <w:tcW w:w="1962"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5034" w:type="dxa"/>
                  <w:gridSpan w:val="3"/>
                  <w:tcBorders>
                    <w:tl2br w:val="nil"/>
                    <w:tr2bl w:val="nil"/>
                  </w:tcBorders>
                  <w:vAlign w:val="center"/>
                </w:tcPr>
                <w:p>
                  <w:pPr>
                    <w:jc w:val="center"/>
                    <w:rPr>
                      <w:rFonts w:hint="default" w:ascii="Times New Roman" w:hAnsi="Times New Roman" w:cs="Times New Roman"/>
                      <w:kern w:val="0"/>
                      <w:sz w:val="21"/>
                      <w:szCs w:val="21"/>
                      <w:lang w:val="en-US" w:eastAsia="zh-CN"/>
                    </w:rPr>
                  </w:pPr>
                  <w:r>
                    <w:rPr>
                      <w:rFonts w:hint="eastAsia" w:ascii="TT5Co00" w:hAnsi="TT5Co00"/>
                      <w:b w:val="0"/>
                      <w:bCs w:val="0"/>
                      <w:sz w:val="21"/>
                      <w:szCs w:val="21"/>
                      <w:vertAlign w:val="baseline"/>
                      <w:lang w:val="en-US" w:eastAsia="zh-CN"/>
                    </w:rPr>
                    <w:t>H</w:t>
                  </w:r>
                  <w:r>
                    <w:rPr>
                      <w:rFonts w:hint="eastAsia" w:ascii="TT5Co00" w:hAnsi="TT5Co00"/>
                      <w:b w:val="0"/>
                      <w:bCs w:val="0"/>
                      <w:sz w:val="21"/>
                      <w:szCs w:val="21"/>
                      <w:vertAlign w:val="subscript"/>
                      <w:lang w:val="en-US" w:eastAsia="zh-CN"/>
                    </w:rPr>
                    <w:t>2</w:t>
                  </w:r>
                  <w:r>
                    <w:rPr>
                      <w:rFonts w:hint="eastAsia" w:ascii="TT5Co00" w:hAnsi="TT5Co00"/>
                      <w:b w:val="0"/>
                      <w:bCs w:val="0"/>
                      <w:sz w:val="21"/>
                      <w:szCs w:val="21"/>
                      <w:vertAlign w:val="baseline"/>
                      <w:lang w:val="en-US" w:eastAsia="zh-CN"/>
                    </w:rPr>
                    <w:t>S</w:t>
                  </w:r>
                </w:p>
              </w:tc>
              <w:tc>
                <w:tcPr>
                  <w:tcW w:w="16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0.0009</w:t>
                  </w:r>
                </w:p>
              </w:tc>
            </w:tr>
          </w:tbl>
          <w:p>
            <w:pPr>
              <w:autoSpaceDE w:val="0"/>
              <w:autoSpaceDN w:val="0"/>
              <w:adjustRightInd w:val="0"/>
              <w:spacing w:line="360" w:lineRule="auto"/>
              <w:ind w:firstLine="480" w:firstLineChars="200"/>
              <w:rPr>
                <w:rFonts w:hint="eastAsia" w:ascii="TT5Co00" w:hAnsi="TT5Co00"/>
                <w:sz w:val="24"/>
                <w:u w:val="none"/>
                <w:lang w:eastAsia="zh-CN"/>
              </w:rPr>
            </w:pPr>
            <w:r>
              <w:rPr>
                <w:rFonts w:hint="eastAsia" w:ascii="TT5Co00" w:hAnsi="TT5Co00"/>
                <w:sz w:val="24"/>
                <w:u w:val="none"/>
                <w:lang w:eastAsia="zh-CN"/>
              </w:rPr>
              <w:t>②无组织排放量核算</w:t>
            </w:r>
          </w:p>
          <w:p>
            <w:pPr>
              <w:spacing w:line="360" w:lineRule="auto"/>
              <w:jc w:val="center"/>
              <w:rPr>
                <w:rFonts w:hint="eastAsia" w:ascii="TT5Co00" w:hAnsi="TT5Co00"/>
                <w:b/>
                <w:bCs/>
                <w:sz w:val="21"/>
                <w:szCs w:val="21"/>
                <w:u w:val="none"/>
                <w:lang w:val="en-US" w:eastAsia="zh-CN"/>
              </w:rPr>
            </w:pPr>
            <w:r>
              <w:rPr>
                <w:rFonts w:hint="eastAsia" w:ascii="TT5Co00" w:hAnsi="TT5Co00"/>
                <w:b/>
                <w:bCs/>
                <w:sz w:val="21"/>
                <w:szCs w:val="21"/>
                <w:u w:val="none"/>
                <w:lang w:val="en-US" w:eastAsia="zh-CN"/>
              </w:rPr>
              <w:t>表7-4  大气污染物无组织排放量核算表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3"/>
              <w:gridCol w:w="875"/>
              <w:gridCol w:w="1353"/>
              <w:gridCol w:w="668"/>
              <w:gridCol w:w="1121"/>
              <w:gridCol w:w="2026"/>
              <w:gridCol w:w="1050"/>
              <w:gridCol w:w="9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序号</w:t>
                  </w:r>
                </w:p>
              </w:tc>
              <w:tc>
                <w:tcPr>
                  <w:tcW w:w="87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排放口编号</w:t>
                  </w:r>
                </w:p>
              </w:tc>
              <w:tc>
                <w:tcPr>
                  <w:tcW w:w="135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产污环节</w:t>
                  </w:r>
                </w:p>
              </w:tc>
              <w:tc>
                <w:tcPr>
                  <w:tcW w:w="66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污染物</w:t>
                  </w:r>
                </w:p>
              </w:tc>
              <w:tc>
                <w:tcPr>
                  <w:tcW w:w="112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主要污染防治措施</w:t>
                  </w:r>
                </w:p>
              </w:tc>
              <w:tc>
                <w:tcPr>
                  <w:tcW w:w="307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国家或地方污染物排放标准</w:t>
                  </w:r>
                </w:p>
              </w:tc>
              <w:tc>
                <w:tcPr>
                  <w:tcW w:w="99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5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8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135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6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112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2026"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标准名称</w:t>
                  </w:r>
                </w:p>
              </w:tc>
              <w:tc>
                <w:tcPr>
                  <w:tcW w:w="1050" w:type="dxa"/>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kern w:val="0"/>
                      <w:sz w:val="21"/>
                      <w:szCs w:val="21"/>
                    </w:rPr>
                    <w:t>浓度限值/（μg/m</w:t>
                  </w:r>
                  <w:r>
                    <w:rPr>
                      <w:rFonts w:hint="default" w:ascii="Times New Roman" w:hAnsi="Times New Roman" w:cs="Times New Roman"/>
                      <w:b/>
                      <w:kern w:val="0"/>
                      <w:sz w:val="21"/>
                      <w:szCs w:val="21"/>
                      <w:vertAlign w:val="superscript"/>
                    </w:rPr>
                    <w:t>3</w:t>
                  </w:r>
                  <w:r>
                    <w:rPr>
                      <w:rFonts w:hint="default" w:ascii="Times New Roman" w:hAnsi="Times New Roman" w:cs="Times New Roman"/>
                      <w:b/>
                      <w:kern w:val="0"/>
                      <w:sz w:val="21"/>
                      <w:szCs w:val="21"/>
                    </w:rPr>
                    <w:t>）</w:t>
                  </w:r>
                </w:p>
              </w:tc>
              <w:tc>
                <w:tcPr>
                  <w:tcW w:w="99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533"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w:t>
                  </w:r>
                </w:p>
              </w:tc>
              <w:tc>
                <w:tcPr>
                  <w:tcW w:w="875"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筒仓区域</w:t>
                  </w:r>
                </w:p>
              </w:tc>
              <w:tc>
                <w:tcPr>
                  <w:tcW w:w="1353"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原料接收</w:t>
                  </w:r>
                </w:p>
              </w:tc>
              <w:tc>
                <w:tcPr>
                  <w:tcW w:w="668"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颗粒物</w:t>
                  </w:r>
                </w:p>
              </w:tc>
              <w:tc>
                <w:tcPr>
                  <w:tcW w:w="112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20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《大气污染物综合排放标准》（GB16297-1996）无组织排放浓度限值</w:t>
                  </w:r>
                </w:p>
              </w:tc>
              <w:tc>
                <w:tcPr>
                  <w:tcW w:w="105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w:t>
                  </w:r>
                </w:p>
              </w:tc>
              <w:tc>
                <w:tcPr>
                  <w:tcW w:w="99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533"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875"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1#车间</w:t>
                  </w:r>
                </w:p>
              </w:tc>
              <w:tc>
                <w:tcPr>
                  <w:tcW w:w="1353"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原料接收</w:t>
                  </w:r>
                </w:p>
              </w:tc>
              <w:tc>
                <w:tcPr>
                  <w:tcW w:w="668"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颗粒物</w:t>
                  </w:r>
                </w:p>
              </w:tc>
              <w:tc>
                <w:tcPr>
                  <w:tcW w:w="1121"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2026"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p>
              </w:tc>
              <w:tc>
                <w:tcPr>
                  <w:tcW w:w="105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p>
              </w:tc>
              <w:tc>
                <w:tcPr>
                  <w:tcW w:w="991"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9" w:hRule="atLeast"/>
                <w:jc w:val="center"/>
              </w:trPr>
              <w:tc>
                <w:tcPr>
                  <w:tcW w:w="533"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b w:val="0"/>
                      <w:bCs w:val="0"/>
                      <w:kern w:val="0"/>
                      <w:sz w:val="21"/>
                      <w:szCs w:val="21"/>
                      <w:lang w:val="en-US" w:eastAsia="zh-CN"/>
                    </w:rPr>
                  </w:pPr>
                  <w:r>
                    <w:rPr>
                      <w:rFonts w:hint="eastAsia" w:cs="Times New Roman"/>
                      <w:b w:val="0"/>
                      <w:bCs w:val="0"/>
                      <w:kern w:val="0"/>
                      <w:sz w:val="21"/>
                      <w:szCs w:val="21"/>
                      <w:lang w:val="en-US" w:eastAsia="zh-CN"/>
                    </w:rPr>
                    <w:t>3</w:t>
                  </w:r>
                </w:p>
              </w:tc>
              <w:tc>
                <w:tcPr>
                  <w:tcW w:w="875"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b w:val="0"/>
                      <w:bCs w:val="0"/>
                      <w:kern w:val="0"/>
                      <w:sz w:val="21"/>
                      <w:szCs w:val="21"/>
                      <w:lang w:eastAsia="zh-CN"/>
                    </w:rPr>
                  </w:pPr>
                  <w:r>
                    <w:rPr>
                      <w:rFonts w:hint="eastAsia" w:cs="Times New Roman"/>
                      <w:b w:val="0"/>
                      <w:bCs w:val="0"/>
                      <w:kern w:val="0"/>
                      <w:sz w:val="21"/>
                      <w:szCs w:val="21"/>
                      <w:lang w:eastAsia="zh-CN"/>
                    </w:rPr>
                    <w:t>主车间</w:t>
                  </w:r>
                </w:p>
              </w:tc>
              <w:tc>
                <w:tcPr>
                  <w:tcW w:w="1353"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b w:val="0"/>
                      <w:bCs w:val="0"/>
                      <w:kern w:val="0"/>
                      <w:sz w:val="21"/>
                      <w:szCs w:val="21"/>
                      <w:lang w:eastAsia="zh-CN"/>
                    </w:rPr>
                  </w:pPr>
                  <w:r>
                    <w:rPr>
                      <w:rFonts w:hint="eastAsia" w:ascii="Times New Roman" w:hAnsi="Times New Roman" w:cs="Times New Roman"/>
                      <w:b w:val="0"/>
                      <w:bCs w:val="0"/>
                      <w:kern w:val="0"/>
                      <w:sz w:val="21"/>
                      <w:szCs w:val="21"/>
                      <w:lang w:val="en-US" w:eastAsia="zh-CN"/>
                    </w:rPr>
                    <w:t xml:space="preserve">粉碎、混合、制粒、膨化、包装等 </w:t>
                  </w:r>
                </w:p>
              </w:tc>
              <w:tc>
                <w:tcPr>
                  <w:tcW w:w="668"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颗粒物</w:t>
                  </w:r>
                </w:p>
              </w:tc>
              <w:tc>
                <w:tcPr>
                  <w:tcW w:w="1121"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kern w:val="0"/>
                      <w:sz w:val="21"/>
                      <w:szCs w:val="21"/>
                    </w:rPr>
                  </w:pPr>
                  <w:r>
                    <w:rPr>
                      <w:rFonts w:hint="eastAsia" w:ascii="Times New Roman" w:hAnsi="Times New Roman" w:cs="Times New Roman"/>
                      <w:b w:val="0"/>
                      <w:bCs w:val="0"/>
                      <w:color w:val="000000"/>
                      <w:kern w:val="0"/>
                      <w:sz w:val="21"/>
                      <w:szCs w:val="21"/>
                      <w:u w:val="none"/>
                      <w:lang w:val="en-US" w:eastAsia="zh-CN" w:bidi="ar"/>
                    </w:rPr>
                    <w:t>/</w:t>
                  </w:r>
                </w:p>
              </w:tc>
              <w:tc>
                <w:tcPr>
                  <w:tcW w:w="20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val="0"/>
                      <w:bCs w:val="0"/>
                      <w:kern w:val="0"/>
                      <w:sz w:val="21"/>
                      <w:szCs w:val="21"/>
                    </w:rPr>
                  </w:pPr>
                </w:p>
              </w:tc>
              <w:tc>
                <w:tcPr>
                  <w:tcW w:w="105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p>
              </w:tc>
              <w:tc>
                <w:tcPr>
                  <w:tcW w:w="99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eastAsia" w:cs="Times New Roman"/>
                      <w:b w:val="0"/>
                      <w:bCs w:val="0"/>
                      <w:kern w:val="0"/>
                      <w:sz w:val="21"/>
                      <w:szCs w:val="21"/>
                      <w:lang w:val="en-US" w:eastAsia="zh-CN"/>
                    </w:rPr>
                    <w:t>0.984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533"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eastAsia" w:cs="Times New Roman"/>
                      <w:kern w:val="0"/>
                      <w:sz w:val="21"/>
                      <w:szCs w:val="21"/>
                      <w:lang w:val="en-US" w:eastAsia="zh-CN"/>
                    </w:rPr>
                    <w:t>4</w:t>
                  </w:r>
                </w:p>
              </w:tc>
              <w:tc>
                <w:tcPr>
                  <w:tcW w:w="87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cs="Times New Roman"/>
                      <w:kern w:val="0"/>
                      <w:sz w:val="21"/>
                      <w:szCs w:val="21"/>
                      <w:lang w:val="en-US" w:eastAsia="zh-CN"/>
                    </w:rPr>
                    <w:t>2</w:t>
                  </w:r>
                  <w:r>
                    <w:rPr>
                      <w:rFonts w:hint="eastAsia" w:ascii="Times New Roman" w:hAnsi="Times New Roman" w:cs="Times New Roman"/>
                      <w:kern w:val="0"/>
                      <w:sz w:val="21"/>
                      <w:szCs w:val="21"/>
                      <w:lang w:val="en-US" w:eastAsia="zh-CN"/>
                    </w:rPr>
                    <w:t>#车间</w:t>
                  </w:r>
                </w:p>
              </w:tc>
              <w:tc>
                <w:tcPr>
                  <w:tcW w:w="1353"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kern w:val="0"/>
                      <w:sz w:val="21"/>
                      <w:szCs w:val="21"/>
                      <w:lang w:eastAsia="zh-CN"/>
                    </w:rPr>
                    <w:t>发酵</w:t>
                  </w:r>
                </w:p>
              </w:tc>
              <w:tc>
                <w:tcPr>
                  <w:tcW w:w="668"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NH</w:t>
                  </w:r>
                  <w:r>
                    <w:rPr>
                      <w:rFonts w:hint="eastAsia" w:ascii="Times New Roman" w:hAnsi="Times New Roman" w:cs="Times New Roman"/>
                      <w:kern w:val="0"/>
                      <w:sz w:val="21"/>
                      <w:szCs w:val="21"/>
                      <w:vertAlign w:val="subscript"/>
                      <w:lang w:val="en-US" w:eastAsia="zh-CN"/>
                    </w:rPr>
                    <w:t>3</w:t>
                  </w:r>
                </w:p>
              </w:tc>
              <w:tc>
                <w:tcPr>
                  <w:tcW w:w="1121"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b w:val="0"/>
                      <w:bCs w:val="0"/>
                      <w:color w:val="000000"/>
                      <w:kern w:val="0"/>
                      <w:sz w:val="21"/>
                      <w:szCs w:val="21"/>
                      <w:u w:val="none"/>
                      <w:lang w:val="en-US" w:eastAsia="zh-CN" w:bidi="ar"/>
                    </w:rPr>
                    <w:t>/</w:t>
                  </w:r>
                </w:p>
              </w:tc>
              <w:tc>
                <w:tcPr>
                  <w:tcW w:w="20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《恶臭污染物排放标准》(GB14554-93)</w:t>
                  </w:r>
                </w:p>
              </w:tc>
              <w:tc>
                <w:tcPr>
                  <w:tcW w:w="1050"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1.5</w:t>
                  </w:r>
                </w:p>
              </w:tc>
              <w:tc>
                <w:tcPr>
                  <w:tcW w:w="99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0.0614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8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1353" w:type="dxa"/>
                  <w:vMerge w:val="continue"/>
                  <w:tcBorders>
                    <w:tl2br w:val="nil"/>
                    <w:tr2bl w:val="nil"/>
                  </w:tcBorders>
                  <w:vAlign w:val="center"/>
                </w:tcPr>
                <w:p>
                  <w:pPr>
                    <w:spacing w:line="320" w:lineRule="exact"/>
                    <w:ind w:firstLine="0" w:firstLineChars="0"/>
                    <w:jc w:val="center"/>
                    <w:rPr>
                      <w:rFonts w:hint="default" w:ascii="Times New Roman" w:hAnsi="Times New Roman" w:cs="Times New Roman"/>
                      <w:kern w:val="0"/>
                      <w:sz w:val="21"/>
                      <w:szCs w:val="21"/>
                    </w:rPr>
                  </w:pPr>
                </w:p>
              </w:tc>
              <w:tc>
                <w:tcPr>
                  <w:tcW w:w="668" w:type="dxa"/>
                  <w:tcBorders>
                    <w:tl2br w:val="nil"/>
                    <w:tr2bl w:val="nil"/>
                  </w:tcBorders>
                  <w:vAlign w:val="center"/>
                </w:tcPr>
                <w:p>
                  <w:pPr>
                    <w:spacing w:line="320" w:lineRule="exact"/>
                    <w:ind w:firstLine="0" w:firstLine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H</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S</w:t>
                  </w:r>
                </w:p>
              </w:tc>
              <w:tc>
                <w:tcPr>
                  <w:tcW w:w="112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20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1050" w:type="dxa"/>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0.06</w:t>
                  </w:r>
                </w:p>
              </w:tc>
              <w:tc>
                <w:tcPr>
                  <w:tcW w:w="99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0.00192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429" w:type="dxa"/>
                  <w:gridSpan w:val="4"/>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无组织排放总计</w:t>
                  </w:r>
                </w:p>
              </w:tc>
              <w:tc>
                <w:tcPr>
                  <w:tcW w:w="314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eastAsia" w:ascii="Times New Roman" w:hAnsi="Times New Roman" w:cs="Times New Roman"/>
                      <w:b w:val="0"/>
                      <w:bCs w:val="0"/>
                      <w:kern w:val="0"/>
                      <w:sz w:val="21"/>
                      <w:szCs w:val="21"/>
                      <w:lang w:val="en-US" w:eastAsia="zh-CN"/>
                    </w:rPr>
                    <w:t>颗粒物</w:t>
                  </w:r>
                </w:p>
              </w:tc>
              <w:tc>
                <w:tcPr>
                  <w:tcW w:w="204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1.144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3429" w:type="dxa"/>
                  <w:gridSpan w:val="4"/>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314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NH</w:t>
                  </w:r>
                  <w:r>
                    <w:rPr>
                      <w:rFonts w:hint="eastAsia" w:ascii="Times New Roman" w:hAnsi="Times New Roman" w:cs="Times New Roman"/>
                      <w:kern w:val="0"/>
                      <w:sz w:val="21"/>
                      <w:szCs w:val="21"/>
                      <w:vertAlign w:val="subscript"/>
                      <w:lang w:val="en-US" w:eastAsia="zh-CN"/>
                    </w:rPr>
                    <w:t>3</w:t>
                  </w:r>
                </w:p>
              </w:tc>
              <w:tc>
                <w:tcPr>
                  <w:tcW w:w="204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0.0614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 w:hRule="atLeast"/>
                <w:jc w:val="center"/>
              </w:trPr>
              <w:tc>
                <w:tcPr>
                  <w:tcW w:w="3429" w:type="dxa"/>
                  <w:gridSpan w:val="4"/>
                  <w:vMerge w:val="continue"/>
                  <w:tcBorders>
                    <w:tl2br w:val="nil"/>
                    <w:tr2bl w:val="nil"/>
                  </w:tcBorders>
                  <w:vAlign w:val="center"/>
                </w:tcPr>
                <w:p>
                  <w:pPr>
                    <w:spacing w:line="240" w:lineRule="auto"/>
                    <w:ind w:firstLine="0" w:firstLineChars="0"/>
                    <w:jc w:val="center"/>
                    <w:rPr>
                      <w:rFonts w:hint="default" w:ascii="Times New Roman" w:hAnsi="Times New Roman" w:cs="Times New Roman"/>
                      <w:kern w:val="0"/>
                      <w:sz w:val="21"/>
                      <w:szCs w:val="21"/>
                    </w:rPr>
                  </w:pPr>
                </w:p>
              </w:tc>
              <w:tc>
                <w:tcPr>
                  <w:tcW w:w="314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H</w:t>
                  </w:r>
                  <w:r>
                    <w:rPr>
                      <w:rFonts w:hint="eastAsia" w:ascii="Times New Roman" w:hAnsi="Times New Roman" w:cs="Times New Roman"/>
                      <w:b w:val="0"/>
                      <w:bCs w:val="0"/>
                      <w:kern w:val="0"/>
                      <w:sz w:val="21"/>
                      <w:szCs w:val="21"/>
                      <w:vertAlign w:val="subscript"/>
                      <w:lang w:val="en-US" w:eastAsia="zh-CN"/>
                    </w:rPr>
                    <w:t>2</w:t>
                  </w:r>
                  <w:r>
                    <w:rPr>
                      <w:rFonts w:hint="eastAsia" w:ascii="Times New Roman" w:hAnsi="Times New Roman" w:cs="Times New Roman"/>
                      <w:b w:val="0"/>
                      <w:bCs w:val="0"/>
                      <w:kern w:val="0"/>
                      <w:sz w:val="21"/>
                      <w:szCs w:val="21"/>
                      <w:lang w:val="en-US" w:eastAsia="zh-CN"/>
                    </w:rPr>
                    <w:t>S</w:t>
                  </w:r>
                </w:p>
              </w:tc>
              <w:tc>
                <w:tcPr>
                  <w:tcW w:w="204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rPr>
                  </w:pPr>
                  <w:r>
                    <w:rPr>
                      <w:rFonts w:hint="eastAsia" w:ascii="Times New Roman" w:hAnsi="Times New Roman" w:cs="Times New Roman"/>
                      <w:kern w:val="0"/>
                      <w:sz w:val="21"/>
                      <w:szCs w:val="21"/>
                      <w:lang w:val="en-US" w:eastAsia="zh-CN"/>
                    </w:rPr>
                    <w:t>0.00192</w:t>
                  </w:r>
                </w:p>
              </w:tc>
            </w:tr>
          </w:tbl>
          <w:p>
            <w:pPr>
              <w:autoSpaceDE w:val="0"/>
              <w:autoSpaceDN w:val="0"/>
              <w:adjustRightInd w:val="0"/>
              <w:spacing w:line="360" w:lineRule="auto"/>
              <w:ind w:firstLine="480" w:firstLineChars="200"/>
              <w:rPr>
                <w:rFonts w:hint="eastAsia" w:ascii="TT5Co00" w:hAnsi="TT5Co00"/>
                <w:sz w:val="24"/>
                <w:u w:val="none"/>
                <w:lang w:eastAsia="zh-CN"/>
              </w:rPr>
            </w:pPr>
            <w:r>
              <w:rPr>
                <w:rFonts w:hint="eastAsia" w:ascii="TT5Co00" w:hAnsi="TT5Co00"/>
                <w:sz w:val="24"/>
                <w:u w:val="none"/>
                <w:lang w:eastAsia="zh-CN"/>
              </w:rPr>
              <w:t>（</w:t>
            </w:r>
            <w:r>
              <w:rPr>
                <w:rFonts w:hint="eastAsia" w:ascii="TT5Co00" w:hAnsi="TT5Co00"/>
                <w:sz w:val="24"/>
                <w:u w:val="none"/>
                <w:lang w:val="en-US" w:eastAsia="zh-CN"/>
              </w:rPr>
              <w:t>2</w:t>
            </w:r>
            <w:r>
              <w:rPr>
                <w:rFonts w:hint="eastAsia" w:ascii="TT5Co00" w:hAnsi="TT5Co00"/>
                <w:sz w:val="24"/>
                <w:u w:val="none"/>
                <w:lang w:eastAsia="zh-CN"/>
              </w:rPr>
              <w:t>）项目大气污染物年排放量核算</w:t>
            </w:r>
          </w:p>
          <w:p>
            <w:pPr>
              <w:autoSpaceDE w:val="0"/>
              <w:autoSpaceDN w:val="0"/>
              <w:adjustRightInd w:val="0"/>
              <w:spacing w:line="360" w:lineRule="auto"/>
              <w:jc w:val="center"/>
              <w:rPr>
                <w:rStyle w:val="71"/>
                <w:rFonts w:hint="eastAsia" w:ascii="Times New Roman" w:eastAsia="宋体"/>
                <w:b/>
                <w:sz w:val="21"/>
                <w:szCs w:val="21"/>
                <w:u w:val="none"/>
              </w:rPr>
            </w:pPr>
          </w:p>
          <w:p>
            <w:pPr>
              <w:autoSpaceDE w:val="0"/>
              <w:autoSpaceDN w:val="0"/>
              <w:adjustRightInd w:val="0"/>
              <w:spacing w:line="360" w:lineRule="auto"/>
              <w:jc w:val="center"/>
              <w:rPr>
                <w:rStyle w:val="71"/>
                <w:rFonts w:hint="eastAsia" w:ascii="Times New Roman" w:eastAsia="宋体"/>
                <w:b/>
                <w:sz w:val="21"/>
                <w:szCs w:val="21"/>
                <w:u w:val="none"/>
              </w:rPr>
            </w:pPr>
          </w:p>
          <w:p>
            <w:pPr>
              <w:autoSpaceDE w:val="0"/>
              <w:autoSpaceDN w:val="0"/>
              <w:adjustRightInd w:val="0"/>
              <w:spacing w:line="360" w:lineRule="auto"/>
              <w:jc w:val="center"/>
              <w:rPr>
                <w:rStyle w:val="71"/>
                <w:rFonts w:hint="eastAsia" w:ascii="Times New Roman" w:eastAsia="宋体"/>
                <w:b/>
                <w:sz w:val="21"/>
                <w:szCs w:val="21"/>
                <w:u w:val="none"/>
              </w:rPr>
            </w:pPr>
            <w:r>
              <w:rPr>
                <w:rStyle w:val="71"/>
                <w:rFonts w:hint="eastAsia" w:ascii="Times New Roman" w:eastAsia="宋体"/>
                <w:b/>
                <w:sz w:val="21"/>
                <w:szCs w:val="21"/>
                <w:u w:val="none"/>
              </w:rPr>
              <w:t>表</w:t>
            </w:r>
            <w:r>
              <w:rPr>
                <w:rStyle w:val="71"/>
                <w:rFonts w:hint="eastAsia" w:ascii="Times New Roman"/>
                <w:b/>
                <w:sz w:val="21"/>
                <w:szCs w:val="21"/>
                <w:u w:val="none"/>
                <w:lang w:val="en-US" w:eastAsia="zh-CN"/>
              </w:rPr>
              <w:t>7</w:t>
            </w:r>
            <w:r>
              <w:rPr>
                <w:rStyle w:val="71"/>
                <w:rFonts w:hint="eastAsia" w:ascii="Times New Roman" w:eastAsia="宋体"/>
                <w:b/>
                <w:sz w:val="21"/>
                <w:szCs w:val="21"/>
                <w:u w:val="none"/>
              </w:rPr>
              <w:t>-</w:t>
            </w:r>
            <w:r>
              <w:rPr>
                <w:rStyle w:val="71"/>
                <w:rFonts w:hint="eastAsia"/>
                <w:b/>
                <w:sz w:val="21"/>
                <w:szCs w:val="21"/>
                <w:u w:val="none"/>
                <w:lang w:val="en-US" w:eastAsia="zh-CN"/>
              </w:rPr>
              <w:t>5</w:t>
            </w:r>
            <w:r>
              <w:rPr>
                <w:rStyle w:val="71"/>
                <w:rFonts w:hint="eastAsia" w:ascii="Times New Roman" w:eastAsia="宋体"/>
                <w:b/>
                <w:sz w:val="21"/>
                <w:szCs w:val="21"/>
                <w:u w:val="none"/>
              </w:rPr>
              <w:t xml:space="preserve">  大气污染物年排放量核算表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76"/>
              <w:gridCol w:w="2870"/>
              <w:gridCol w:w="28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76" w:type="dxa"/>
                  <w:tcBorders>
                    <w:tl2br w:val="nil"/>
                    <w:tr2bl w:val="nil"/>
                  </w:tcBorders>
                  <w:vAlign w:val="top"/>
                </w:tcPr>
                <w:p>
                  <w:pPr>
                    <w:adjustRightInd w:val="0"/>
                    <w:snapToGrid w:val="0"/>
                    <w:spacing w:line="240" w:lineRule="auto"/>
                    <w:jc w:val="center"/>
                    <w:rPr>
                      <w:rFonts w:hint="eastAsia" w:ascii="Times New Roman" w:hAnsi="Times New Roman" w:cs="Times New Roman"/>
                      <w:b/>
                      <w:bCs/>
                      <w:kern w:val="0"/>
                      <w:szCs w:val="21"/>
                      <w:u w:val="none"/>
                      <w:lang w:val="en-US" w:eastAsia="zh-CN"/>
                    </w:rPr>
                  </w:pPr>
                  <w:r>
                    <w:rPr>
                      <w:rFonts w:hint="eastAsia" w:ascii="Times New Roman" w:hAnsi="Times New Roman" w:cs="Times New Roman"/>
                      <w:b/>
                      <w:bCs/>
                      <w:kern w:val="0"/>
                      <w:szCs w:val="21"/>
                      <w:u w:val="none"/>
                      <w:lang w:val="en-US" w:eastAsia="zh-CN"/>
                    </w:rPr>
                    <w:t>序号</w:t>
                  </w:r>
                </w:p>
              </w:tc>
              <w:tc>
                <w:tcPr>
                  <w:tcW w:w="2870" w:type="dxa"/>
                  <w:tcBorders>
                    <w:tl2br w:val="nil"/>
                    <w:tr2bl w:val="nil"/>
                  </w:tcBorders>
                  <w:vAlign w:val="top"/>
                </w:tcPr>
                <w:p>
                  <w:pPr>
                    <w:adjustRightInd w:val="0"/>
                    <w:snapToGrid w:val="0"/>
                    <w:spacing w:line="240" w:lineRule="auto"/>
                    <w:jc w:val="center"/>
                    <w:rPr>
                      <w:rFonts w:hint="eastAsia" w:ascii="Times New Roman" w:hAnsi="Times New Roman" w:cs="Times New Roman"/>
                      <w:b/>
                      <w:bCs/>
                      <w:kern w:val="0"/>
                      <w:szCs w:val="21"/>
                      <w:u w:val="none"/>
                      <w:lang w:val="en-US" w:eastAsia="zh-CN"/>
                    </w:rPr>
                  </w:pPr>
                  <w:r>
                    <w:rPr>
                      <w:rFonts w:hint="eastAsia" w:ascii="Times New Roman" w:hAnsi="Times New Roman" w:cs="Times New Roman"/>
                      <w:b/>
                      <w:bCs/>
                      <w:kern w:val="0"/>
                      <w:szCs w:val="21"/>
                      <w:u w:val="none"/>
                      <w:lang w:val="en-US" w:eastAsia="zh-CN"/>
                    </w:rPr>
                    <w:t>污染物</w:t>
                  </w:r>
                </w:p>
              </w:tc>
              <w:tc>
                <w:tcPr>
                  <w:tcW w:w="2871" w:type="dxa"/>
                  <w:tcBorders>
                    <w:tl2br w:val="nil"/>
                    <w:tr2bl w:val="nil"/>
                  </w:tcBorders>
                  <w:vAlign w:val="top"/>
                </w:tcPr>
                <w:p>
                  <w:pPr>
                    <w:adjustRightInd w:val="0"/>
                    <w:snapToGrid w:val="0"/>
                    <w:spacing w:line="240" w:lineRule="auto"/>
                    <w:jc w:val="center"/>
                    <w:rPr>
                      <w:rFonts w:hint="eastAsia" w:ascii="Times New Roman" w:hAnsi="Times New Roman" w:cs="Times New Roman"/>
                      <w:b/>
                      <w:bCs/>
                      <w:kern w:val="0"/>
                      <w:szCs w:val="21"/>
                      <w:u w:val="none"/>
                      <w:lang w:val="en-US" w:eastAsia="zh-CN"/>
                    </w:rPr>
                  </w:pPr>
                  <w:r>
                    <w:rPr>
                      <w:rFonts w:hint="eastAsia" w:ascii="Times New Roman" w:hAnsi="Times New Roman" w:cs="Times New Roman"/>
                      <w:b/>
                      <w:bCs/>
                      <w:kern w:val="0"/>
                      <w:szCs w:val="21"/>
                      <w:u w:val="none"/>
                      <w:lang w:val="en-US" w:eastAsia="zh-CN"/>
                    </w:rPr>
                    <w:t>年排放量（t）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76"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w:t>
                  </w:r>
                </w:p>
              </w:tc>
              <w:tc>
                <w:tcPr>
                  <w:tcW w:w="2870"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颗粒物</w:t>
                  </w:r>
                </w:p>
              </w:tc>
              <w:tc>
                <w:tcPr>
                  <w:tcW w:w="2871" w:type="dxa"/>
                  <w:tcBorders>
                    <w:tl2br w:val="nil"/>
                    <w:tr2bl w:val="nil"/>
                  </w:tcBorders>
                  <w:vAlign w:val="top"/>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1.584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76"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2870"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NH</w:t>
                  </w:r>
                  <w:r>
                    <w:rPr>
                      <w:rFonts w:hint="eastAsia" w:ascii="Times New Roman" w:hAnsi="Times New Roman" w:cs="Times New Roman"/>
                      <w:kern w:val="0"/>
                      <w:sz w:val="21"/>
                      <w:szCs w:val="21"/>
                      <w:vertAlign w:val="subscript"/>
                      <w:lang w:val="en-US" w:eastAsia="zh-CN"/>
                    </w:rPr>
                    <w:t>3</w:t>
                  </w:r>
                </w:p>
              </w:tc>
              <w:tc>
                <w:tcPr>
                  <w:tcW w:w="2871" w:type="dxa"/>
                  <w:tcBorders>
                    <w:tl2br w:val="nil"/>
                    <w:tr2bl w:val="nil"/>
                  </w:tcBorders>
                  <w:vAlign w:val="top"/>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0.0914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876"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w:t>
                  </w:r>
                </w:p>
              </w:tc>
              <w:tc>
                <w:tcPr>
                  <w:tcW w:w="2870" w:type="dxa"/>
                  <w:tcBorders>
                    <w:tl2br w:val="nil"/>
                    <w:tr2bl w:val="nil"/>
                  </w:tcBorders>
                  <w:vAlign w:val="center"/>
                </w:tcPr>
                <w:p>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H</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S</w:t>
                  </w:r>
                </w:p>
              </w:tc>
              <w:tc>
                <w:tcPr>
                  <w:tcW w:w="2871" w:type="dxa"/>
                  <w:tcBorders>
                    <w:tl2br w:val="nil"/>
                    <w:tr2bl w:val="nil"/>
                  </w:tcBorders>
                  <w:vAlign w:val="top"/>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0.00282</w:t>
                  </w:r>
                </w:p>
              </w:tc>
            </w:tr>
          </w:tbl>
          <w:p>
            <w:pPr>
              <w:pStyle w:val="21"/>
              <w:spacing w:line="360" w:lineRule="auto"/>
              <w:ind w:left="0" w:leftChars="0"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7-6</w:t>
            </w:r>
            <w:r>
              <w:rPr>
                <w:rFonts w:hint="eastAsia" w:ascii="Times New Roman" w:hAnsi="Times New Roman" w:cs="Times New Roman"/>
                <w:b/>
                <w:bCs/>
                <w:sz w:val="21"/>
                <w:szCs w:val="21"/>
                <w:lang w:val="en-US" w:eastAsia="zh-CN"/>
              </w:rPr>
              <w:t xml:space="preserve">  建设项目大气环境影响评价自查表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81"/>
              <w:gridCol w:w="1536"/>
              <w:gridCol w:w="832"/>
              <w:gridCol w:w="388"/>
              <w:gridCol w:w="180"/>
              <w:gridCol w:w="979"/>
              <w:gridCol w:w="122"/>
              <w:gridCol w:w="133"/>
              <w:gridCol w:w="304"/>
              <w:gridCol w:w="453"/>
              <w:gridCol w:w="292"/>
              <w:gridCol w:w="179"/>
              <w:gridCol w:w="220"/>
              <w:gridCol w:w="395"/>
              <w:gridCol w:w="434"/>
              <w:gridCol w:w="116"/>
              <w:gridCol w:w="479"/>
              <w:gridCol w:w="5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53"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工作内容</w:t>
                  </w:r>
                </w:p>
              </w:tc>
              <w:tc>
                <w:tcPr>
                  <w:tcW w:w="6179" w:type="dxa"/>
                  <w:gridSpan w:val="16"/>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自查项目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评价等级与范围</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评价等级</w:t>
                  </w:r>
                </w:p>
              </w:tc>
              <w:tc>
                <w:tcPr>
                  <w:tcW w:w="2410"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一级□</w:t>
                  </w:r>
                </w:p>
              </w:tc>
              <w:tc>
                <w:tcPr>
                  <w:tcW w:w="212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b w:val="0"/>
                      <w:bCs w:val="0"/>
                      <w:kern w:val="0"/>
                      <w:sz w:val="18"/>
                      <w:szCs w:val="18"/>
                    </w:rPr>
                  </w:pPr>
                  <w:r>
                    <w:rPr>
                      <w:rFonts w:hint="default" w:ascii="Times New Roman" w:hAnsi="Times New Roman" w:cs="Times New Roman"/>
                      <w:b w:val="0"/>
                      <w:bCs w:val="0"/>
                      <w:kern w:val="0"/>
                      <w:sz w:val="18"/>
                      <w:szCs w:val="18"/>
                    </w:rPr>
                    <w:t>二级</w:t>
                  </w:r>
                  <w:r>
                    <w:rPr>
                      <w:rFonts w:hint="default" w:ascii="Times New Roman" w:hAnsi="Times New Roman" w:cs="Times New Roman"/>
                      <w:kern w:val="0"/>
                      <w:sz w:val="18"/>
                      <w:szCs w:val="18"/>
                    </w:rPr>
                    <w:sym w:font="Wingdings 2" w:char="0052"/>
                  </w:r>
                  <w:r>
                    <w:rPr>
                      <w:rStyle w:val="79"/>
                      <w:rFonts w:hint="default" w:ascii="Times New Roman" w:hAnsi="Times New Roman" w:cs="Times New Roman"/>
                      <w:b w:val="0"/>
                      <w:bCs w:val="0"/>
                      <w:kern w:val="0"/>
                      <w:sz w:val="18"/>
                      <w:szCs w:val="18"/>
                    </w:rPr>
                    <w:t></w:t>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三级□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评价范围</w:t>
                  </w:r>
                </w:p>
              </w:tc>
              <w:tc>
                <w:tcPr>
                  <w:tcW w:w="2410"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边长=50km□</w:t>
                  </w:r>
                </w:p>
              </w:tc>
              <w:tc>
                <w:tcPr>
                  <w:tcW w:w="212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b w:val="0"/>
                      <w:bCs w:val="0"/>
                      <w:kern w:val="0"/>
                      <w:sz w:val="18"/>
                      <w:szCs w:val="18"/>
                    </w:rPr>
                  </w:pPr>
                  <w:r>
                    <w:rPr>
                      <w:rFonts w:hint="default" w:ascii="Times New Roman" w:hAnsi="Times New Roman" w:cs="Times New Roman"/>
                      <w:b w:val="0"/>
                      <w:bCs w:val="0"/>
                      <w:kern w:val="0"/>
                      <w:sz w:val="18"/>
                      <w:szCs w:val="18"/>
                    </w:rPr>
                    <w:t>边长5~50km</w:t>
                  </w:r>
                  <w:r>
                    <w:rPr>
                      <w:rFonts w:hint="default" w:ascii="Times New Roman" w:hAnsi="Times New Roman" w:cs="Times New Roman"/>
                      <w:b w:val="0"/>
                      <w:bCs w:val="0"/>
                      <w:kern w:val="0"/>
                      <w:sz w:val="18"/>
                      <w:szCs w:val="18"/>
                    </w:rPr>
                    <w:sym w:font="Wingdings 2" w:char="0052"/>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边长=5km</w:t>
                  </w:r>
                  <w:r>
                    <w:rPr>
                      <w:rStyle w:val="79"/>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评价因子</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SO</w:t>
                  </w:r>
                  <w:r>
                    <w:rPr>
                      <w:rFonts w:hint="default" w:ascii="Times New Roman" w:hAnsi="Times New Roman" w:cs="Times New Roman"/>
                      <w:kern w:val="0"/>
                      <w:sz w:val="18"/>
                      <w:szCs w:val="18"/>
                      <w:vertAlign w:val="subscript"/>
                    </w:rPr>
                    <w:t>2</w:t>
                  </w:r>
                  <w:r>
                    <w:rPr>
                      <w:rFonts w:hint="default" w:ascii="Times New Roman" w:hAnsi="Times New Roman" w:cs="Times New Roman"/>
                      <w:kern w:val="0"/>
                      <w:sz w:val="18"/>
                      <w:szCs w:val="18"/>
                    </w:rPr>
                    <w:t>+NO</w:t>
                  </w:r>
                  <w:r>
                    <w:rPr>
                      <w:rFonts w:hint="default" w:ascii="Times New Roman" w:hAnsi="Times New Roman" w:cs="Times New Roman"/>
                      <w:kern w:val="0"/>
                      <w:sz w:val="18"/>
                      <w:szCs w:val="18"/>
                      <w:vertAlign w:val="subscript"/>
                    </w:rPr>
                    <w:t>X</w:t>
                  </w:r>
                  <w:r>
                    <w:rPr>
                      <w:rFonts w:hint="default" w:ascii="Times New Roman" w:hAnsi="Times New Roman" w:cs="Times New Roman"/>
                      <w:kern w:val="0"/>
                      <w:sz w:val="18"/>
                      <w:szCs w:val="18"/>
                    </w:rPr>
                    <w:t>排放量</w:t>
                  </w:r>
                </w:p>
              </w:tc>
              <w:tc>
                <w:tcPr>
                  <w:tcW w:w="1417"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2000t/a□</w:t>
                  </w:r>
                </w:p>
              </w:tc>
              <w:tc>
                <w:tcPr>
                  <w:tcW w:w="3119" w:type="dxa"/>
                  <w:gridSpan w:val="9"/>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500~2000t/a□</w:t>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＜500t/a</w:t>
                  </w:r>
                  <w:r>
                    <w:rPr>
                      <w:rFonts w:hint="default" w:ascii="Times New Roman" w:hAnsi="Times New Roman" w:cs="Times New Roman"/>
                      <w:kern w:val="0"/>
                      <w:sz w:val="18"/>
                      <w:szCs w:val="18"/>
                    </w:rPr>
                    <w:sym w:font="Wingdings 2" w:char="0052"/>
                  </w:r>
                  <w:r>
                    <w:rPr>
                      <w:rStyle w:val="79"/>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评价因子</w:t>
                  </w:r>
                </w:p>
              </w:tc>
              <w:tc>
                <w:tcPr>
                  <w:tcW w:w="343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基本污染物（</w:t>
                  </w:r>
                  <w:r>
                    <w:rPr>
                      <w:rFonts w:hint="eastAsia" w:ascii="Times New Roman" w:hAnsi="Times New Roman" w:cs="Times New Roman"/>
                      <w:sz w:val="18"/>
                      <w:szCs w:val="18"/>
                    </w:rPr>
                    <w:t>CO、O</w:t>
                  </w:r>
                  <w:r>
                    <w:rPr>
                      <w:rFonts w:hint="eastAsia" w:ascii="Times New Roman" w:hAnsi="Times New Roman" w:cs="Times New Roman"/>
                      <w:sz w:val="18"/>
                      <w:szCs w:val="18"/>
                      <w:vertAlign w:val="subscript"/>
                    </w:rPr>
                    <w:t>3</w:t>
                  </w:r>
                  <w:r>
                    <w:rPr>
                      <w:rFonts w:hint="eastAsia" w:ascii="Times New Roman" w:hAnsi="Times New Roman" w:cs="Times New Roman"/>
                      <w:sz w:val="18"/>
                      <w:szCs w:val="18"/>
                    </w:rPr>
                    <w:t>、</w:t>
                  </w:r>
                  <w:r>
                    <w:rPr>
                      <w:rFonts w:hint="default" w:ascii="Times New Roman" w:hAnsi="Times New Roman" w:cs="Times New Roman"/>
                      <w:sz w:val="18"/>
                      <w:szCs w:val="18"/>
                    </w:rPr>
                    <w:t>SO</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、NO</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、PM</w:t>
                  </w:r>
                  <w:r>
                    <w:rPr>
                      <w:rFonts w:hint="default" w:ascii="Times New Roman" w:hAnsi="Times New Roman" w:cs="Times New Roman"/>
                      <w:sz w:val="18"/>
                      <w:szCs w:val="18"/>
                      <w:vertAlign w:val="subscript"/>
                    </w:rPr>
                    <w:t>10</w:t>
                  </w:r>
                  <w:r>
                    <w:rPr>
                      <w:rFonts w:hint="default" w:ascii="Times New Roman" w:hAnsi="Times New Roman" w:cs="Times New Roman"/>
                      <w:sz w:val="18"/>
                      <w:szCs w:val="18"/>
                    </w:rPr>
                    <w:t>、PM</w:t>
                  </w:r>
                  <w:r>
                    <w:rPr>
                      <w:rFonts w:hint="eastAsia" w:ascii="Times New Roman" w:hAnsi="Times New Roman" w:cs="Times New Roman"/>
                      <w:sz w:val="18"/>
                      <w:szCs w:val="18"/>
                      <w:vertAlign w:val="subscript"/>
                    </w:rPr>
                    <w:t>2.5</w:t>
                  </w:r>
                  <w:r>
                    <w:rPr>
                      <w:rFonts w:hint="default" w:ascii="Times New Roman" w:hAnsi="Times New Roman" w:cs="Times New Roman"/>
                      <w:kern w:val="0"/>
                      <w:sz w:val="18"/>
                      <w:szCs w:val="18"/>
                    </w:rPr>
                    <w:t>）</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其他污染物（</w:t>
                  </w:r>
                  <w:r>
                    <w:rPr>
                      <w:rFonts w:hint="eastAsia" w:ascii="Times New Roman" w:hAnsi="Times New Roman" w:cs="Times New Roman"/>
                      <w:kern w:val="0"/>
                      <w:sz w:val="18"/>
                      <w:szCs w:val="18"/>
                      <w:lang w:val="en-US" w:eastAsia="zh-CN"/>
                    </w:rPr>
                    <w:t>NH</w:t>
                  </w:r>
                  <w:r>
                    <w:rPr>
                      <w:rFonts w:hint="eastAsia" w:ascii="Times New Roman" w:hAnsi="Times New Roman" w:cs="Times New Roman"/>
                      <w:kern w:val="0"/>
                      <w:sz w:val="18"/>
                      <w:szCs w:val="18"/>
                      <w:vertAlign w:val="subscript"/>
                      <w:lang w:val="en-US" w:eastAsia="zh-CN"/>
                    </w:rPr>
                    <w:t>3</w:t>
                  </w:r>
                  <w:r>
                    <w:rPr>
                      <w:rFonts w:hint="eastAsia" w:ascii="Times New Roman" w:hAnsi="Times New Roman" w:cs="Times New Roman"/>
                      <w:kern w:val="0"/>
                      <w:sz w:val="18"/>
                      <w:szCs w:val="18"/>
                      <w:lang w:val="en-US" w:eastAsia="zh-CN"/>
                    </w:rPr>
                    <w:t>、H</w:t>
                  </w:r>
                  <w:r>
                    <w:rPr>
                      <w:rFonts w:hint="eastAsia" w:ascii="Times New Roman" w:hAnsi="Times New Roman" w:cs="Times New Roman"/>
                      <w:kern w:val="0"/>
                      <w:sz w:val="18"/>
                      <w:szCs w:val="18"/>
                      <w:vertAlign w:val="subscript"/>
                      <w:lang w:val="en-US" w:eastAsia="zh-CN"/>
                    </w:rPr>
                    <w:t>2</w:t>
                  </w:r>
                  <w:r>
                    <w:rPr>
                      <w:rFonts w:hint="eastAsia" w:ascii="Times New Roman" w:hAnsi="Times New Roman" w:cs="Times New Roman"/>
                      <w:kern w:val="0"/>
                      <w:sz w:val="18"/>
                      <w:szCs w:val="18"/>
                      <w:lang w:val="en-US" w:eastAsia="zh-CN"/>
                    </w:rPr>
                    <w:t>S、臭气浓度、颗粒物</w:t>
                  </w:r>
                  <w:r>
                    <w:rPr>
                      <w:rFonts w:hint="default" w:ascii="Times New Roman" w:hAnsi="Times New Roman" w:cs="Times New Roman"/>
                      <w:kern w:val="0"/>
                      <w:sz w:val="18"/>
                      <w:szCs w:val="18"/>
                    </w:rPr>
                    <w:t>）</w:t>
                  </w:r>
                </w:p>
              </w:tc>
              <w:tc>
                <w:tcPr>
                  <w:tcW w:w="2743"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包括二次PM</w:t>
                  </w:r>
                  <w:r>
                    <w:rPr>
                      <w:rFonts w:hint="default" w:ascii="Times New Roman" w:hAnsi="Times New Roman" w:cs="Times New Roman"/>
                      <w:kern w:val="0"/>
                      <w:sz w:val="18"/>
                      <w:szCs w:val="18"/>
                      <w:vertAlign w:val="subscript"/>
                    </w:rPr>
                    <w:t>2.5</w:t>
                  </w:r>
                  <w:r>
                    <w:rPr>
                      <w:rFonts w:hint="default" w:ascii="Times New Roman" w:hAnsi="Times New Roman" w:cs="Times New Roman"/>
                      <w:kern w:val="0"/>
                      <w:sz w:val="18"/>
                      <w:szCs w:val="18"/>
                    </w:rPr>
                    <w:t>□</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不包括二次PM</w:t>
                  </w:r>
                  <w:r>
                    <w:rPr>
                      <w:rFonts w:hint="default" w:ascii="Times New Roman" w:hAnsi="Times New Roman" w:cs="Times New Roman"/>
                      <w:kern w:val="0"/>
                      <w:sz w:val="18"/>
                      <w:szCs w:val="18"/>
                      <w:vertAlign w:val="subscript"/>
                    </w:rPr>
                    <w:t>2.5</w:t>
                  </w:r>
                  <w:r>
                    <w:rPr>
                      <w:rFonts w:hint="default" w:ascii="Times New Roman" w:hAnsi="Times New Roman" w:cs="Times New Roman"/>
                      <w:kern w:val="0"/>
                      <w:sz w:val="18"/>
                      <w:szCs w:val="18"/>
                    </w:rPr>
                    <w:sym w:font="Wingdings 2" w:char="0052"/>
                  </w:r>
                  <w:r>
                    <w:rPr>
                      <w:rStyle w:val="79"/>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评价标准</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评价标准</w:t>
                  </w:r>
                </w:p>
              </w:tc>
              <w:tc>
                <w:tcPr>
                  <w:tcW w:w="1417"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国家标准</w:t>
                  </w:r>
                  <w:r>
                    <w:rPr>
                      <w:rStyle w:val="79"/>
                      <w:rFonts w:hint="default" w:ascii="Times New Roman" w:hAnsi="Times New Roman" w:cs="Times New Roman"/>
                      <w:kern w:val="0"/>
                      <w:sz w:val="18"/>
                      <w:szCs w:val="18"/>
                    </w:rPr>
                    <w:t></w:t>
                  </w:r>
                </w:p>
              </w:tc>
              <w:tc>
                <w:tcPr>
                  <w:tcW w:w="2019"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地方标准□</w:t>
                  </w:r>
                </w:p>
              </w:tc>
              <w:tc>
                <w:tcPr>
                  <w:tcW w:w="1540"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附录D</w:t>
                  </w:r>
                  <w:r>
                    <w:rPr>
                      <w:rStyle w:val="79"/>
                      <w:rFonts w:hint="default" w:ascii="Times New Roman" w:hAnsi="Times New Roman" w:cs="Times New Roman"/>
                      <w:kern w:val="0"/>
                      <w:sz w:val="18"/>
                      <w:szCs w:val="18"/>
                    </w:rPr>
                    <w:t></w:t>
                  </w:r>
                </w:p>
              </w:tc>
              <w:tc>
                <w:tcPr>
                  <w:tcW w:w="1203"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其他标准</w:t>
                  </w:r>
                  <w:r>
                    <w:rPr>
                      <w:rStyle w:val="79"/>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现状评价</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环境功能区</w:t>
                  </w:r>
                </w:p>
              </w:tc>
              <w:tc>
                <w:tcPr>
                  <w:tcW w:w="2410"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一类区□</w:t>
                  </w:r>
                </w:p>
              </w:tc>
              <w:tc>
                <w:tcPr>
                  <w:tcW w:w="212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二类区</w:t>
                  </w:r>
                  <w:r>
                    <w:rPr>
                      <w:rFonts w:hint="eastAsia" w:ascii="Times New Roman" w:hAnsi="Times New Roman" w:cs="Times New Roman"/>
                      <w:kern w:val="0"/>
                      <w:sz w:val="18"/>
                      <w:szCs w:val="18"/>
                      <w:lang w:val="en-US" w:eastAsia="zh-CN"/>
                    </w:rPr>
                    <w:t xml:space="preserve"> </w:t>
                  </w:r>
                  <w:r>
                    <w:rPr>
                      <w:rFonts w:hint="default" w:ascii="Times New Roman" w:hAnsi="Times New Roman" w:cs="Times New Roman"/>
                      <w:kern w:val="0"/>
                      <w:sz w:val="18"/>
                      <w:szCs w:val="18"/>
                    </w:rPr>
                    <w:sym w:font="Wingdings 2" w:char="0052"/>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一类区和二类区□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评价基准年</w:t>
                  </w:r>
                </w:p>
              </w:tc>
              <w:tc>
                <w:tcPr>
                  <w:tcW w:w="6179" w:type="dxa"/>
                  <w:gridSpan w:val="16"/>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（201</w:t>
                  </w:r>
                  <w:r>
                    <w:rPr>
                      <w:rFonts w:hint="eastAsia" w:ascii="Times New Roman" w:hAnsi="Times New Roman" w:cs="Times New Roman"/>
                      <w:kern w:val="0"/>
                      <w:sz w:val="18"/>
                      <w:szCs w:val="18"/>
                      <w:lang w:val="en-US" w:eastAsia="zh-CN"/>
                    </w:rPr>
                    <w:t>9</w:t>
                  </w:r>
                  <w:r>
                    <w:rPr>
                      <w:rFonts w:hint="default" w:ascii="Times New Roman" w:hAnsi="Times New Roman" w:cs="Times New Roman"/>
                      <w:kern w:val="0"/>
                      <w:sz w:val="18"/>
                      <w:szCs w:val="18"/>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环境空气质量现状调查数据来源</w:t>
                  </w:r>
                </w:p>
              </w:tc>
              <w:tc>
                <w:tcPr>
                  <w:tcW w:w="2410"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长期例行监测数据□</w:t>
                  </w:r>
                </w:p>
              </w:tc>
              <w:tc>
                <w:tcPr>
                  <w:tcW w:w="212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主管部门发布的数据</w:t>
                  </w:r>
                  <w:r>
                    <w:rPr>
                      <w:rStyle w:val="79"/>
                      <w:rFonts w:hint="default" w:ascii="Times New Roman" w:hAnsi="Times New Roman" w:cs="Times New Roman"/>
                      <w:kern w:val="0"/>
                      <w:sz w:val="18"/>
                      <w:szCs w:val="18"/>
                    </w:rPr>
                    <w:t></w:t>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现状补充监测</w:t>
                  </w:r>
                  <w:r>
                    <w:rPr>
                      <w:rFonts w:hint="default" w:ascii="Times New Roman" w:hAnsi="Times New Roman" w:cs="Times New Roman"/>
                      <w:kern w:val="0"/>
                      <w:sz w:val="18"/>
                      <w:szCs w:val="18"/>
                    </w:rPr>
                    <w:sym w:font="Wingdings 2" w:char="0052"/>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现状评价</w:t>
                  </w:r>
                </w:p>
              </w:tc>
              <w:tc>
                <w:tcPr>
                  <w:tcW w:w="343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达标区□</w:t>
                  </w:r>
                </w:p>
              </w:tc>
              <w:tc>
                <w:tcPr>
                  <w:tcW w:w="2743" w:type="dxa"/>
                  <w:gridSpan w:val="8"/>
                  <w:tcBorders>
                    <w:tl2br w:val="nil"/>
                    <w:tr2bl w:val="nil"/>
                  </w:tcBorders>
                  <w:vAlign w:val="center"/>
                </w:tcPr>
                <w:p>
                  <w:pPr>
                    <w:widowControl/>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不达标区</w:t>
                  </w:r>
                  <w:r>
                    <w:rPr>
                      <w:rFonts w:hint="default" w:ascii="Times New Roman" w:hAnsi="Times New Roman" w:cs="Times New Roman"/>
                      <w:kern w:val="0"/>
                      <w:sz w:val="18"/>
                      <w:szCs w:val="18"/>
                    </w:rPr>
                    <w:sym w:font="Wingdings 2" w:char="0052"/>
                  </w:r>
                  <w:r>
                    <w:rPr>
                      <w:rStyle w:val="79"/>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污染源</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调查</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调查内容</w:t>
                  </w:r>
                </w:p>
              </w:tc>
              <w:tc>
                <w:tcPr>
                  <w:tcW w:w="1417" w:type="dxa"/>
                  <w:gridSpan w:val="3"/>
                  <w:tcBorders>
                    <w:tl2br w:val="nil"/>
                    <w:tr2bl w:val="nil"/>
                  </w:tcBorders>
                  <w:vAlign w:val="center"/>
                </w:tcPr>
                <w:p>
                  <w:pPr>
                    <w:spacing w:line="240" w:lineRule="auto"/>
                    <w:ind w:firstLine="0" w:firstLineChars="0"/>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t>本项目正常排放源</w:t>
                  </w:r>
                  <w:r>
                    <w:rPr>
                      <w:rFonts w:hint="default" w:ascii="Times New Roman" w:hAnsi="Times New Roman" w:cs="Times New Roman"/>
                      <w:kern w:val="0"/>
                      <w:sz w:val="18"/>
                      <w:szCs w:val="18"/>
                    </w:rPr>
                    <w:sym w:font="Wingdings 2" w:char="0052"/>
                  </w:r>
                  <w:r>
                    <w:rPr>
                      <w:rStyle w:val="79"/>
                      <w:rFonts w:hint="default" w:ascii="Times New Roman" w:hAnsi="Times New Roman" w:cs="Times New Roman"/>
                      <w:kern w:val="0"/>
                      <w:sz w:val="18"/>
                      <w:szCs w:val="18"/>
                    </w:rPr>
                    <w:t></w:t>
                  </w:r>
                  <w:r>
                    <w:rPr>
                      <w:rFonts w:hint="default" w:ascii="Times New Roman" w:hAnsi="Times New Roman" w:cs="Times New Roman"/>
                      <w:kern w:val="0"/>
                      <w:sz w:val="18"/>
                      <w:szCs w:val="18"/>
                    </w:rPr>
                    <w:t xml:space="preserve"> </w:t>
                  </w:r>
                </w:p>
                <w:p>
                  <w:pPr>
                    <w:spacing w:line="240" w:lineRule="auto"/>
                    <w:ind w:right="180" w:firstLine="0" w:firstLineChars="0"/>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t>本项目非正常排放源□</w:t>
                  </w:r>
                </w:p>
                <w:p>
                  <w:pPr>
                    <w:spacing w:line="240" w:lineRule="auto"/>
                    <w:ind w:firstLine="0" w:firstLineChars="0"/>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现有污染源 </w:t>
                  </w:r>
                  <w:r>
                    <w:rPr>
                      <w:rFonts w:hint="default" w:ascii="Times New Roman" w:hAnsi="Times New Roman" w:cs="Times New Roman"/>
                      <w:kern w:val="0"/>
                      <w:sz w:val="18"/>
                      <w:szCs w:val="18"/>
                    </w:rPr>
                    <w:sym w:font="Wingdings 2" w:char="00A3"/>
                  </w:r>
                </w:p>
              </w:tc>
              <w:tc>
                <w:tcPr>
                  <w:tcW w:w="2019" w:type="dxa"/>
                  <w:gridSpan w:val="5"/>
                  <w:tcBorders>
                    <w:tl2br w:val="nil"/>
                    <w:tr2bl w:val="nil"/>
                  </w:tcBorders>
                  <w:vAlign w:val="center"/>
                </w:tcPr>
                <w:p>
                  <w:pPr>
                    <w:spacing w:line="240" w:lineRule="auto"/>
                    <w:ind w:firstLine="0" w:firstLineChars="0"/>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t>拟替代的污染源□</w:t>
                  </w:r>
                </w:p>
              </w:tc>
              <w:tc>
                <w:tcPr>
                  <w:tcW w:w="1540" w:type="dxa"/>
                  <w:gridSpan w:val="5"/>
                  <w:tcBorders>
                    <w:tl2br w:val="nil"/>
                    <w:tr2bl w:val="nil"/>
                  </w:tcBorders>
                  <w:vAlign w:val="center"/>
                </w:tcPr>
                <w:p>
                  <w:pPr>
                    <w:widowControl/>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其他在建、拟建项目污染源□</w:t>
                  </w:r>
                </w:p>
              </w:tc>
              <w:tc>
                <w:tcPr>
                  <w:tcW w:w="1203" w:type="dxa"/>
                  <w:gridSpan w:val="3"/>
                  <w:tcBorders>
                    <w:tl2br w:val="nil"/>
                    <w:tr2bl w:val="nil"/>
                  </w:tcBorders>
                  <w:vAlign w:val="center"/>
                </w:tcPr>
                <w:p>
                  <w:pPr>
                    <w:widowControl/>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区域污染源□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大气环境影响预测与评价</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预测模型</w:t>
                  </w:r>
                </w:p>
              </w:tc>
              <w:tc>
                <w:tcPr>
                  <w:tcW w:w="843"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AERMOD□</w:t>
                  </w:r>
                </w:p>
              </w:tc>
              <w:tc>
                <w:tcPr>
                  <w:tcW w:w="574"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ADMS□</w:t>
                  </w:r>
                </w:p>
              </w:tc>
              <w:tc>
                <w:tcPr>
                  <w:tcW w:w="1252"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AUSTAL2000□</w:t>
                  </w:r>
                </w:p>
              </w:tc>
              <w:tc>
                <w:tcPr>
                  <w:tcW w:w="1063"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EDMS/AEDT□</w:t>
                  </w:r>
                </w:p>
              </w:tc>
              <w:tc>
                <w:tcPr>
                  <w:tcW w:w="804"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CALPUFF□</w:t>
                  </w:r>
                </w:p>
              </w:tc>
              <w:tc>
                <w:tcPr>
                  <w:tcW w:w="1044"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网格模型</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w:t>
                  </w:r>
                </w:p>
              </w:tc>
              <w:tc>
                <w:tcPr>
                  <w:tcW w:w="59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其他</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预测范围</w:t>
                  </w:r>
                </w:p>
              </w:tc>
              <w:tc>
                <w:tcPr>
                  <w:tcW w:w="1417"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边长≥ 50km□</w:t>
                  </w:r>
                </w:p>
              </w:tc>
              <w:tc>
                <w:tcPr>
                  <w:tcW w:w="3119" w:type="dxa"/>
                  <w:gridSpan w:val="9"/>
                  <w:tcBorders>
                    <w:tl2br w:val="nil"/>
                    <w:tr2bl w:val="nil"/>
                  </w:tcBorders>
                  <w:vAlign w:val="center"/>
                </w:tcPr>
                <w:p>
                  <w:pPr>
                    <w:spacing w:line="240" w:lineRule="auto"/>
                    <w:ind w:firstLine="36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边长5~50km </w:t>
                  </w:r>
                  <w:r>
                    <w:rPr>
                      <w:rFonts w:hint="default" w:ascii="Times New Roman" w:hAnsi="Times New Roman" w:cs="Times New Roman"/>
                      <w:kern w:val="0"/>
                      <w:sz w:val="18"/>
                      <w:szCs w:val="18"/>
                    </w:rPr>
                    <w:sym w:font="Wingdings 2" w:char="00A3"/>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边长 =5km </w:t>
                  </w:r>
                  <w:r>
                    <w:rPr>
                      <w:rFonts w:hint="default" w:ascii="Times New Roman" w:hAnsi="Times New Roman" w:cs="Times New Roman"/>
                      <w:kern w:val="0"/>
                      <w:sz w:val="18"/>
                      <w:szCs w:val="18"/>
                    </w:rPr>
                    <w:sym w:font="Wingdings 2" w:char="00A3"/>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预测因子</w:t>
                  </w:r>
                </w:p>
              </w:tc>
              <w:tc>
                <w:tcPr>
                  <w:tcW w:w="343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预测因子（）</w:t>
                  </w:r>
                </w:p>
              </w:tc>
              <w:tc>
                <w:tcPr>
                  <w:tcW w:w="2743"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包括二次PM</w:t>
                  </w:r>
                  <w:r>
                    <w:rPr>
                      <w:rFonts w:hint="default" w:ascii="Times New Roman" w:hAnsi="Times New Roman" w:cs="Times New Roman"/>
                      <w:kern w:val="0"/>
                      <w:sz w:val="18"/>
                      <w:szCs w:val="18"/>
                      <w:vertAlign w:val="subscript"/>
                    </w:rPr>
                    <w:t>2.5</w:t>
                  </w:r>
                  <w:r>
                    <w:rPr>
                      <w:rFonts w:hint="default" w:ascii="Times New Roman" w:hAnsi="Times New Roman" w:cs="Times New Roman"/>
                      <w:kern w:val="0"/>
                      <w:sz w:val="18"/>
                      <w:szCs w:val="18"/>
                    </w:rPr>
                    <w:t>□</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不包括二次PM</w:t>
                  </w:r>
                  <w:r>
                    <w:rPr>
                      <w:rFonts w:hint="default" w:ascii="Times New Roman" w:hAnsi="Times New Roman" w:cs="Times New Roman"/>
                      <w:kern w:val="0"/>
                      <w:sz w:val="18"/>
                      <w:szCs w:val="18"/>
                      <w:vertAlign w:val="subscript"/>
                    </w:rPr>
                    <w:t>2.5</w:t>
                  </w:r>
                  <w:r>
                    <w:rPr>
                      <w:rFonts w:hint="default" w:ascii="Times New Roman" w:hAnsi="Times New Roman" w:cs="Times New Roman"/>
                      <w:kern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正常排放短期浓度贡献值</w:t>
                  </w:r>
                </w:p>
              </w:tc>
              <w:tc>
                <w:tcPr>
                  <w:tcW w:w="343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本项目</w:t>
                  </w:r>
                  <w:r>
                    <w:rPr>
                      <w:rFonts w:hint="default" w:ascii="Times New Roman" w:hAnsi="Times New Roman" w:cs="Times New Roman"/>
                      <w:kern w:val="0"/>
                      <w:sz w:val="18"/>
                      <w:szCs w:val="18"/>
                    </w:rPr>
                    <w:t>最大占标率≤100%□</w:t>
                  </w:r>
                </w:p>
              </w:tc>
              <w:tc>
                <w:tcPr>
                  <w:tcW w:w="2743"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本项目</w:t>
                  </w:r>
                  <w:r>
                    <w:rPr>
                      <w:rFonts w:hint="default" w:ascii="Times New Roman" w:hAnsi="Times New Roman" w:cs="Times New Roman"/>
                      <w:kern w:val="0"/>
                      <w:sz w:val="18"/>
                      <w:szCs w:val="18"/>
                    </w:rPr>
                    <w:t>最大占标率＞100%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正常排放年均浓度贡献值</w:t>
                  </w:r>
                </w:p>
              </w:tc>
              <w:tc>
                <w:tcPr>
                  <w:tcW w:w="843"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一类区</w:t>
                  </w:r>
                </w:p>
              </w:tc>
              <w:tc>
                <w:tcPr>
                  <w:tcW w:w="2593"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本项目</w:t>
                  </w:r>
                  <w:r>
                    <w:rPr>
                      <w:rFonts w:hint="default" w:ascii="Times New Roman" w:hAnsi="Times New Roman" w:cs="Times New Roman"/>
                      <w:kern w:val="0"/>
                      <w:sz w:val="18"/>
                      <w:szCs w:val="18"/>
                    </w:rPr>
                    <w:t>最大占标率≤10%□</w:t>
                  </w:r>
                </w:p>
              </w:tc>
              <w:tc>
                <w:tcPr>
                  <w:tcW w:w="2743"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本项目</w:t>
                  </w:r>
                  <w:r>
                    <w:rPr>
                      <w:rFonts w:hint="default" w:ascii="Times New Roman" w:hAnsi="Times New Roman" w:cs="Times New Roman"/>
                      <w:kern w:val="0"/>
                      <w:sz w:val="18"/>
                      <w:szCs w:val="18"/>
                    </w:rPr>
                    <w:t>最大占标率＞10%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843"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二类区</w:t>
                  </w:r>
                </w:p>
              </w:tc>
              <w:tc>
                <w:tcPr>
                  <w:tcW w:w="2593"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本项目</w:t>
                  </w:r>
                  <w:r>
                    <w:rPr>
                      <w:rFonts w:hint="default" w:ascii="Times New Roman" w:hAnsi="Times New Roman" w:cs="Times New Roman"/>
                      <w:kern w:val="0"/>
                      <w:sz w:val="18"/>
                      <w:szCs w:val="18"/>
                    </w:rPr>
                    <w:t>最大占标率≤30%</w:t>
                  </w:r>
                  <w:r>
                    <w:rPr>
                      <w:rFonts w:hint="default" w:ascii="Times New Roman" w:hAnsi="Times New Roman" w:cs="Times New Roman"/>
                      <w:kern w:val="0"/>
                      <w:sz w:val="18"/>
                      <w:szCs w:val="18"/>
                    </w:rPr>
                    <w:sym w:font="Wingdings 2" w:char="00A3"/>
                  </w:r>
                </w:p>
              </w:tc>
              <w:tc>
                <w:tcPr>
                  <w:tcW w:w="2743"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本项目</w:t>
                  </w:r>
                  <w:r>
                    <w:rPr>
                      <w:rFonts w:hint="default" w:ascii="Times New Roman" w:hAnsi="Times New Roman" w:cs="Times New Roman"/>
                      <w:kern w:val="0"/>
                      <w:sz w:val="18"/>
                      <w:szCs w:val="18"/>
                    </w:rPr>
                    <w:t>最大占标率＞30%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非正常排放1h浓度贡献值</w:t>
                  </w:r>
                </w:p>
              </w:tc>
              <w:tc>
                <w:tcPr>
                  <w:tcW w:w="1417"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非正常持续时长（）h</w:t>
                  </w:r>
                </w:p>
              </w:tc>
              <w:tc>
                <w:tcPr>
                  <w:tcW w:w="2719"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非正常</w:t>
                  </w:r>
                  <w:r>
                    <w:rPr>
                      <w:rFonts w:hint="default" w:ascii="Times New Roman" w:hAnsi="Times New Roman" w:cs="Times New Roman"/>
                      <w:kern w:val="0"/>
                      <w:sz w:val="18"/>
                      <w:szCs w:val="18"/>
                    </w:rPr>
                    <w:t>最大占标率≤100%□</w:t>
                  </w:r>
                </w:p>
              </w:tc>
              <w:tc>
                <w:tcPr>
                  <w:tcW w:w="2043"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非正常</w:t>
                  </w:r>
                  <w:r>
                    <w:rPr>
                      <w:rFonts w:hint="default" w:ascii="Times New Roman" w:hAnsi="Times New Roman" w:cs="Times New Roman"/>
                      <w:kern w:val="0"/>
                      <w:sz w:val="18"/>
                      <w:szCs w:val="18"/>
                    </w:rPr>
                    <w:t>最大占标率＞100%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保证率日平均浓度和年平均浓度叠加值</w:t>
                  </w:r>
                </w:p>
              </w:tc>
              <w:tc>
                <w:tcPr>
                  <w:tcW w:w="2977"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叠加</w:t>
                  </w:r>
                  <w:r>
                    <w:rPr>
                      <w:rFonts w:hint="default" w:ascii="Times New Roman" w:hAnsi="Times New Roman" w:cs="Times New Roman"/>
                      <w:kern w:val="0"/>
                      <w:sz w:val="18"/>
                      <w:szCs w:val="18"/>
                    </w:rPr>
                    <w:t>达标 □</w:t>
                  </w:r>
                </w:p>
              </w:tc>
              <w:tc>
                <w:tcPr>
                  <w:tcW w:w="3202" w:type="dxa"/>
                  <w:gridSpan w:val="9"/>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C</w:t>
                  </w:r>
                  <w:r>
                    <w:rPr>
                      <w:rFonts w:hint="default" w:ascii="Times New Roman" w:hAnsi="Times New Roman" w:cs="Times New Roman"/>
                      <w:kern w:val="0"/>
                      <w:sz w:val="18"/>
                      <w:szCs w:val="18"/>
                      <w:vertAlign w:val="subscript"/>
                    </w:rPr>
                    <w:t>叠加</w:t>
                  </w:r>
                  <w:r>
                    <w:rPr>
                      <w:rFonts w:hint="default" w:ascii="Times New Roman" w:hAnsi="Times New Roman" w:cs="Times New Roman"/>
                      <w:kern w:val="0"/>
                      <w:sz w:val="18"/>
                      <w:szCs w:val="18"/>
                    </w:rPr>
                    <w:t>不达标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区域环境质量的整体变化情况</w:t>
                  </w:r>
                </w:p>
              </w:tc>
              <w:tc>
                <w:tcPr>
                  <w:tcW w:w="2977"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k≤-20% □</w:t>
                  </w:r>
                </w:p>
              </w:tc>
              <w:tc>
                <w:tcPr>
                  <w:tcW w:w="3202" w:type="dxa"/>
                  <w:gridSpan w:val="9"/>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k＞20%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环境监测</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计划</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污染源监测</w:t>
                  </w:r>
                </w:p>
              </w:tc>
              <w:tc>
                <w:tcPr>
                  <w:tcW w:w="2410"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监测因子：（</w:t>
                  </w:r>
                  <w:r>
                    <w:rPr>
                      <w:rFonts w:hint="eastAsia" w:ascii="Times New Roman" w:hAnsi="Times New Roman" w:cs="Times New Roman"/>
                      <w:kern w:val="0"/>
                      <w:sz w:val="18"/>
                      <w:szCs w:val="18"/>
                      <w:lang w:val="en-US" w:eastAsia="zh-CN"/>
                    </w:rPr>
                    <w:t>NH</w:t>
                  </w:r>
                  <w:r>
                    <w:rPr>
                      <w:rFonts w:hint="eastAsia" w:ascii="Times New Roman" w:hAnsi="Times New Roman" w:cs="Times New Roman"/>
                      <w:kern w:val="0"/>
                      <w:sz w:val="18"/>
                      <w:szCs w:val="18"/>
                      <w:vertAlign w:val="subscript"/>
                      <w:lang w:val="en-US" w:eastAsia="zh-CN"/>
                    </w:rPr>
                    <w:t>3</w:t>
                  </w:r>
                  <w:r>
                    <w:rPr>
                      <w:rFonts w:hint="eastAsia" w:ascii="Times New Roman" w:hAnsi="Times New Roman" w:cs="Times New Roman"/>
                      <w:kern w:val="0"/>
                      <w:sz w:val="18"/>
                      <w:szCs w:val="18"/>
                      <w:lang w:val="en-US" w:eastAsia="zh-CN"/>
                    </w:rPr>
                    <w:t>、H</w:t>
                  </w:r>
                  <w:r>
                    <w:rPr>
                      <w:rFonts w:hint="eastAsia" w:ascii="Times New Roman" w:hAnsi="Times New Roman" w:cs="Times New Roman"/>
                      <w:kern w:val="0"/>
                      <w:sz w:val="18"/>
                      <w:szCs w:val="18"/>
                      <w:vertAlign w:val="subscript"/>
                      <w:lang w:val="en-US" w:eastAsia="zh-CN"/>
                    </w:rPr>
                    <w:t>2</w:t>
                  </w:r>
                  <w:r>
                    <w:rPr>
                      <w:rFonts w:hint="eastAsia" w:ascii="Times New Roman" w:hAnsi="Times New Roman" w:cs="Times New Roman"/>
                      <w:kern w:val="0"/>
                      <w:sz w:val="18"/>
                      <w:szCs w:val="18"/>
                      <w:lang w:val="en-US" w:eastAsia="zh-CN"/>
                    </w:rPr>
                    <w:t>S、臭气浓度、</w:t>
                  </w:r>
                  <w:r>
                    <w:rPr>
                      <w:rFonts w:hint="eastAsia" w:cs="Times New Roman"/>
                      <w:kern w:val="0"/>
                      <w:sz w:val="18"/>
                      <w:szCs w:val="18"/>
                      <w:lang w:val="en-US" w:eastAsia="zh-CN"/>
                    </w:rPr>
                    <w:t>颗粒物</w:t>
                  </w:r>
                  <w:r>
                    <w:rPr>
                      <w:rFonts w:hint="default" w:ascii="Times New Roman" w:hAnsi="Times New Roman" w:cs="Times New Roman"/>
                      <w:kern w:val="0"/>
                      <w:sz w:val="18"/>
                      <w:szCs w:val="18"/>
                    </w:rPr>
                    <w:t>）</w:t>
                  </w:r>
                </w:p>
              </w:tc>
              <w:tc>
                <w:tcPr>
                  <w:tcW w:w="212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有组织废气监测</w:t>
                  </w:r>
                  <w:r>
                    <w:rPr>
                      <w:rFonts w:hint="default" w:ascii="Times New Roman" w:hAnsi="Times New Roman" w:cs="Times New Roman"/>
                      <w:kern w:val="0"/>
                      <w:sz w:val="18"/>
                      <w:szCs w:val="18"/>
                    </w:rPr>
                    <w:sym w:font="Wingdings 2" w:char="0052"/>
                  </w:r>
                  <w:r>
                    <w:rPr>
                      <w:rFonts w:hint="default" w:ascii="Times New Roman" w:hAnsi="Times New Roman" w:cs="Times New Roman"/>
                      <w:kern w:val="0"/>
                      <w:sz w:val="18"/>
                      <w:szCs w:val="18"/>
                    </w:rPr>
                    <w:t xml:space="preserve"> </w:t>
                  </w:r>
                  <w:r>
                    <w:rPr>
                      <w:rStyle w:val="79"/>
                      <w:rFonts w:hint="default" w:ascii="Times New Roman" w:hAnsi="Times New Roman" w:cs="Times New Roman"/>
                      <w:kern w:val="0"/>
                      <w:sz w:val="18"/>
                      <w:szCs w:val="18"/>
                    </w:rPr>
                    <w:t></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无组织废气监测</w:t>
                  </w:r>
                  <w:r>
                    <w:rPr>
                      <w:rFonts w:hint="default" w:ascii="Times New Roman" w:hAnsi="Times New Roman" w:cs="Times New Roman"/>
                      <w:kern w:val="0"/>
                      <w:sz w:val="18"/>
                      <w:szCs w:val="18"/>
                    </w:rPr>
                    <w:sym w:font="Wingdings 2" w:char="0052"/>
                  </w:r>
                  <w:r>
                    <w:rPr>
                      <w:rFonts w:hint="default" w:ascii="Times New Roman" w:hAnsi="Times New Roman" w:cs="Times New Roman"/>
                      <w:kern w:val="0"/>
                      <w:sz w:val="18"/>
                      <w:szCs w:val="18"/>
                    </w:rPr>
                    <w:t xml:space="preserve"> </w:t>
                  </w:r>
                  <w:r>
                    <w:rPr>
                      <w:rStyle w:val="79"/>
                      <w:rFonts w:hint="default" w:ascii="Times New Roman" w:hAnsi="Times New Roman" w:cs="Times New Roman"/>
                      <w:kern w:val="0"/>
                      <w:sz w:val="18"/>
                      <w:szCs w:val="18"/>
                    </w:rPr>
                    <w:t></w:t>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无监测□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环境质量监测</w:t>
                  </w:r>
                </w:p>
              </w:tc>
              <w:tc>
                <w:tcPr>
                  <w:tcW w:w="2410"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监测因子：（）</w:t>
                  </w:r>
                </w:p>
              </w:tc>
              <w:tc>
                <w:tcPr>
                  <w:tcW w:w="2126" w:type="dxa"/>
                  <w:gridSpan w:val="8"/>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监测点位数（1）</w:t>
                  </w:r>
                </w:p>
              </w:tc>
              <w:tc>
                <w:tcPr>
                  <w:tcW w:w="164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无监测□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评价结论</w:t>
                  </w: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环境影响</w:t>
                  </w:r>
                </w:p>
              </w:tc>
              <w:tc>
                <w:tcPr>
                  <w:tcW w:w="6179" w:type="dxa"/>
                  <w:gridSpan w:val="16"/>
                  <w:tcBorders>
                    <w:tl2br w:val="nil"/>
                    <w:tr2bl w:val="nil"/>
                  </w:tcBorders>
                  <w:vAlign w:val="center"/>
                </w:tcPr>
                <w:p>
                  <w:pPr>
                    <w:spacing w:line="240" w:lineRule="auto"/>
                    <w:ind w:firstLine="0" w:firstLineChars="0"/>
                    <w:jc w:val="center"/>
                    <w:rPr>
                      <w:rFonts w:hint="default" w:ascii="Times New Roman" w:hAnsi="Times New Roman" w:cs="Times New Roman"/>
                      <w:b/>
                      <w:kern w:val="0"/>
                      <w:sz w:val="18"/>
                      <w:szCs w:val="18"/>
                    </w:rPr>
                  </w:pPr>
                  <w:r>
                    <w:rPr>
                      <w:rFonts w:hint="default" w:ascii="Times New Roman" w:hAnsi="Times New Roman" w:cs="Times New Roman"/>
                      <w:kern w:val="0"/>
                      <w:sz w:val="18"/>
                      <w:szCs w:val="18"/>
                    </w:rPr>
                    <w:t xml:space="preserve">可以接受 </w:t>
                  </w:r>
                  <w:r>
                    <w:rPr>
                      <w:rFonts w:hint="default" w:ascii="Times New Roman" w:hAnsi="Times New Roman" w:cs="Times New Roman"/>
                      <w:kern w:val="0"/>
                      <w:sz w:val="18"/>
                      <w:szCs w:val="18"/>
                    </w:rPr>
                    <w:sym w:font="Wingdings 2" w:char="0052"/>
                  </w:r>
                  <w:r>
                    <w:rPr>
                      <w:rFonts w:hint="default" w:ascii="Times New Roman" w:hAnsi="Times New Roman" w:cs="Times New Roman"/>
                      <w:kern w:val="0"/>
                      <w:sz w:val="18"/>
                      <w:szCs w:val="18"/>
                    </w:rPr>
                    <w:t xml:space="preserve"> </w:t>
                  </w:r>
                  <w:r>
                    <w:rPr>
                      <w:rStyle w:val="79"/>
                      <w:rFonts w:hint="default" w:ascii="Times New Roman" w:hAnsi="Times New Roman" w:cs="Times New Roman"/>
                      <w:kern w:val="0"/>
                      <w:sz w:val="18"/>
                      <w:szCs w:val="18"/>
                    </w:rPr>
                    <w:t></w:t>
                  </w:r>
                  <w:r>
                    <w:rPr>
                      <w:rFonts w:hint="default" w:ascii="Times New Roman" w:hAnsi="Times New Roman" w:cs="Times New Roman"/>
                      <w:kern w:val="0"/>
                      <w:sz w:val="18"/>
                      <w:szCs w:val="18"/>
                    </w:rPr>
                    <w:t xml:space="preserve">       不可以接受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大气环境防护</w:t>
                  </w:r>
                </w:p>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距离</w:t>
                  </w:r>
                </w:p>
              </w:tc>
              <w:tc>
                <w:tcPr>
                  <w:tcW w:w="6179" w:type="dxa"/>
                  <w:gridSpan w:val="16"/>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距（     ）厂界最远（      ）m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kern w:val="0"/>
                      <w:sz w:val="18"/>
                      <w:szCs w:val="18"/>
                    </w:rPr>
                  </w:pPr>
                </w:p>
              </w:tc>
              <w:tc>
                <w:tcPr>
                  <w:tcW w:w="1559" w:type="dxa"/>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污染源年排放量</w:t>
                  </w:r>
                </w:p>
              </w:tc>
              <w:tc>
                <w:tcPr>
                  <w:tcW w:w="123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rPr>
                  </w:pPr>
                  <w:r>
                    <w:rPr>
                      <w:rFonts w:hint="eastAsia" w:ascii="Times New Roman" w:hAnsi="Times New Roman" w:cs="Times New Roman"/>
                      <w:kern w:val="0"/>
                      <w:sz w:val="18"/>
                      <w:szCs w:val="18"/>
                      <w:lang w:val="en-US" w:eastAsia="zh-CN"/>
                    </w:rPr>
                    <w:t>NH</w:t>
                  </w:r>
                  <w:r>
                    <w:rPr>
                      <w:rFonts w:hint="eastAsia" w:ascii="Times New Roman" w:hAnsi="Times New Roman" w:cs="Times New Roman"/>
                      <w:kern w:val="0"/>
                      <w:sz w:val="18"/>
                      <w:szCs w:val="18"/>
                      <w:vertAlign w:val="subscript"/>
                      <w:lang w:val="en-US" w:eastAsia="zh-CN"/>
                    </w:rPr>
                    <w:t>3</w:t>
                  </w:r>
                  <w:r>
                    <w:rPr>
                      <w:rFonts w:hint="default" w:ascii="Times New Roman" w:hAnsi="Times New Roman" w:cs="Times New Roman"/>
                      <w:kern w:val="0"/>
                      <w:sz w:val="18"/>
                      <w:szCs w:val="18"/>
                    </w:rPr>
                    <w:t>：</w:t>
                  </w:r>
                  <w:r>
                    <w:rPr>
                      <w:rFonts w:hint="eastAsia" w:cs="Times New Roman"/>
                      <w:kern w:val="0"/>
                      <w:sz w:val="18"/>
                      <w:szCs w:val="18"/>
                      <w:lang w:val="en-US" w:eastAsia="zh-CN"/>
                    </w:rPr>
                    <w:t>0.0914</w:t>
                  </w:r>
                  <w:r>
                    <w:rPr>
                      <w:rFonts w:hint="default" w:ascii="Times New Roman" w:hAnsi="Times New Roman" w:cs="Times New Roman"/>
                      <w:kern w:val="0"/>
                      <w:sz w:val="18"/>
                      <w:szCs w:val="18"/>
                    </w:rPr>
                    <w:t>t/a</w:t>
                  </w:r>
                </w:p>
              </w:tc>
              <w:tc>
                <w:tcPr>
                  <w:tcW w:w="1299" w:type="dxa"/>
                  <w:gridSpan w:val="3"/>
                  <w:tcBorders>
                    <w:tl2br w:val="nil"/>
                    <w:tr2bl w:val="nil"/>
                  </w:tcBorders>
                  <w:vAlign w:val="center"/>
                </w:tcPr>
                <w:p>
                  <w:pPr>
                    <w:spacing w:line="240" w:lineRule="auto"/>
                    <w:ind w:firstLine="0" w:firstLineChars="0"/>
                    <w:jc w:val="center"/>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H</w:t>
                  </w:r>
                  <w:r>
                    <w:rPr>
                      <w:rFonts w:hint="eastAsia" w:ascii="Times New Roman" w:hAnsi="Times New Roman" w:cs="Times New Roman"/>
                      <w:kern w:val="0"/>
                      <w:sz w:val="18"/>
                      <w:szCs w:val="18"/>
                      <w:vertAlign w:val="subscript"/>
                      <w:lang w:val="en-US" w:eastAsia="zh-CN"/>
                    </w:rPr>
                    <w:t>2</w:t>
                  </w:r>
                  <w:r>
                    <w:rPr>
                      <w:rFonts w:hint="eastAsia" w:ascii="Times New Roman" w:hAnsi="Times New Roman" w:cs="Times New Roman"/>
                      <w:kern w:val="0"/>
                      <w:sz w:val="18"/>
                      <w:szCs w:val="18"/>
                      <w:lang w:val="en-US" w:eastAsia="zh-CN"/>
                    </w:rPr>
                    <w:t>S</w:t>
                  </w:r>
                  <w:r>
                    <w:rPr>
                      <w:rFonts w:hint="default" w:ascii="Times New Roman" w:hAnsi="Times New Roman" w:cs="Times New Roman"/>
                      <w:kern w:val="0"/>
                      <w:sz w:val="18"/>
                      <w:szCs w:val="18"/>
                    </w:rPr>
                    <w:t>：</w:t>
                  </w:r>
                  <w:r>
                    <w:rPr>
                      <w:rFonts w:hint="eastAsia" w:cs="Times New Roman"/>
                      <w:kern w:val="0"/>
                      <w:sz w:val="18"/>
                      <w:szCs w:val="18"/>
                      <w:lang w:val="en-US" w:eastAsia="zh-CN"/>
                    </w:rPr>
                    <w:t>0.00282</w:t>
                  </w:r>
                  <w:r>
                    <w:rPr>
                      <w:rFonts w:hint="default" w:ascii="Times New Roman" w:hAnsi="Times New Roman" w:cs="Times New Roman"/>
                      <w:kern w:val="0"/>
                      <w:sz w:val="18"/>
                      <w:szCs w:val="18"/>
                    </w:rPr>
                    <w:t>t/a</w:t>
                  </w:r>
                </w:p>
              </w:tc>
              <w:tc>
                <w:tcPr>
                  <w:tcW w:w="1379"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vertAlign w:val="baseline"/>
                      <w:lang w:val="en-US" w:eastAsia="zh-CN"/>
                    </w:rPr>
                  </w:pPr>
                  <w:r>
                    <w:rPr>
                      <w:rFonts w:hint="eastAsia" w:ascii="Times New Roman" w:hAnsi="Times New Roman" w:cs="Times New Roman"/>
                      <w:kern w:val="0"/>
                      <w:sz w:val="18"/>
                      <w:szCs w:val="18"/>
                      <w:lang w:val="en-US" w:eastAsia="zh-CN"/>
                    </w:rPr>
                    <w:t>颗粒物</w:t>
                  </w:r>
                  <w:r>
                    <w:rPr>
                      <w:rFonts w:hint="eastAsia" w:ascii="Times New Roman" w:hAnsi="Times New Roman" w:cs="Times New Roman"/>
                      <w:kern w:val="0"/>
                      <w:sz w:val="18"/>
                      <w:szCs w:val="18"/>
                      <w:vertAlign w:val="baseline"/>
                      <w:lang w:val="en-US" w:eastAsia="zh-CN"/>
                    </w:rPr>
                    <w:t>：</w:t>
                  </w:r>
                  <w:r>
                    <w:rPr>
                      <w:rFonts w:hint="eastAsia" w:cs="Times New Roman"/>
                      <w:kern w:val="0"/>
                      <w:sz w:val="18"/>
                      <w:szCs w:val="18"/>
                      <w:vertAlign w:val="baseline"/>
                      <w:lang w:val="en-US" w:eastAsia="zh-CN"/>
                    </w:rPr>
                    <w:t>1.584</w:t>
                  </w:r>
                  <w:r>
                    <w:rPr>
                      <w:rFonts w:hint="default" w:ascii="Times New Roman" w:hAnsi="Times New Roman" w:cs="Times New Roman"/>
                      <w:kern w:val="0"/>
                      <w:sz w:val="18"/>
                      <w:szCs w:val="18"/>
                    </w:rPr>
                    <w:t>t/a</w:t>
                  </w:r>
                </w:p>
              </w:tc>
              <w:tc>
                <w:tcPr>
                  <w:tcW w:w="1181"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w:t>
                  </w:r>
                </w:p>
              </w:tc>
              <w:tc>
                <w:tcPr>
                  <w:tcW w:w="108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32" w:type="dxa"/>
                  <w:gridSpan w:val="18"/>
                  <w:tcBorders>
                    <w:tl2br w:val="nil"/>
                    <w:tr2bl w:val="nil"/>
                  </w:tcBorders>
                  <w:vAlign w:val="center"/>
                </w:tcPr>
                <w:p>
                  <w:pPr>
                    <w:spacing w:line="240" w:lineRule="auto"/>
                    <w:ind w:firstLine="0" w:firstLineChars="0"/>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t>注：“□”为勾选项，填“√”；“（）”为内容填写项</w:t>
                  </w:r>
                </w:p>
              </w:tc>
            </w:tr>
          </w:tbl>
          <w:p>
            <w:pPr>
              <w:widowControl/>
              <w:spacing w:line="360" w:lineRule="auto"/>
              <w:ind w:firstLine="480" w:firstLineChars="200"/>
              <w:jc w:val="left"/>
              <w:rPr>
                <w:sz w:val="24"/>
                <w:u w:val="single"/>
              </w:rPr>
            </w:pPr>
            <w:r>
              <w:rPr>
                <w:rFonts w:hint="eastAsia"/>
                <w:sz w:val="24"/>
                <w:u w:val="single"/>
              </w:rPr>
              <w:t>（</w:t>
            </w:r>
            <w:r>
              <w:rPr>
                <w:rFonts w:hint="eastAsia"/>
                <w:sz w:val="24"/>
                <w:u w:val="single"/>
                <w:lang w:val="en-US" w:eastAsia="zh-CN"/>
              </w:rPr>
              <w:t>3</w:t>
            </w:r>
            <w:r>
              <w:rPr>
                <w:rFonts w:hint="eastAsia"/>
                <w:sz w:val="24"/>
                <w:u w:val="single"/>
              </w:rPr>
              <w:t>）大气环境防护距离</w:t>
            </w:r>
          </w:p>
          <w:p>
            <w:pPr>
              <w:widowControl/>
              <w:spacing w:line="360" w:lineRule="auto"/>
              <w:ind w:firstLine="480" w:firstLineChars="200"/>
              <w:jc w:val="left"/>
              <w:rPr>
                <w:sz w:val="24"/>
                <w:u w:val="single"/>
              </w:rPr>
            </w:pPr>
            <w:r>
              <w:rPr>
                <w:rFonts w:hint="eastAsia"/>
                <w:sz w:val="24"/>
                <w:u w:val="single"/>
              </w:rPr>
              <w:t>按照《环境影响评价技术导则－大气环境》（HJ2.2-2018）规定8.7.5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计算结果，本项目主要污染物的短期贡献浓度未超过环境质量浓度标准值，因此，本项目无需设置大气环境防护距离。</w:t>
            </w:r>
          </w:p>
          <w:p>
            <w:pPr>
              <w:spacing w:line="360" w:lineRule="auto"/>
              <w:ind w:firstLine="480" w:firstLineChars="200"/>
              <w:rPr>
                <w:rFonts w:hint="default" w:ascii="TT5Co00" w:hAnsi="TT5Co00"/>
                <w:sz w:val="24"/>
                <w:u w:val="none"/>
                <w:lang w:eastAsia="zh-CN"/>
              </w:rPr>
            </w:pPr>
            <w:r>
              <w:rPr>
                <w:rFonts w:hint="default" w:ascii="TT5Co00" w:hAnsi="TT5Co00"/>
                <w:sz w:val="24"/>
                <w:u w:val="none"/>
                <w:lang w:eastAsia="zh-CN"/>
              </w:rPr>
              <w:t>2、</w:t>
            </w:r>
            <w:r>
              <w:rPr>
                <w:rFonts w:hint="eastAsia" w:ascii="TT5Co00" w:hAnsi="TT5Co00"/>
                <w:sz w:val="24"/>
                <w:u w:val="none"/>
                <w:lang w:eastAsia="zh-CN"/>
              </w:rPr>
              <w:t>地表水</w:t>
            </w:r>
            <w:r>
              <w:rPr>
                <w:rFonts w:hint="default" w:ascii="TT5Co00" w:hAnsi="TT5Co00"/>
                <w:sz w:val="24"/>
                <w:u w:val="none"/>
                <w:lang w:eastAsia="zh-CN"/>
              </w:rPr>
              <w:t>环境影响分析</w:t>
            </w:r>
          </w:p>
          <w:p>
            <w:pPr>
              <w:spacing w:line="360" w:lineRule="auto"/>
              <w:ind w:firstLine="480" w:firstLineChars="200"/>
              <w:rPr>
                <w:rFonts w:hint="eastAsia" w:ascii="TT5Co00" w:hAnsi="TT5Co00"/>
                <w:sz w:val="24"/>
                <w:u w:val="none"/>
                <w:lang w:val="en-US" w:eastAsia="zh-CN"/>
              </w:rPr>
            </w:pPr>
            <w:bookmarkStart w:id="43" w:name="_Toc314537348"/>
            <w:bookmarkStart w:id="44" w:name="_Toc314538625"/>
            <w:bookmarkStart w:id="45" w:name="_Toc314538860"/>
            <w:bookmarkStart w:id="46" w:name="_Toc302766772"/>
            <w:r>
              <w:rPr>
                <w:rFonts w:hint="eastAsia" w:ascii="TT5Co00" w:hAnsi="TT5Co00"/>
                <w:sz w:val="24"/>
                <w:u w:val="none"/>
                <w:lang w:val="en-US" w:eastAsia="zh-CN"/>
              </w:rPr>
              <w:t>根据《环境影响评价技术导则 地面水环境》（</w:t>
            </w:r>
            <w:r>
              <w:rPr>
                <w:rFonts w:hint="default" w:ascii="TT5Co00" w:hAnsi="TT5Co00"/>
                <w:sz w:val="24"/>
                <w:u w:val="none"/>
                <w:lang w:val="en-US" w:eastAsia="zh-CN"/>
              </w:rPr>
              <w:t>HJ2.3-2018</w:t>
            </w:r>
            <w:r>
              <w:rPr>
                <w:rFonts w:hint="eastAsia" w:ascii="TT5Co00" w:hAnsi="TT5Co00"/>
                <w:sz w:val="24"/>
                <w:u w:val="none"/>
                <w:lang w:val="en-US" w:eastAsia="zh-CN"/>
              </w:rPr>
              <w:t>）要求，确定本次评价地表水评价工作等级为三级</w:t>
            </w:r>
            <w:r>
              <w:rPr>
                <w:rFonts w:hint="default" w:ascii="TT5Co00" w:hAnsi="TT5Co00"/>
                <w:sz w:val="24"/>
                <w:u w:val="none"/>
                <w:lang w:val="en-US" w:eastAsia="zh-CN"/>
              </w:rPr>
              <w:t>B</w:t>
            </w:r>
            <w:r>
              <w:rPr>
                <w:rFonts w:hint="eastAsia" w:ascii="TT5Co00" w:hAnsi="TT5Co00"/>
                <w:sz w:val="24"/>
                <w:u w:val="none"/>
                <w:lang w:val="en-US" w:eastAsia="zh-CN"/>
              </w:rPr>
              <w:t>，三级</w:t>
            </w:r>
            <w:r>
              <w:rPr>
                <w:rFonts w:hint="default" w:ascii="TT5Co00" w:hAnsi="TT5Co00"/>
                <w:sz w:val="24"/>
                <w:u w:val="none"/>
                <w:lang w:val="en-US" w:eastAsia="zh-CN"/>
              </w:rPr>
              <w:t>B</w:t>
            </w:r>
            <w:r>
              <w:rPr>
                <w:rFonts w:hint="eastAsia" w:ascii="TT5Co00" w:hAnsi="TT5Co00"/>
                <w:sz w:val="24"/>
                <w:u w:val="none"/>
                <w:lang w:val="en-US" w:eastAsia="zh-CN"/>
              </w:rPr>
              <w:t>可不进行水环境预测，因此本次评价将根据导则要求，详细分析本项目废水依托津市高新区工业污水处理厂处理的可行性。</w:t>
            </w:r>
          </w:p>
          <w:p>
            <w:pPr>
              <w:spacing w:line="360" w:lineRule="auto"/>
              <w:ind w:firstLine="480" w:firstLineChars="200"/>
              <w:rPr>
                <w:rFonts w:hint="eastAsia" w:ascii="TT5Co00" w:hAnsi="TT5Co00"/>
                <w:sz w:val="24"/>
                <w:u w:val="none"/>
                <w:lang w:val="en-US" w:eastAsia="zh-CN"/>
              </w:rPr>
            </w:pPr>
            <w:r>
              <w:rPr>
                <w:rFonts w:hint="eastAsia" w:ascii="TT5Co00" w:hAnsi="TT5Co00"/>
                <w:sz w:val="24"/>
                <w:u w:val="none"/>
                <w:lang w:val="en-US" w:eastAsia="zh-CN"/>
              </w:rPr>
              <w:t>本项劳动定员为45人，年生产天数为300天，厂区内设食堂，不提供住宿。职工生活用水量以平均每人60</w:t>
            </w:r>
            <w:r>
              <w:rPr>
                <w:rFonts w:hint="default" w:ascii="TT5Co00" w:hAnsi="TT5Co00"/>
                <w:sz w:val="24"/>
                <w:u w:val="none"/>
                <w:lang w:val="en-US" w:eastAsia="zh-CN"/>
              </w:rPr>
              <w:t>L/d</w:t>
            </w:r>
            <w:r>
              <w:rPr>
                <w:rFonts w:hint="eastAsia" w:ascii="TT5Co00" w:hAnsi="TT5Co00"/>
                <w:sz w:val="24"/>
                <w:u w:val="none"/>
                <w:lang w:val="en-US" w:eastAsia="zh-CN"/>
              </w:rPr>
              <w:t>计，则生活用水量为2.7</w:t>
            </w:r>
            <w:r>
              <w:rPr>
                <w:rFonts w:hint="default" w:ascii="TT5Co00" w:hAnsi="TT5Co00"/>
                <w:sz w:val="24"/>
                <w:u w:val="none"/>
                <w:lang w:val="en-US" w:eastAsia="zh-CN"/>
              </w:rPr>
              <w:t>m</w:t>
            </w:r>
            <w:r>
              <w:rPr>
                <w:rFonts w:hint="default" w:ascii="TT5Co00" w:hAnsi="TT5Co00"/>
                <w:sz w:val="24"/>
                <w:u w:val="none"/>
                <w:vertAlign w:val="superscript"/>
                <w:lang w:val="en-US" w:eastAsia="zh-CN"/>
              </w:rPr>
              <w:t>3</w:t>
            </w:r>
            <w:r>
              <w:rPr>
                <w:rFonts w:hint="default" w:ascii="TT5Co00" w:hAnsi="TT5Co00"/>
                <w:sz w:val="24"/>
                <w:u w:val="none"/>
                <w:lang w:val="en-US" w:eastAsia="zh-CN"/>
              </w:rPr>
              <w:t>/d(</w:t>
            </w:r>
            <w:r>
              <w:rPr>
                <w:rFonts w:hint="eastAsia" w:ascii="TT5Co00" w:hAnsi="TT5Co00"/>
                <w:sz w:val="24"/>
                <w:u w:val="none"/>
                <w:lang w:val="en-US" w:eastAsia="zh-CN"/>
              </w:rPr>
              <w:t>810</w:t>
            </w:r>
            <w:r>
              <w:rPr>
                <w:rFonts w:hint="default" w:ascii="TT5Co00" w:hAnsi="TT5Co00"/>
                <w:sz w:val="24"/>
                <w:u w:val="none"/>
                <w:lang w:val="en-US" w:eastAsia="zh-CN"/>
              </w:rPr>
              <w:t>m</w:t>
            </w:r>
            <w:r>
              <w:rPr>
                <w:rFonts w:hint="default" w:ascii="TT5Co00" w:hAnsi="TT5Co00"/>
                <w:sz w:val="24"/>
                <w:u w:val="none"/>
                <w:vertAlign w:val="superscript"/>
                <w:lang w:val="en-US" w:eastAsia="zh-CN"/>
              </w:rPr>
              <w:t>3</w:t>
            </w:r>
            <w:r>
              <w:rPr>
                <w:rFonts w:hint="default" w:ascii="TT5Co00" w:hAnsi="TT5Co00"/>
                <w:sz w:val="24"/>
                <w:u w:val="none"/>
                <w:lang w:val="en-US" w:eastAsia="zh-CN"/>
              </w:rPr>
              <w:t>/a)</w:t>
            </w:r>
            <w:r>
              <w:rPr>
                <w:rFonts w:hint="eastAsia" w:ascii="TT5Co00" w:hAnsi="TT5Co00"/>
                <w:sz w:val="24"/>
                <w:u w:val="none"/>
                <w:lang w:val="en-US" w:eastAsia="zh-CN"/>
              </w:rPr>
              <w:t>，排污系数以</w:t>
            </w:r>
            <w:r>
              <w:rPr>
                <w:rFonts w:hint="default" w:ascii="TT5Co00" w:hAnsi="TT5Co00"/>
                <w:sz w:val="24"/>
                <w:u w:val="none"/>
                <w:lang w:val="en-US" w:eastAsia="zh-CN"/>
              </w:rPr>
              <w:t>0.8</w:t>
            </w:r>
            <w:r>
              <w:rPr>
                <w:rFonts w:hint="eastAsia" w:ascii="TT5Co00" w:hAnsi="TT5Co00"/>
                <w:sz w:val="24"/>
                <w:u w:val="none"/>
                <w:lang w:val="en-US" w:eastAsia="zh-CN"/>
              </w:rPr>
              <w:t>计，则本项目生活污水产生量为2.16</w:t>
            </w:r>
            <w:r>
              <w:rPr>
                <w:rFonts w:hint="default" w:ascii="TT5Co00" w:hAnsi="TT5Co00"/>
                <w:sz w:val="24"/>
                <w:u w:val="none"/>
                <w:lang w:val="en-US" w:eastAsia="zh-CN"/>
              </w:rPr>
              <w:t>m</w:t>
            </w:r>
            <w:r>
              <w:rPr>
                <w:rFonts w:hint="default" w:ascii="TT5Co00" w:hAnsi="TT5Co00"/>
                <w:sz w:val="24"/>
                <w:u w:val="none"/>
                <w:vertAlign w:val="superscript"/>
                <w:lang w:val="en-US" w:eastAsia="zh-CN"/>
              </w:rPr>
              <w:t>3</w:t>
            </w:r>
            <w:r>
              <w:rPr>
                <w:rFonts w:hint="default" w:ascii="TT5Co00" w:hAnsi="TT5Co00"/>
                <w:sz w:val="24"/>
                <w:u w:val="none"/>
                <w:lang w:val="en-US" w:eastAsia="zh-CN"/>
              </w:rPr>
              <w:t>/d(</w:t>
            </w:r>
            <w:r>
              <w:rPr>
                <w:rFonts w:hint="eastAsia" w:ascii="TT5Co00" w:hAnsi="TT5Co00"/>
                <w:sz w:val="24"/>
                <w:u w:val="none"/>
                <w:lang w:val="en-US" w:eastAsia="zh-CN"/>
              </w:rPr>
              <w:t>648</w:t>
            </w:r>
            <w:r>
              <w:rPr>
                <w:rFonts w:hint="default" w:ascii="TT5Co00" w:hAnsi="TT5Co00"/>
                <w:sz w:val="24"/>
                <w:u w:val="none"/>
                <w:lang w:val="en-US" w:eastAsia="zh-CN"/>
              </w:rPr>
              <w:t>m</w:t>
            </w:r>
            <w:r>
              <w:rPr>
                <w:rFonts w:hint="default" w:ascii="TT5Co00" w:hAnsi="TT5Co00"/>
                <w:sz w:val="24"/>
                <w:u w:val="none"/>
                <w:vertAlign w:val="superscript"/>
                <w:lang w:val="en-US" w:eastAsia="zh-CN"/>
              </w:rPr>
              <w:t>3</w:t>
            </w:r>
            <w:r>
              <w:rPr>
                <w:rFonts w:hint="default" w:ascii="TT5Co00" w:hAnsi="TT5Co00"/>
                <w:sz w:val="24"/>
                <w:u w:val="none"/>
                <w:lang w:val="en-US" w:eastAsia="zh-CN"/>
              </w:rPr>
              <w:t>/a)</w:t>
            </w:r>
            <w:r>
              <w:rPr>
                <w:rFonts w:hint="eastAsia" w:ascii="TT5Co00" w:hAnsi="TT5Co00"/>
                <w:sz w:val="24"/>
                <w:u w:val="none"/>
                <w:lang w:val="en-US" w:eastAsia="zh-CN"/>
              </w:rPr>
              <w:t>。类比常德市一般生活废水水质，生活污水各污染物浓度为</w:t>
            </w:r>
            <w:r>
              <w:rPr>
                <w:rFonts w:hint="default" w:ascii="TT5Co00" w:hAnsi="TT5Co00"/>
                <w:sz w:val="24"/>
                <w:u w:val="none"/>
                <w:lang w:val="en-US" w:eastAsia="zh-CN"/>
              </w:rPr>
              <w:t>COD300mg/L</w:t>
            </w:r>
            <w:r>
              <w:rPr>
                <w:rFonts w:hint="eastAsia" w:ascii="TT5Co00" w:hAnsi="TT5Co00"/>
                <w:sz w:val="24"/>
                <w:u w:val="none"/>
                <w:lang w:val="en-US" w:eastAsia="zh-CN"/>
              </w:rPr>
              <w:t>、</w:t>
            </w:r>
            <w:r>
              <w:rPr>
                <w:rFonts w:hint="default" w:ascii="TT5Co00" w:hAnsi="TT5Co00"/>
                <w:sz w:val="24"/>
                <w:u w:val="none"/>
                <w:lang w:val="en-US" w:eastAsia="zh-CN"/>
              </w:rPr>
              <w:t>BOD</w:t>
            </w:r>
            <w:r>
              <w:rPr>
                <w:rFonts w:hint="default" w:ascii="TT5Co00" w:hAnsi="TT5Co00"/>
                <w:sz w:val="24"/>
                <w:u w:val="none"/>
                <w:vertAlign w:val="subscript"/>
                <w:lang w:val="en-US" w:eastAsia="zh-CN"/>
              </w:rPr>
              <w:t>5</w:t>
            </w:r>
            <w:r>
              <w:rPr>
                <w:rFonts w:hint="default" w:ascii="TT5Co00" w:hAnsi="TT5Co00"/>
                <w:sz w:val="24"/>
                <w:u w:val="none"/>
                <w:lang w:val="en-US" w:eastAsia="zh-CN"/>
              </w:rPr>
              <w:t>180mg/L</w:t>
            </w:r>
            <w:r>
              <w:rPr>
                <w:rFonts w:hint="eastAsia" w:ascii="TT5Co00" w:hAnsi="TT5Co00"/>
                <w:sz w:val="24"/>
                <w:u w:val="none"/>
                <w:lang w:val="en-US" w:eastAsia="zh-CN"/>
              </w:rPr>
              <w:t>、</w:t>
            </w:r>
            <w:r>
              <w:rPr>
                <w:rFonts w:hint="default" w:ascii="TT5Co00" w:hAnsi="TT5Co00"/>
                <w:sz w:val="24"/>
                <w:u w:val="none"/>
                <w:lang w:val="en-US" w:eastAsia="zh-CN"/>
              </w:rPr>
              <w:t>SS200mg/L</w:t>
            </w:r>
            <w:r>
              <w:rPr>
                <w:rFonts w:hint="eastAsia" w:ascii="TT5Co00" w:hAnsi="TT5Co00"/>
                <w:sz w:val="24"/>
                <w:u w:val="none"/>
                <w:lang w:val="en-US" w:eastAsia="zh-CN"/>
              </w:rPr>
              <w:t>、</w:t>
            </w:r>
            <w:r>
              <w:rPr>
                <w:rFonts w:hint="default" w:ascii="TT5Co00" w:hAnsi="TT5Co00"/>
                <w:sz w:val="24"/>
                <w:u w:val="none"/>
                <w:lang w:val="en-US" w:eastAsia="zh-CN"/>
              </w:rPr>
              <w:t>NH</w:t>
            </w:r>
            <w:r>
              <w:rPr>
                <w:rFonts w:hint="default" w:ascii="TT5Co00" w:hAnsi="TT5Co00"/>
                <w:sz w:val="24"/>
                <w:u w:val="none"/>
                <w:vertAlign w:val="subscript"/>
                <w:lang w:val="en-US" w:eastAsia="zh-CN"/>
              </w:rPr>
              <w:t>3</w:t>
            </w:r>
            <w:r>
              <w:rPr>
                <w:rFonts w:hint="default" w:ascii="TT5Co00" w:hAnsi="TT5Co00"/>
                <w:sz w:val="24"/>
                <w:u w:val="none"/>
                <w:lang w:val="en-US" w:eastAsia="zh-CN"/>
              </w:rPr>
              <w:t>-N</w:t>
            </w:r>
            <w:r>
              <w:rPr>
                <w:rFonts w:hint="eastAsia" w:ascii="TT5Co00" w:hAnsi="TT5Co00"/>
                <w:sz w:val="24"/>
                <w:u w:val="none"/>
                <w:lang w:val="en-US" w:eastAsia="zh-CN"/>
              </w:rPr>
              <w:t>25</w:t>
            </w:r>
            <w:r>
              <w:rPr>
                <w:rFonts w:hint="default" w:ascii="TT5Co00" w:hAnsi="TT5Co00"/>
                <w:sz w:val="24"/>
                <w:u w:val="none"/>
                <w:lang w:val="en-US" w:eastAsia="zh-CN"/>
              </w:rPr>
              <w:t>mg/L</w:t>
            </w:r>
            <w:r>
              <w:rPr>
                <w:rFonts w:hint="eastAsia" w:ascii="TT5Co00" w:hAnsi="TT5Co00"/>
                <w:sz w:val="24"/>
                <w:u w:val="none"/>
                <w:lang w:val="en-US" w:eastAsia="zh-CN"/>
              </w:rPr>
              <w:t>，各污染物产生量为</w:t>
            </w:r>
            <w:r>
              <w:rPr>
                <w:rFonts w:hint="default" w:ascii="TT5Co00" w:hAnsi="TT5Co00"/>
                <w:sz w:val="24"/>
                <w:u w:val="none"/>
                <w:lang w:val="en-US" w:eastAsia="zh-CN"/>
              </w:rPr>
              <w:t>COD</w:t>
            </w:r>
            <w:r>
              <w:rPr>
                <w:rFonts w:hint="eastAsia" w:ascii="TT5Co00" w:hAnsi="TT5Co00"/>
                <w:sz w:val="24"/>
                <w:u w:val="none"/>
                <w:lang w:val="en-US" w:eastAsia="zh-CN"/>
              </w:rPr>
              <w:t>0.24t/a，</w:t>
            </w:r>
            <w:r>
              <w:rPr>
                <w:rFonts w:hint="default" w:ascii="TT5Co00" w:hAnsi="TT5Co00"/>
                <w:sz w:val="24"/>
                <w:u w:val="none"/>
                <w:lang w:val="en-US" w:eastAsia="zh-CN"/>
              </w:rPr>
              <w:t>BOD</w:t>
            </w:r>
            <w:r>
              <w:rPr>
                <w:rFonts w:hint="default" w:ascii="TT5Co00" w:hAnsi="TT5Co00"/>
                <w:sz w:val="24"/>
                <w:u w:val="none"/>
                <w:vertAlign w:val="subscript"/>
                <w:lang w:val="en-US" w:eastAsia="zh-CN"/>
              </w:rPr>
              <w:t>5</w:t>
            </w:r>
            <w:r>
              <w:rPr>
                <w:rFonts w:hint="eastAsia" w:ascii="TT5Co00" w:hAnsi="TT5Co00"/>
                <w:sz w:val="24"/>
                <w:u w:val="none"/>
                <w:lang w:val="en-US" w:eastAsia="zh-CN"/>
              </w:rPr>
              <w:t>0.15t/a，</w:t>
            </w:r>
            <w:r>
              <w:rPr>
                <w:rFonts w:hint="default" w:ascii="TT5Co00" w:hAnsi="TT5Co00"/>
                <w:sz w:val="24"/>
                <w:u w:val="none"/>
                <w:lang w:val="en-US" w:eastAsia="zh-CN"/>
              </w:rPr>
              <w:t>SS</w:t>
            </w:r>
            <w:r>
              <w:rPr>
                <w:rFonts w:hint="eastAsia" w:ascii="TT5Co00" w:hAnsi="TT5Co00"/>
                <w:sz w:val="24"/>
                <w:u w:val="none"/>
                <w:lang w:val="en-US" w:eastAsia="zh-CN"/>
              </w:rPr>
              <w:t>0.16t/a，</w:t>
            </w:r>
            <w:r>
              <w:rPr>
                <w:rFonts w:hint="default" w:ascii="TT5Co00" w:hAnsi="TT5Co00"/>
                <w:sz w:val="24"/>
                <w:u w:val="none"/>
                <w:lang w:val="en-US" w:eastAsia="zh-CN"/>
              </w:rPr>
              <w:t>NH</w:t>
            </w:r>
            <w:r>
              <w:rPr>
                <w:rFonts w:hint="default" w:ascii="TT5Co00" w:hAnsi="TT5Co00"/>
                <w:sz w:val="24"/>
                <w:u w:val="none"/>
                <w:vertAlign w:val="subscript"/>
                <w:lang w:val="en-US" w:eastAsia="zh-CN"/>
              </w:rPr>
              <w:t>3</w:t>
            </w:r>
            <w:r>
              <w:rPr>
                <w:rFonts w:hint="default" w:ascii="TT5Co00" w:hAnsi="TT5Co00"/>
                <w:sz w:val="24"/>
                <w:u w:val="none"/>
                <w:lang w:val="en-US" w:eastAsia="zh-CN"/>
              </w:rPr>
              <w:t>-N</w:t>
            </w:r>
            <w:r>
              <w:rPr>
                <w:rFonts w:hint="eastAsia" w:ascii="TT5Co00" w:hAnsi="TT5Co00"/>
                <w:sz w:val="24"/>
                <w:u w:val="none"/>
                <w:lang w:val="en-US" w:eastAsia="zh-CN"/>
              </w:rPr>
              <w:t>0.02t/a。</w:t>
            </w:r>
          </w:p>
          <w:p>
            <w:pPr>
              <w:pStyle w:val="38"/>
              <w:rPr>
                <w:rFonts w:hint="eastAsia" w:ascii="Times New Roman" w:hAnsi="Times New Roman" w:cs="Times New Roman"/>
                <w:color w:val="000000"/>
                <w:sz w:val="24"/>
                <w:lang w:val="en-US" w:eastAsia="zh-CN"/>
              </w:rPr>
            </w:pPr>
            <w:r>
              <w:rPr>
                <w:rFonts w:hint="eastAsia" w:ascii="Times New Roman" w:hAnsi="Times New Roman" w:cs="Times New Roman"/>
                <w:lang w:val="en-US" w:eastAsia="zh-CN"/>
              </w:rPr>
              <w:t>运营期生活废水拟采用隔油池及三级化粪池处理后外排入津市高新区市政污水管网，最终经津市高新区工业污水处理厂处理后排入澧水，根据厂区生活废水产生量，环评建议隔油池+化粪池容积为5m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eastAsia"/>
                <w:sz w:val="24"/>
                <w:lang w:val="en-US" w:eastAsia="zh-CN"/>
              </w:rPr>
              <w:t>类比一般三级化粪池处理效率，本项目生活废水经化粪池处理后各污染物排放浓度</w:t>
            </w:r>
            <w:r>
              <w:rPr>
                <w:rFonts w:hint="default" w:ascii="Times New Roman" w:hAnsi="Times New Roman" w:cs="Times New Roman"/>
                <w:sz w:val="24"/>
                <w:lang w:val="en-US" w:eastAsia="zh-CN"/>
              </w:rPr>
              <w:t>为</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w:t>
            </w:r>
            <w:r>
              <w:rPr>
                <w:rFonts w:hint="default" w:ascii="Times New Roman" w:hAnsi="Times New Roman" w:cs="Times New Roman"/>
                <w:sz w:val="24"/>
                <w:lang w:val="en-US" w:eastAsia="zh-CN"/>
              </w:rPr>
              <w:t>200</w:t>
            </w:r>
            <w:r>
              <w:rPr>
                <w:rFonts w:hint="default" w:ascii="Times New Roman" w:hAnsi="Times New Roman" w:cs="Times New Roman"/>
                <w:sz w:val="24"/>
              </w:rPr>
              <w:t>mg/L、BOD</w:t>
            </w:r>
            <w:r>
              <w:rPr>
                <w:rFonts w:hint="default" w:ascii="Times New Roman" w:hAnsi="Times New Roman" w:cs="Times New Roman"/>
                <w:sz w:val="24"/>
                <w:vertAlign w:val="subscript"/>
              </w:rPr>
              <w:t>5</w:t>
            </w:r>
            <w:r>
              <w:rPr>
                <w:rFonts w:hint="default" w:ascii="Times New Roman" w:hAnsi="Times New Roman" w:cs="Times New Roman"/>
                <w:sz w:val="24"/>
              </w:rPr>
              <w:t>：</w:t>
            </w:r>
            <w:r>
              <w:rPr>
                <w:rFonts w:hint="default" w:ascii="Times New Roman" w:hAnsi="Times New Roman" w:cs="Times New Roman"/>
                <w:sz w:val="24"/>
                <w:lang w:val="en-US" w:eastAsia="zh-CN"/>
              </w:rPr>
              <w:t>120</w:t>
            </w:r>
            <w:r>
              <w:rPr>
                <w:rFonts w:hint="default" w:ascii="Times New Roman" w:hAnsi="Times New Roman" w:cs="Times New Roman"/>
                <w:sz w:val="24"/>
              </w:rPr>
              <w:t>mg/L、SS：</w:t>
            </w:r>
            <w:r>
              <w:rPr>
                <w:rFonts w:hint="default" w:ascii="Times New Roman" w:hAnsi="Times New Roman" w:cs="Times New Roman"/>
                <w:sz w:val="24"/>
                <w:lang w:val="en-US" w:eastAsia="zh-CN"/>
              </w:rPr>
              <w:t>150</w:t>
            </w:r>
            <w:r>
              <w:rPr>
                <w:rFonts w:hint="default" w:ascii="Times New Roman" w:hAnsi="Times New Roman" w:cs="Times New Roman"/>
                <w:sz w:val="24"/>
              </w:rPr>
              <w:t>mg/L、氨氮：</w:t>
            </w:r>
            <w:r>
              <w:rPr>
                <w:rFonts w:hint="default" w:ascii="Times New Roman" w:hAnsi="Times New Roman" w:cs="Times New Roman"/>
                <w:sz w:val="24"/>
                <w:lang w:val="en-US" w:eastAsia="zh-CN"/>
              </w:rPr>
              <w:t>20</w:t>
            </w:r>
            <w:r>
              <w:rPr>
                <w:rFonts w:hint="default" w:ascii="Times New Roman" w:hAnsi="Times New Roman" w:cs="Times New Roman"/>
                <w:sz w:val="24"/>
              </w:rPr>
              <w:t>mg/L</w:t>
            </w:r>
            <w:r>
              <w:rPr>
                <w:rFonts w:hint="default" w:ascii="Times New Roman" w:hAnsi="Times New Roman" w:cs="Times New Roman"/>
                <w:sz w:val="24"/>
                <w:lang w:eastAsia="zh-CN"/>
              </w:rPr>
              <w:t>，各污染物排放量为</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w:t>
            </w:r>
            <w:r>
              <w:rPr>
                <w:rFonts w:hint="eastAsia" w:ascii="Times New Roman" w:hAnsi="Times New Roman" w:cs="Times New Roman"/>
                <w:sz w:val="24"/>
                <w:lang w:val="en-US" w:eastAsia="zh-CN"/>
              </w:rPr>
              <w:t>0.16</w:t>
            </w:r>
            <w:r>
              <w:rPr>
                <w:rFonts w:hint="default" w:ascii="Times New Roman" w:hAnsi="Times New Roman" w:cs="Times New Roman"/>
                <w:sz w:val="24"/>
              </w:rPr>
              <w:t>t/a、BOD</w:t>
            </w:r>
            <w:r>
              <w:rPr>
                <w:rFonts w:hint="default" w:ascii="Times New Roman" w:hAnsi="Times New Roman" w:cs="Times New Roman"/>
                <w:sz w:val="24"/>
                <w:vertAlign w:val="subscript"/>
              </w:rPr>
              <w:t>5</w:t>
            </w:r>
            <w:r>
              <w:rPr>
                <w:rFonts w:hint="default" w:ascii="Times New Roman" w:hAnsi="Times New Roman" w:cs="Times New Roman"/>
                <w:sz w:val="24"/>
              </w:rPr>
              <w:t>：</w:t>
            </w:r>
            <w:r>
              <w:rPr>
                <w:rFonts w:hint="eastAsia" w:ascii="Times New Roman" w:hAnsi="Times New Roman" w:cs="Times New Roman"/>
                <w:sz w:val="24"/>
                <w:lang w:val="en-US" w:eastAsia="zh-CN"/>
              </w:rPr>
              <w:t>0.10</w:t>
            </w:r>
            <w:r>
              <w:rPr>
                <w:rFonts w:hint="default" w:ascii="Times New Roman" w:hAnsi="Times New Roman" w:cs="Times New Roman"/>
                <w:sz w:val="24"/>
              </w:rPr>
              <w:t>t/a、SS：</w:t>
            </w:r>
            <w:r>
              <w:rPr>
                <w:rFonts w:hint="eastAsia" w:ascii="Times New Roman" w:hAnsi="Times New Roman" w:cs="Times New Roman"/>
                <w:sz w:val="24"/>
                <w:lang w:val="en-US" w:eastAsia="zh-CN"/>
              </w:rPr>
              <w:t>0.12</w:t>
            </w:r>
            <w:r>
              <w:rPr>
                <w:rFonts w:hint="default" w:ascii="Times New Roman" w:hAnsi="Times New Roman" w:cs="Times New Roman"/>
                <w:sz w:val="24"/>
              </w:rPr>
              <w:t>t/a、氨氮：</w:t>
            </w:r>
            <w:r>
              <w:rPr>
                <w:rFonts w:hint="eastAsia" w:ascii="Times New Roman" w:hAnsi="Times New Roman" w:cs="Times New Roman"/>
                <w:sz w:val="24"/>
                <w:lang w:val="en-US" w:eastAsia="zh-CN"/>
              </w:rPr>
              <w:t>0.016</w:t>
            </w:r>
            <w:r>
              <w:rPr>
                <w:rFonts w:hint="default" w:ascii="Times New Roman" w:hAnsi="Times New Roman" w:cs="Times New Roman"/>
                <w:sz w:val="24"/>
              </w:rPr>
              <w:t>t/a。</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（1）项目废水达标排放情况</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根据上述分析，本项目生活废水经处理后均可达到《污水综合排放标准》（GB8978-1996）三级标准，同时可满足津市高新区工业污水处理厂进水水质要求。</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（2）污水处理厂受纳可行性分析</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w:t>
            </w:r>
            <w:r>
              <w:rPr>
                <w:rFonts w:hint="eastAsia" w:ascii="Times New Roman" w:hAnsi="Times New Roman" w:cs="Times New Roman"/>
                <w:sz w:val="24"/>
                <w:lang w:eastAsia="zh-CN"/>
              </w:rPr>
              <w:t>常德市津市工业园污水处理厂及配套管网建设工程</w:t>
            </w:r>
            <w:r>
              <w:rPr>
                <w:rFonts w:hint="eastAsia" w:ascii="Times New Roman" w:hAnsi="Times New Roman" w:cs="Times New Roman"/>
                <w:sz w:val="24"/>
                <w:lang w:val="en-US" w:eastAsia="zh-CN"/>
              </w:rPr>
              <w:t>》环评报告中相关内容，津市高新区工业污水处理厂配套污水收集管网中已覆盖了创业路，因此本项目拟建地属于津市高新区工业污水处理厂纳污范围，本项目废水经厂区隔油池及化粪池处理后可满足津市高新区工业污水处理厂进水水质要求，</w:t>
            </w:r>
            <w:r>
              <w:rPr>
                <w:rFonts w:hint="eastAsia" w:ascii="Times New Roman" w:hAnsi="Times New Roman" w:cs="Times New Roman"/>
                <w:sz w:val="24"/>
                <w:lang w:eastAsia="zh-CN"/>
              </w:rPr>
              <w:t>津市高新区工业</w:t>
            </w:r>
            <w:r>
              <w:rPr>
                <w:rFonts w:hint="default" w:ascii="Times New Roman" w:hAnsi="Times New Roman" w:cs="Times New Roman"/>
                <w:sz w:val="24"/>
              </w:rPr>
              <w:t>污水处理厂</w:t>
            </w:r>
            <w:r>
              <w:rPr>
                <w:rFonts w:hint="eastAsia" w:ascii="Times New Roman" w:hAnsi="Times New Roman" w:cs="Times New Roman"/>
                <w:sz w:val="24"/>
                <w:lang w:eastAsia="zh-CN"/>
              </w:rPr>
              <w:t>现有</w:t>
            </w:r>
            <w:r>
              <w:rPr>
                <w:rFonts w:hint="default" w:ascii="Times New Roman" w:hAnsi="Times New Roman" w:cs="Times New Roman"/>
                <w:sz w:val="24"/>
              </w:rPr>
              <w:t>规模为</w:t>
            </w:r>
            <w:r>
              <w:rPr>
                <w:rFonts w:hint="eastAsia" w:ascii="Times New Roman" w:hAnsi="Times New Roman" w:cs="Times New Roman"/>
                <w:sz w:val="24"/>
                <w:lang w:val="en-US" w:eastAsia="zh-CN"/>
              </w:rPr>
              <w:t>0.5</w:t>
            </w:r>
            <w:r>
              <w:rPr>
                <w:rFonts w:hint="default" w:ascii="Times New Roman" w:hAnsi="Times New Roman" w:cs="Times New Roman"/>
                <w:sz w:val="24"/>
              </w:rPr>
              <w:t>×10</w:t>
            </w:r>
            <w:r>
              <w:rPr>
                <w:rFonts w:hint="default" w:ascii="Times New Roman" w:hAnsi="Times New Roman" w:cs="Times New Roman"/>
                <w:sz w:val="24"/>
                <w:vertAlign w:val="superscript"/>
              </w:rPr>
              <w:t>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eastAsia" w:ascii="Times New Roman" w:hAnsi="Times New Roman" w:cs="Times New Roman"/>
                <w:sz w:val="24"/>
                <w:lang w:val="en-US" w:eastAsia="zh-CN"/>
              </w:rPr>
              <w:t>2020年扩建后</w:t>
            </w:r>
            <w:r>
              <w:rPr>
                <w:rFonts w:hint="default" w:ascii="Times New Roman" w:hAnsi="Times New Roman" w:cs="Times New Roman"/>
                <w:sz w:val="24"/>
              </w:rPr>
              <w:t>规模为</w:t>
            </w:r>
            <w:r>
              <w:rPr>
                <w:rFonts w:hint="eastAsia" w:ascii="Times New Roman" w:hAnsi="Times New Roman" w:cs="Times New Roman"/>
                <w:sz w:val="24"/>
                <w:lang w:val="en-US" w:eastAsia="zh-CN"/>
              </w:rPr>
              <w:t>1.5</w:t>
            </w:r>
            <w:r>
              <w:rPr>
                <w:rFonts w:hint="default" w:ascii="Times New Roman" w:hAnsi="Times New Roman" w:cs="Times New Roman"/>
                <w:sz w:val="24"/>
              </w:rPr>
              <w:t>×10</w:t>
            </w:r>
            <w:r>
              <w:rPr>
                <w:rFonts w:hint="default" w:ascii="Times New Roman" w:hAnsi="Times New Roman" w:cs="Times New Roman"/>
                <w:sz w:val="24"/>
                <w:vertAlign w:val="superscript"/>
              </w:rPr>
              <w:t>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eastAsia" w:ascii="Times New Roman" w:hAnsi="Times New Roman" w:cs="Times New Roman"/>
                <w:sz w:val="24"/>
                <w:lang w:eastAsia="zh-CN"/>
              </w:rPr>
              <w:t>，污水处理站目前日处理废水量为</w:t>
            </w:r>
            <w:r>
              <w:rPr>
                <w:rFonts w:hint="eastAsia" w:ascii="Times New Roman" w:hAnsi="Times New Roman" w:cs="Times New Roman"/>
                <w:sz w:val="24"/>
                <w:lang w:val="en-US" w:eastAsia="zh-CN"/>
              </w:rPr>
              <w:t>4548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eastAsia" w:ascii="Times New Roman" w:hAnsi="Times New Roman" w:cs="Times New Roman"/>
                <w:sz w:val="24"/>
                <w:lang w:val="en-US" w:eastAsia="zh-CN"/>
              </w:rPr>
              <w:t>本项目新增废量为2.16m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d，本项目废水排放量占污水厂剩余处理规模的0.02%，对其冲击很小，且该污水厂完全有接纳本项目废水的能力。津市高新区工业污水处理厂已于2018年9投入运行，故本项目生活废水经预处理后外排不会对津市高新区工业污水处理厂产生冲击影响。废水经津市高新区工业污水处理厂处理，出水达到《城镇污水处理厂污染物排放标准》 (GB18918-2002)一级A标准。对最终纳污水体澧水的影响较小。</w:t>
            </w:r>
          </w:p>
          <w:p>
            <w:pPr>
              <w:pStyle w:val="21"/>
              <w:spacing w:line="360" w:lineRule="auto"/>
              <w:ind w:left="0" w:leftChars="0"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7-7</w:t>
            </w:r>
            <w:r>
              <w:rPr>
                <w:rFonts w:hint="eastAsia" w:ascii="Times New Roman" w:hAnsi="Times New Roman" w:cs="Times New Roman"/>
                <w:b/>
                <w:bCs/>
                <w:sz w:val="21"/>
                <w:szCs w:val="21"/>
                <w:lang w:val="en-US" w:eastAsia="zh-CN"/>
              </w:rPr>
              <w:t xml:space="preserve">  废水类别、污染物及污染治理设施信息表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2"/>
              <w:gridCol w:w="642"/>
              <w:gridCol w:w="878"/>
              <w:gridCol w:w="652"/>
              <w:gridCol w:w="662"/>
              <w:gridCol w:w="898"/>
              <w:gridCol w:w="898"/>
              <w:gridCol w:w="1310"/>
              <w:gridCol w:w="688"/>
              <w:gridCol w:w="913"/>
              <w:gridCol w:w="6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426"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序号</w:t>
                  </w:r>
                </w:p>
              </w:tc>
              <w:tc>
                <w:tcPr>
                  <w:tcW w:w="650"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废水类别</w:t>
                  </w:r>
                </w:p>
              </w:tc>
              <w:tc>
                <w:tcPr>
                  <w:tcW w:w="890"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污染物种类</w:t>
                  </w:r>
                </w:p>
              </w:tc>
              <w:tc>
                <w:tcPr>
                  <w:tcW w:w="660"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排放去向</w:t>
                  </w:r>
                </w:p>
              </w:tc>
              <w:tc>
                <w:tcPr>
                  <w:tcW w:w="670"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排放规律</w:t>
                  </w:r>
                </w:p>
              </w:tc>
              <w:tc>
                <w:tcPr>
                  <w:tcW w:w="3150"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污染治理设施</w:t>
                  </w:r>
                </w:p>
              </w:tc>
              <w:tc>
                <w:tcPr>
                  <w:tcW w:w="697"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排放口编号</w:t>
                  </w:r>
                </w:p>
              </w:tc>
              <w:tc>
                <w:tcPr>
                  <w:tcW w:w="926"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排放口设置是否符合要求</w:t>
                  </w:r>
                </w:p>
              </w:tc>
              <w:tc>
                <w:tcPr>
                  <w:tcW w:w="662"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排放口类型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51" w:hRule="atLeast"/>
                <w:jc w:val="center"/>
              </w:trPr>
              <w:tc>
                <w:tcPr>
                  <w:tcW w:w="426"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650"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890"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660"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670"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91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污染治理设施编号</w:t>
                  </w:r>
                </w:p>
              </w:tc>
              <w:tc>
                <w:tcPr>
                  <w:tcW w:w="91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污染治理设施名称</w:t>
                  </w:r>
                </w:p>
              </w:tc>
              <w:tc>
                <w:tcPr>
                  <w:tcW w:w="13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污染治理设施工艺</w:t>
                  </w:r>
                </w:p>
              </w:tc>
              <w:tc>
                <w:tcPr>
                  <w:tcW w:w="697"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926"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c>
                <w:tcPr>
                  <w:tcW w:w="662"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426"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1</w:t>
                  </w:r>
                </w:p>
              </w:tc>
              <w:tc>
                <w:tcPr>
                  <w:tcW w:w="65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生活废水</w:t>
                  </w:r>
                </w:p>
              </w:tc>
              <w:tc>
                <w:tcPr>
                  <w:tcW w:w="89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rPr>
                    <w:t>C</w:t>
                  </w:r>
                  <w:r>
                    <w:rPr>
                      <w:rFonts w:hint="default" w:ascii="Times New Roman" w:hAnsi="Times New Roman" w:cs="Times New Roman"/>
                      <w:kern w:val="28"/>
                      <w:sz w:val="21"/>
                      <w:szCs w:val="21"/>
                      <w:u w:val="none"/>
                    </w:rPr>
                    <w:t>OD</w:t>
                  </w:r>
                  <w:r>
                    <w:rPr>
                      <w:rFonts w:hint="eastAsia" w:ascii="Times New Roman" w:hAnsi="Times New Roman" w:cs="Times New Roman"/>
                      <w:kern w:val="28"/>
                      <w:sz w:val="21"/>
                      <w:szCs w:val="21"/>
                      <w:u w:val="none"/>
                    </w:rPr>
                    <w:t>、</w:t>
                  </w:r>
                  <w:r>
                    <w:rPr>
                      <w:rFonts w:hint="default" w:ascii="Times New Roman" w:hAnsi="Times New Roman" w:cs="Times New Roman"/>
                      <w:kern w:val="28"/>
                      <w:sz w:val="21"/>
                      <w:szCs w:val="21"/>
                      <w:u w:val="none"/>
                    </w:rPr>
                    <w:t>BOD</w:t>
                  </w:r>
                  <w:r>
                    <w:rPr>
                      <w:rFonts w:hint="default" w:ascii="Times New Roman" w:hAnsi="Times New Roman" w:cs="Times New Roman"/>
                      <w:kern w:val="28"/>
                      <w:sz w:val="21"/>
                      <w:szCs w:val="21"/>
                      <w:u w:val="none"/>
                      <w:vertAlign w:val="subscript"/>
                    </w:rPr>
                    <w:t>5</w:t>
                  </w:r>
                  <w:r>
                    <w:rPr>
                      <w:rFonts w:hint="default" w:ascii="Times New Roman" w:hAnsi="Times New Roman" w:cs="Times New Roman"/>
                      <w:kern w:val="28"/>
                      <w:sz w:val="21"/>
                      <w:szCs w:val="21"/>
                      <w:u w:val="none"/>
                    </w:rPr>
                    <w:t>、NH</w:t>
                  </w:r>
                  <w:r>
                    <w:rPr>
                      <w:rFonts w:hint="default" w:ascii="Times New Roman" w:hAnsi="Times New Roman" w:cs="Times New Roman"/>
                      <w:kern w:val="28"/>
                      <w:sz w:val="21"/>
                      <w:szCs w:val="21"/>
                      <w:u w:val="none"/>
                      <w:vertAlign w:val="subscript"/>
                    </w:rPr>
                    <w:t>3</w:t>
                  </w:r>
                  <w:r>
                    <w:rPr>
                      <w:rFonts w:hint="default" w:ascii="Times New Roman" w:hAnsi="Times New Roman" w:cs="Times New Roman"/>
                      <w:kern w:val="28"/>
                      <w:sz w:val="21"/>
                      <w:szCs w:val="21"/>
                      <w:u w:val="none"/>
                    </w:rPr>
                    <w:t>-N、SS</w:t>
                  </w:r>
                </w:p>
              </w:tc>
              <w:tc>
                <w:tcPr>
                  <w:tcW w:w="66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进入</w:t>
                  </w:r>
                  <w:r>
                    <w:rPr>
                      <w:rFonts w:hint="eastAsia" w:ascii="Times New Roman" w:hAnsi="Times New Roman" w:cs="Times New Roman"/>
                      <w:kern w:val="28"/>
                      <w:sz w:val="21"/>
                      <w:szCs w:val="21"/>
                      <w:u w:val="none"/>
                      <w:lang w:eastAsia="zh-CN"/>
                    </w:rPr>
                    <w:t>津市高新区工业</w:t>
                  </w:r>
                  <w:r>
                    <w:rPr>
                      <w:rFonts w:hint="eastAsia" w:ascii="Times New Roman" w:hAnsi="Times New Roman" w:cs="Times New Roman"/>
                      <w:kern w:val="28"/>
                      <w:sz w:val="21"/>
                      <w:szCs w:val="21"/>
                      <w:u w:val="none"/>
                    </w:rPr>
                    <w:t>污水处理厂</w:t>
                  </w:r>
                </w:p>
              </w:tc>
              <w:tc>
                <w:tcPr>
                  <w:tcW w:w="67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lang w:eastAsia="zh-CN"/>
                    </w:rPr>
                    <w:t>间歇排放</w:t>
                  </w:r>
                  <w:r>
                    <w:rPr>
                      <w:rFonts w:hint="eastAsia" w:ascii="Times New Roman" w:hAnsi="Times New Roman" w:cs="Times New Roman"/>
                      <w:kern w:val="28"/>
                      <w:sz w:val="21"/>
                      <w:szCs w:val="21"/>
                      <w:u w:val="none"/>
                    </w:rPr>
                    <w:t>，流量</w:t>
                  </w:r>
                  <w:r>
                    <w:rPr>
                      <w:rFonts w:hint="eastAsia" w:ascii="Times New Roman" w:hAnsi="Times New Roman" w:cs="Times New Roman"/>
                      <w:kern w:val="28"/>
                      <w:sz w:val="21"/>
                      <w:szCs w:val="21"/>
                      <w:u w:val="none"/>
                      <w:lang w:val="en-US" w:eastAsia="zh-CN"/>
                    </w:rPr>
                    <w:t>不</w:t>
                  </w:r>
                  <w:r>
                    <w:rPr>
                      <w:rFonts w:hint="eastAsia" w:ascii="Times New Roman" w:hAnsi="Times New Roman" w:cs="Times New Roman"/>
                      <w:kern w:val="28"/>
                      <w:sz w:val="21"/>
                      <w:szCs w:val="21"/>
                      <w:u w:val="none"/>
                    </w:rPr>
                    <w:t>稳定</w:t>
                  </w:r>
                </w:p>
              </w:tc>
              <w:tc>
                <w:tcPr>
                  <w:tcW w:w="91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M</w:t>
                  </w:r>
                  <w:r>
                    <w:rPr>
                      <w:rFonts w:hint="default" w:ascii="Times New Roman" w:hAnsi="Times New Roman" w:cs="Times New Roman"/>
                      <w:kern w:val="28"/>
                      <w:sz w:val="21"/>
                      <w:szCs w:val="21"/>
                      <w:u w:val="none"/>
                    </w:rPr>
                    <w:t>F0001</w:t>
                  </w:r>
                </w:p>
              </w:tc>
              <w:tc>
                <w:tcPr>
                  <w:tcW w:w="91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隔油池+化粪池</w:t>
                  </w:r>
                </w:p>
              </w:tc>
              <w:tc>
                <w:tcPr>
                  <w:tcW w:w="13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lang w:val="en-US" w:eastAsia="zh-CN"/>
                    </w:rPr>
                    <w:t xml:space="preserve"> 隔油池+化粪池</w:t>
                  </w:r>
                </w:p>
              </w:tc>
              <w:tc>
                <w:tcPr>
                  <w:tcW w:w="697"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D</w:t>
                  </w:r>
                  <w:r>
                    <w:rPr>
                      <w:rFonts w:hint="default" w:ascii="Times New Roman" w:hAnsi="Times New Roman" w:cs="Times New Roman"/>
                      <w:kern w:val="28"/>
                      <w:sz w:val="21"/>
                      <w:szCs w:val="21"/>
                      <w:u w:val="none"/>
                    </w:rPr>
                    <w:t>W001</w:t>
                  </w:r>
                </w:p>
              </w:tc>
              <w:tc>
                <w:tcPr>
                  <w:tcW w:w="926"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是</w:t>
                  </w:r>
                </w:p>
              </w:tc>
              <w:tc>
                <w:tcPr>
                  <w:tcW w:w="66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一般排放口</w:t>
                  </w:r>
                </w:p>
              </w:tc>
            </w:tr>
          </w:tbl>
          <w:p>
            <w:pPr>
              <w:pStyle w:val="21"/>
              <w:spacing w:line="360" w:lineRule="auto"/>
              <w:ind w:left="0" w:leftChars="0"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7-8</w:t>
            </w:r>
            <w:r>
              <w:rPr>
                <w:rFonts w:hint="eastAsia" w:ascii="Times New Roman" w:hAnsi="Times New Roman" w:cs="Times New Roman"/>
                <w:b/>
                <w:bCs/>
                <w:sz w:val="21"/>
                <w:szCs w:val="21"/>
                <w:lang w:val="en-US" w:eastAsia="zh-CN"/>
              </w:rPr>
              <w:t xml:space="preserve">  废水间接排放口基本情况表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1"/>
              <w:gridCol w:w="578"/>
              <w:gridCol w:w="818"/>
              <w:gridCol w:w="772"/>
              <w:gridCol w:w="750"/>
              <w:gridCol w:w="935"/>
              <w:gridCol w:w="805"/>
              <w:gridCol w:w="673"/>
              <w:gridCol w:w="737"/>
              <w:gridCol w:w="830"/>
              <w:gridCol w:w="13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jc w:val="center"/>
              </w:trPr>
              <w:tc>
                <w:tcPr>
                  <w:tcW w:w="401"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序号</w:t>
                  </w:r>
                </w:p>
              </w:tc>
              <w:tc>
                <w:tcPr>
                  <w:tcW w:w="578"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排放口编号</w:t>
                  </w:r>
                </w:p>
              </w:tc>
              <w:tc>
                <w:tcPr>
                  <w:tcW w:w="1590" w:type="dxa"/>
                  <w:gridSpan w:val="2"/>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排放口地理坐标</w:t>
                  </w:r>
                </w:p>
              </w:tc>
              <w:tc>
                <w:tcPr>
                  <w:tcW w:w="750"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废水排放量（万t/a）</w:t>
                  </w:r>
                </w:p>
              </w:tc>
              <w:tc>
                <w:tcPr>
                  <w:tcW w:w="935"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排放去向</w:t>
                  </w:r>
                </w:p>
              </w:tc>
              <w:tc>
                <w:tcPr>
                  <w:tcW w:w="805"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排放规律</w:t>
                  </w:r>
                </w:p>
              </w:tc>
              <w:tc>
                <w:tcPr>
                  <w:tcW w:w="673"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间歇排放时段</w:t>
                  </w:r>
                </w:p>
              </w:tc>
              <w:tc>
                <w:tcPr>
                  <w:tcW w:w="2885"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受纳污水处理厂信息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jc w:val="center"/>
              </w:trPr>
              <w:tc>
                <w:tcPr>
                  <w:tcW w:w="401"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p>
              </w:tc>
              <w:tc>
                <w:tcPr>
                  <w:tcW w:w="578"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p>
              </w:tc>
              <w:tc>
                <w:tcPr>
                  <w:tcW w:w="81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经度</w:t>
                  </w:r>
                </w:p>
              </w:tc>
              <w:tc>
                <w:tcPr>
                  <w:tcW w:w="77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纬度</w:t>
                  </w:r>
                </w:p>
              </w:tc>
              <w:tc>
                <w:tcPr>
                  <w:tcW w:w="750"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p>
              </w:tc>
              <w:tc>
                <w:tcPr>
                  <w:tcW w:w="935"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p>
              </w:tc>
              <w:tc>
                <w:tcPr>
                  <w:tcW w:w="805"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p>
              </w:tc>
              <w:tc>
                <w:tcPr>
                  <w:tcW w:w="673"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p>
              </w:tc>
              <w:tc>
                <w:tcPr>
                  <w:tcW w:w="737"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名称</w:t>
                  </w:r>
                </w:p>
              </w:tc>
              <w:tc>
                <w:tcPr>
                  <w:tcW w:w="8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污染物种类</w:t>
                  </w:r>
                </w:p>
              </w:tc>
              <w:tc>
                <w:tcPr>
                  <w:tcW w:w="131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rPr>
                  </w:pPr>
                  <w:r>
                    <w:rPr>
                      <w:rFonts w:hint="eastAsia" w:ascii="Times New Roman" w:hAnsi="Times New Roman" w:cs="Times New Roman"/>
                      <w:b/>
                      <w:bCs/>
                      <w:kern w:val="28"/>
                      <w:sz w:val="21"/>
                      <w:szCs w:val="21"/>
                      <w:u w:val="none"/>
                    </w:rPr>
                    <w:t>国家或地方污染物排放标准浓度限值（mg/L）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401"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1</w:t>
                  </w:r>
                </w:p>
              </w:tc>
              <w:tc>
                <w:tcPr>
                  <w:tcW w:w="57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DW001</w:t>
                  </w:r>
                </w:p>
              </w:tc>
              <w:tc>
                <w:tcPr>
                  <w:tcW w:w="81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lang w:val="en-US" w:eastAsia="zh-CN"/>
                    </w:rPr>
                    <w:t>111°51′42.50″</w:t>
                  </w:r>
                </w:p>
              </w:tc>
              <w:tc>
                <w:tcPr>
                  <w:tcW w:w="77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lang w:val="en-US" w:eastAsia="zh-CN"/>
                    </w:rPr>
                    <w:t>29°33′56.75″</w:t>
                  </w:r>
                </w:p>
              </w:tc>
              <w:tc>
                <w:tcPr>
                  <w:tcW w:w="75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0.0648</w:t>
                  </w:r>
                </w:p>
              </w:tc>
              <w:tc>
                <w:tcPr>
                  <w:tcW w:w="93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进入</w:t>
                  </w:r>
                  <w:r>
                    <w:rPr>
                      <w:rFonts w:hint="eastAsia" w:ascii="Times New Roman" w:hAnsi="Times New Roman" w:cs="Times New Roman"/>
                      <w:kern w:val="28"/>
                      <w:sz w:val="21"/>
                      <w:szCs w:val="21"/>
                      <w:u w:val="none"/>
                      <w:lang w:eastAsia="zh-CN"/>
                    </w:rPr>
                    <w:t>津市高新区工业</w:t>
                  </w:r>
                  <w:r>
                    <w:rPr>
                      <w:rFonts w:hint="eastAsia" w:ascii="Times New Roman" w:hAnsi="Times New Roman" w:cs="Times New Roman"/>
                      <w:kern w:val="28"/>
                      <w:sz w:val="21"/>
                      <w:szCs w:val="21"/>
                      <w:u w:val="none"/>
                    </w:rPr>
                    <w:t>污水处理厂</w:t>
                  </w:r>
                </w:p>
              </w:tc>
              <w:tc>
                <w:tcPr>
                  <w:tcW w:w="80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lang w:eastAsia="zh-CN"/>
                    </w:rPr>
                    <w:t>间歇排放</w:t>
                  </w:r>
                  <w:r>
                    <w:rPr>
                      <w:rFonts w:hint="eastAsia" w:ascii="Times New Roman" w:hAnsi="Times New Roman" w:cs="Times New Roman"/>
                      <w:kern w:val="28"/>
                      <w:sz w:val="21"/>
                      <w:szCs w:val="21"/>
                      <w:u w:val="none"/>
                    </w:rPr>
                    <w:t>，流量</w:t>
                  </w:r>
                  <w:r>
                    <w:rPr>
                      <w:rFonts w:hint="eastAsia" w:ascii="Times New Roman" w:hAnsi="Times New Roman" w:cs="Times New Roman"/>
                      <w:kern w:val="28"/>
                      <w:sz w:val="21"/>
                      <w:szCs w:val="21"/>
                      <w:u w:val="none"/>
                      <w:lang w:val="en-US" w:eastAsia="zh-CN"/>
                    </w:rPr>
                    <w:t>不</w:t>
                  </w:r>
                  <w:r>
                    <w:rPr>
                      <w:rFonts w:hint="eastAsia" w:ascii="Times New Roman" w:hAnsi="Times New Roman" w:cs="Times New Roman"/>
                      <w:kern w:val="28"/>
                      <w:sz w:val="21"/>
                      <w:szCs w:val="21"/>
                      <w:u w:val="none"/>
                    </w:rPr>
                    <w:t>稳定</w:t>
                  </w:r>
                </w:p>
              </w:tc>
              <w:tc>
                <w:tcPr>
                  <w:tcW w:w="673"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rPr>
                  </w:pPr>
                  <w:r>
                    <w:rPr>
                      <w:rFonts w:hint="eastAsia" w:ascii="Times New Roman" w:hAnsi="Times New Roman" w:cs="Times New Roman"/>
                      <w:kern w:val="28"/>
                      <w:sz w:val="21"/>
                      <w:szCs w:val="21"/>
                      <w:u w:val="none"/>
                    </w:rPr>
                    <w:t>/</w:t>
                  </w:r>
                </w:p>
              </w:tc>
              <w:tc>
                <w:tcPr>
                  <w:tcW w:w="7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津市高新区工业污水处理厂</w:t>
                  </w:r>
                </w:p>
              </w:tc>
              <w:tc>
                <w:tcPr>
                  <w:tcW w:w="8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eastAsiaTheme="minorEastAsia"/>
                      <w:kern w:val="28"/>
                      <w:sz w:val="21"/>
                      <w:szCs w:val="21"/>
                      <w:u w:val="none"/>
                      <w:lang w:val="en-US" w:eastAsia="zh-CN"/>
                    </w:rPr>
                  </w:pPr>
                  <w:r>
                    <w:rPr>
                      <w:rFonts w:hint="eastAsia" w:ascii="Times New Roman" w:hAnsi="Times New Roman" w:cs="Times New Roman"/>
                      <w:kern w:val="28"/>
                      <w:sz w:val="21"/>
                      <w:szCs w:val="21"/>
                      <w:u w:val="none"/>
                    </w:rPr>
                    <w:t>COD、NH</w:t>
                  </w:r>
                  <w:r>
                    <w:rPr>
                      <w:rFonts w:hint="eastAsia" w:ascii="Times New Roman" w:hAnsi="Times New Roman" w:cs="Times New Roman"/>
                      <w:kern w:val="28"/>
                      <w:sz w:val="21"/>
                      <w:szCs w:val="21"/>
                      <w:u w:val="none"/>
                      <w:vertAlign w:val="subscript"/>
                    </w:rPr>
                    <w:t>3</w:t>
                  </w:r>
                  <w:r>
                    <w:rPr>
                      <w:rFonts w:hint="eastAsia" w:ascii="Times New Roman" w:hAnsi="Times New Roman" w:cs="Times New Roman"/>
                      <w:kern w:val="28"/>
                      <w:sz w:val="21"/>
                      <w:szCs w:val="21"/>
                      <w:u w:val="none"/>
                    </w:rPr>
                    <w:t>-N</w:t>
                  </w:r>
                  <w:r>
                    <w:rPr>
                      <w:rFonts w:hint="eastAsia" w:ascii="Times New Roman" w:hAnsi="Times New Roman" w:cs="Times New Roman"/>
                      <w:kern w:val="28"/>
                      <w:sz w:val="21"/>
                      <w:szCs w:val="21"/>
                      <w:u w:val="none"/>
                      <w:lang w:eastAsia="zh-CN"/>
                    </w:rPr>
                    <w:t>、</w:t>
                  </w:r>
                  <w:r>
                    <w:rPr>
                      <w:rFonts w:hint="eastAsia" w:ascii="Times New Roman" w:hAnsi="Times New Roman" w:cs="Times New Roman"/>
                      <w:kern w:val="28"/>
                      <w:sz w:val="21"/>
                      <w:szCs w:val="21"/>
                      <w:u w:val="none"/>
                      <w:lang w:val="en-US" w:eastAsia="zh-CN"/>
                    </w:rPr>
                    <w:t>BOD</w:t>
                  </w:r>
                  <w:r>
                    <w:rPr>
                      <w:rFonts w:hint="eastAsia" w:ascii="Times New Roman" w:hAnsi="Times New Roman" w:cs="Times New Roman"/>
                      <w:kern w:val="28"/>
                      <w:sz w:val="21"/>
                      <w:szCs w:val="21"/>
                      <w:u w:val="none"/>
                      <w:vertAlign w:val="subscript"/>
                      <w:lang w:val="en-US" w:eastAsia="zh-CN"/>
                    </w:rPr>
                    <w:t>5</w:t>
                  </w:r>
                  <w:r>
                    <w:rPr>
                      <w:rFonts w:hint="eastAsia" w:ascii="Times New Roman" w:hAnsi="Times New Roman" w:cs="Times New Roman"/>
                      <w:kern w:val="28"/>
                      <w:sz w:val="21"/>
                      <w:szCs w:val="21"/>
                      <w:u w:val="none"/>
                      <w:lang w:val="en-US" w:eastAsia="zh-CN"/>
                    </w:rPr>
                    <w:t>、SS</w:t>
                  </w:r>
                </w:p>
              </w:tc>
              <w:tc>
                <w:tcPr>
                  <w:tcW w:w="131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50</w:t>
                  </w:r>
                  <w:r>
                    <w:rPr>
                      <w:rFonts w:hint="eastAsia" w:ascii="Times New Roman" w:hAnsi="Times New Roman" w:cs="Times New Roman"/>
                      <w:kern w:val="28"/>
                      <w:sz w:val="21"/>
                      <w:szCs w:val="21"/>
                      <w:u w:val="none"/>
                    </w:rPr>
                    <w:t>、</w:t>
                  </w:r>
                  <w:r>
                    <w:rPr>
                      <w:rFonts w:hint="eastAsia" w:ascii="Times New Roman" w:hAnsi="Times New Roman" w:cs="Times New Roman"/>
                      <w:kern w:val="28"/>
                      <w:sz w:val="21"/>
                      <w:szCs w:val="21"/>
                      <w:u w:val="none"/>
                      <w:lang w:val="en-US" w:eastAsia="zh-CN"/>
                    </w:rPr>
                    <w:t>5、10、10</w:t>
                  </w:r>
                </w:p>
              </w:tc>
            </w:tr>
          </w:tbl>
          <w:p>
            <w:pPr>
              <w:pStyle w:val="21"/>
              <w:spacing w:line="360" w:lineRule="auto"/>
              <w:ind w:left="0" w:leftChars="0"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7-9</w:t>
            </w:r>
            <w:r>
              <w:rPr>
                <w:rFonts w:hint="eastAsia" w:ascii="Times New Roman" w:hAnsi="Times New Roman" w:cs="Times New Roman"/>
                <w:b/>
                <w:bCs/>
                <w:sz w:val="21"/>
                <w:szCs w:val="21"/>
                <w:lang w:val="en-US" w:eastAsia="zh-CN"/>
              </w:rPr>
              <w:t xml:space="preserve">  废水污染物排放执行标准表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2"/>
              <w:gridCol w:w="1215"/>
              <w:gridCol w:w="1204"/>
              <w:gridCol w:w="3614"/>
              <w:gridCol w:w="19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序号</w:t>
                  </w:r>
                </w:p>
              </w:tc>
              <w:tc>
                <w:tcPr>
                  <w:tcW w:w="1230"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排放口编号</w:t>
                  </w:r>
                </w:p>
              </w:tc>
              <w:tc>
                <w:tcPr>
                  <w:tcW w:w="1219"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污染物种类</w:t>
                  </w:r>
                </w:p>
              </w:tc>
              <w:tc>
                <w:tcPr>
                  <w:tcW w:w="5603" w:type="dxa"/>
                  <w:gridSpan w:val="2"/>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国家或地方污染物排放标准及其他按规定商定的排放协议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p>
              </w:tc>
              <w:tc>
                <w:tcPr>
                  <w:tcW w:w="1230"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p>
              </w:tc>
              <w:tc>
                <w:tcPr>
                  <w:tcW w:w="1219"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p>
              </w:tc>
              <w:tc>
                <w:tcPr>
                  <w:tcW w:w="3666"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名称</w:t>
                  </w:r>
                </w:p>
              </w:tc>
              <w:tc>
                <w:tcPr>
                  <w:tcW w:w="1937"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浓度限值（mg/L）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1</w:t>
                  </w:r>
                </w:p>
              </w:tc>
              <w:tc>
                <w:tcPr>
                  <w:tcW w:w="12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2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pH</w:t>
                  </w:r>
                </w:p>
              </w:tc>
              <w:tc>
                <w:tcPr>
                  <w:tcW w:w="3666"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《污水综合排放标准》（GB8978-1996）三级标准及津市高新区工业污水处理厂进水水质要求</w:t>
                  </w:r>
                </w:p>
              </w:tc>
              <w:tc>
                <w:tcPr>
                  <w:tcW w:w="1937"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2</w:t>
                  </w:r>
                </w:p>
              </w:tc>
              <w:tc>
                <w:tcPr>
                  <w:tcW w:w="12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2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COD</w:t>
                  </w:r>
                </w:p>
              </w:tc>
              <w:tc>
                <w:tcPr>
                  <w:tcW w:w="3666"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p>
              </w:tc>
              <w:tc>
                <w:tcPr>
                  <w:tcW w:w="19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450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3</w:t>
                  </w:r>
                </w:p>
              </w:tc>
              <w:tc>
                <w:tcPr>
                  <w:tcW w:w="12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2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BOD</w:t>
                  </w:r>
                  <w:r>
                    <w:rPr>
                      <w:rFonts w:hint="eastAsia" w:ascii="Times New Roman" w:hAnsi="Times New Roman" w:cs="Times New Roman"/>
                      <w:kern w:val="28"/>
                      <w:sz w:val="21"/>
                      <w:szCs w:val="21"/>
                      <w:u w:val="none"/>
                      <w:vertAlign w:val="subscript"/>
                      <w:lang w:val="en-US" w:eastAsia="zh-CN"/>
                    </w:rPr>
                    <w:t>5</w:t>
                  </w:r>
                </w:p>
              </w:tc>
              <w:tc>
                <w:tcPr>
                  <w:tcW w:w="3666"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p>
              </w:tc>
              <w:tc>
                <w:tcPr>
                  <w:tcW w:w="19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4</w:t>
                  </w:r>
                </w:p>
              </w:tc>
              <w:tc>
                <w:tcPr>
                  <w:tcW w:w="12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2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SS</w:t>
                  </w:r>
                </w:p>
              </w:tc>
              <w:tc>
                <w:tcPr>
                  <w:tcW w:w="3666"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p>
              </w:tc>
              <w:tc>
                <w:tcPr>
                  <w:tcW w:w="19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5</w:t>
                  </w:r>
                </w:p>
              </w:tc>
              <w:tc>
                <w:tcPr>
                  <w:tcW w:w="123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2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氨氮</w:t>
                  </w:r>
                </w:p>
              </w:tc>
              <w:tc>
                <w:tcPr>
                  <w:tcW w:w="3666"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p>
              </w:tc>
              <w:tc>
                <w:tcPr>
                  <w:tcW w:w="193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35</w:t>
                  </w:r>
                </w:p>
              </w:tc>
            </w:tr>
          </w:tbl>
          <w:p>
            <w:pPr>
              <w:pStyle w:val="21"/>
              <w:spacing w:line="360" w:lineRule="auto"/>
              <w:ind w:left="0" w:leftChars="0"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cs="Times New Roman"/>
                <w:b/>
                <w:bCs/>
                <w:sz w:val="21"/>
                <w:szCs w:val="21"/>
                <w:lang w:val="en-US" w:eastAsia="zh-CN"/>
              </w:rPr>
              <w:t>7-10</w:t>
            </w:r>
            <w:r>
              <w:rPr>
                <w:rFonts w:hint="eastAsia" w:ascii="Times New Roman" w:hAnsi="Times New Roman" w:cs="Times New Roman"/>
                <w:b/>
                <w:bCs/>
                <w:sz w:val="21"/>
                <w:szCs w:val="21"/>
                <w:lang w:val="en-US" w:eastAsia="zh-CN"/>
              </w:rPr>
              <w:t xml:space="preserve">  废水污染物排放信息表（新建项目）</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2"/>
              <w:gridCol w:w="1335"/>
              <w:gridCol w:w="1406"/>
              <w:gridCol w:w="1896"/>
              <w:gridCol w:w="1573"/>
              <w:gridCol w:w="17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序号</w:t>
                  </w:r>
                </w:p>
              </w:tc>
              <w:tc>
                <w:tcPr>
                  <w:tcW w:w="135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排放口编号</w:t>
                  </w:r>
                </w:p>
              </w:tc>
              <w:tc>
                <w:tcPr>
                  <w:tcW w:w="142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污染物种类</w:t>
                  </w:r>
                </w:p>
              </w:tc>
              <w:tc>
                <w:tcPr>
                  <w:tcW w:w="192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排放浓度（mg/L）</w:t>
                  </w:r>
                </w:p>
              </w:tc>
              <w:tc>
                <w:tcPr>
                  <w:tcW w:w="1594"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日排放量（t/d）</w:t>
                  </w:r>
                </w:p>
              </w:tc>
              <w:tc>
                <w:tcPr>
                  <w:tcW w:w="175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b/>
                      <w:bCs/>
                      <w:kern w:val="28"/>
                      <w:sz w:val="21"/>
                      <w:szCs w:val="21"/>
                      <w:u w:val="none"/>
                      <w:lang w:val="en-US" w:eastAsia="zh-CN"/>
                    </w:rPr>
                  </w:pPr>
                  <w:r>
                    <w:rPr>
                      <w:rFonts w:hint="eastAsia" w:ascii="Times New Roman" w:hAnsi="Times New Roman" w:cs="Times New Roman"/>
                      <w:b/>
                      <w:bCs/>
                      <w:kern w:val="28"/>
                      <w:sz w:val="21"/>
                      <w:szCs w:val="21"/>
                      <w:u w:val="none"/>
                      <w:lang w:val="en-US" w:eastAsia="zh-CN"/>
                    </w:rPr>
                    <w:t>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1</w:t>
                  </w:r>
                </w:p>
              </w:tc>
              <w:tc>
                <w:tcPr>
                  <w:tcW w:w="135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42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COD</w:t>
                  </w:r>
                </w:p>
              </w:tc>
              <w:tc>
                <w:tcPr>
                  <w:tcW w:w="192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200</w:t>
                  </w:r>
                </w:p>
              </w:tc>
              <w:tc>
                <w:tcPr>
                  <w:tcW w:w="159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0.00053</w:t>
                  </w:r>
                </w:p>
              </w:tc>
              <w:tc>
                <w:tcPr>
                  <w:tcW w:w="175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2</w:t>
                  </w:r>
                </w:p>
              </w:tc>
              <w:tc>
                <w:tcPr>
                  <w:tcW w:w="135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42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BOD</w:t>
                  </w:r>
                  <w:r>
                    <w:rPr>
                      <w:rFonts w:hint="eastAsia" w:ascii="Times New Roman" w:hAnsi="Times New Roman" w:cs="Times New Roman"/>
                      <w:kern w:val="28"/>
                      <w:sz w:val="21"/>
                      <w:szCs w:val="21"/>
                      <w:u w:val="none"/>
                      <w:vertAlign w:val="subscript"/>
                      <w:lang w:val="en-US" w:eastAsia="zh-CN"/>
                    </w:rPr>
                    <w:t>5</w:t>
                  </w:r>
                </w:p>
              </w:tc>
              <w:tc>
                <w:tcPr>
                  <w:tcW w:w="192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120</w:t>
                  </w:r>
                </w:p>
              </w:tc>
              <w:tc>
                <w:tcPr>
                  <w:tcW w:w="159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0.00033</w:t>
                  </w:r>
                </w:p>
              </w:tc>
              <w:tc>
                <w:tcPr>
                  <w:tcW w:w="175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3</w:t>
                  </w:r>
                </w:p>
              </w:tc>
              <w:tc>
                <w:tcPr>
                  <w:tcW w:w="135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42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NH</w:t>
                  </w:r>
                  <w:r>
                    <w:rPr>
                      <w:rFonts w:hint="eastAsia" w:ascii="Times New Roman" w:hAnsi="Times New Roman" w:cs="Times New Roman"/>
                      <w:kern w:val="28"/>
                      <w:sz w:val="21"/>
                      <w:szCs w:val="21"/>
                      <w:u w:val="none"/>
                      <w:vertAlign w:val="subscript"/>
                      <w:lang w:val="en-US" w:eastAsia="zh-CN"/>
                    </w:rPr>
                    <w:t>3</w:t>
                  </w:r>
                  <w:r>
                    <w:rPr>
                      <w:rFonts w:hint="eastAsia" w:ascii="Times New Roman" w:hAnsi="Times New Roman" w:cs="Times New Roman"/>
                      <w:kern w:val="28"/>
                      <w:sz w:val="21"/>
                      <w:szCs w:val="21"/>
                      <w:u w:val="none"/>
                      <w:lang w:val="en-US" w:eastAsia="zh-CN"/>
                    </w:rPr>
                    <w:t>-N</w:t>
                  </w:r>
                </w:p>
              </w:tc>
              <w:tc>
                <w:tcPr>
                  <w:tcW w:w="192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20</w:t>
                  </w:r>
                </w:p>
              </w:tc>
              <w:tc>
                <w:tcPr>
                  <w:tcW w:w="159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0.000053</w:t>
                  </w:r>
                </w:p>
              </w:tc>
              <w:tc>
                <w:tcPr>
                  <w:tcW w:w="175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0.016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7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4</w:t>
                  </w:r>
                </w:p>
              </w:tc>
              <w:tc>
                <w:tcPr>
                  <w:tcW w:w="135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DW001</w:t>
                  </w:r>
                </w:p>
              </w:tc>
              <w:tc>
                <w:tcPr>
                  <w:tcW w:w="142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SS</w:t>
                  </w:r>
                </w:p>
              </w:tc>
              <w:tc>
                <w:tcPr>
                  <w:tcW w:w="1922"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150</w:t>
                  </w:r>
                </w:p>
              </w:tc>
              <w:tc>
                <w:tcPr>
                  <w:tcW w:w="159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0.0004</w:t>
                  </w:r>
                </w:p>
              </w:tc>
              <w:tc>
                <w:tcPr>
                  <w:tcW w:w="1759" w:type="dxa"/>
                  <w:tcBorders>
                    <w:tl2br w:val="nil"/>
                    <w:tr2bl w:val="nil"/>
                  </w:tcBorders>
                  <w:vAlign w:val="center"/>
                </w:tcPr>
                <w:p>
                  <w:pPr>
                    <w:adjustRightInd w:val="0"/>
                    <w:snapToGrid w:val="0"/>
                    <w:spacing w:line="240" w:lineRule="auto"/>
                    <w:jc w:val="center"/>
                    <w:rPr>
                      <w:rFonts w:hint="default"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031" w:type="dxa"/>
                  <w:gridSpan w:val="2"/>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全厂排放口合计</w:t>
                  </w:r>
                </w:p>
              </w:tc>
              <w:tc>
                <w:tcPr>
                  <w:tcW w:w="4941"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COD</w:t>
                  </w:r>
                </w:p>
              </w:tc>
              <w:tc>
                <w:tcPr>
                  <w:tcW w:w="1759"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031" w:type="dxa"/>
                  <w:gridSpan w:val="2"/>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p>
              </w:tc>
              <w:tc>
                <w:tcPr>
                  <w:tcW w:w="4941"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BOD</w:t>
                  </w:r>
                  <w:r>
                    <w:rPr>
                      <w:rFonts w:hint="eastAsia" w:ascii="Times New Roman" w:hAnsi="Times New Roman" w:cs="Times New Roman"/>
                      <w:kern w:val="28"/>
                      <w:sz w:val="21"/>
                      <w:szCs w:val="21"/>
                      <w:u w:val="none"/>
                      <w:vertAlign w:val="subscript"/>
                      <w:lang w:val="en-US" w:eastAsia="zh-CN"/>
                    </w:rPr>
                    <w:t>5</w:t>
                  </w:r>
                </w:p>
              </w:tc>
              <w:tc>
                <w:tcPr>
                  <w:tcW w:w="1759"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031" w:type="dxa"/>
                  <w:gridSpan w:val="2"/>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p>
              </w:tc>
              <w:tc>
                <w:tcPr>
                  <w:tcW w:w="4941"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NH</w:t>
                  </w:r>
                  <w:r>
                    <w:rPr>
                      <w:rFonts w:hint="eastAsia" w:ascii="Times New Roman" w:hAnsi="Times New Roman" w:cs="Times New Roman"/>
                      <w:kern w:val="28"/>
                      <w:sz w:val="21"/>
                      <w:szCs w:val="21"/>
                      <w:u w:val="none"/>
                      <w:vertAlign w:val="subscript"/>
                      <w:lang w:val="en-US" w:eastAsia="zh-CN"/>
                    </w:rPr>
                    <w:t>3</w:t>
                  </w:r>
                  <w:r>
                    <w:rPr>
                      <w:rFonts w:hint="eastAsia" w:ascii="Times New Roman" w:hAnsi="Times New Roman" w:cs="Times New Roman"/>
                      <w:kern w:val="28"/>
                      <w:sz w:val="21"/>
                      <w:szCs w:val="21"/>
                      <w:u w:val="none"/>
                      <w:lang w:val="en-US" w:eastAsia="zh-CN"/>
                    </w:rPr>
                    <w:t>-N</w:t>
                  </w:r>
                </w:p>
              </w:tc>
              <w:tc>
                <w:tcPr>
                  <w:tcW w:w="1759"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0.016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031" w:type="dxa"/>
                  <w:gridSpan w:val="2"/>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p>
              </w:tc>
              <w:tc>
                <w:tcPr>
                  <w:tcW w:w="4941"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28"/>
                      <w:sz w:val="21"/>
                      <w:szCs w:val="21"/>
                      <w:u w:val="none"/>
                      <w:lang w:val="en-US" w:eastAsia="zh-CN"/>
                    </w:rPr>
                    <w:t>SS</w:t>
                  </w:r>
                </w:p>
              </w:tc>
              <w:tc>
                <w:tcPr>
                  <w:tcW w:w="1759" w:type="dxa"/>
                  <w:tcBorders>
                    <w:tl2br w:val="nil"/>
                    <w:tr2bl w:val="nil"/>
                  </w:tcBorders>
                  <w:vAlign w:val="center"/>
                </w:tcPr>
                <w:p>
                  <w:pPr>
                    <w:adjustRightInd w:val="0"/>
                    <w:snapToGrid w:val="0"/>
                    <w:spacing w:line="240" w:lineRule="auto"/>
                    <w:jc w:val="center"/>
                    <w:rPr>
                      <w:rFonts w:hint="eastAsia" w:ascii="Times New Roman" w:hAnsi="Times New Roman" w:cs="Times New Roman"/>
                      <w:kern w:val="28"/>
                      <w:sz w:val="21"/>
                      <w:szCs w:val="21"/>
                      <w:u w:val="none"/>
                      <w:lang w:val="en-US" w:eastAsia="zh-CN"/>
                    </w:rPr>
                  </w:pPr>
                  <w:r>
                    <w:rPr>
                      <w:rFonts w:hint="eastAsia" w:ascii="Times New Roman" w:hAnsi="Times New Roman" w:cs="Times New Roman"/>
                      <w:kern w:val="0"/>
                      <w:sz w:val="21"/>
                      <w:szCs w:val="21"/>
                      <w:lang w:val="en-US" w:eastAsia="zh-CN"/>
                    </w:rPr>
                    <w:t>0.12</w:t>
                  </w:r>
                </w:p>
              </w:tc>
            </w:tr>
          </w:tbl>
          <w:p>
            <w:pPr>
              <w:pStyle w:val="38"/>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综上所述，采取上述措施后，本项目生活废水可以做到达标排放，对津市高新区工业污水处理厂与澧水的影响均较小。</w:t>
            </w:r>
          </w:p>
          <w:p>
            <w:pPr>
              <w:pStyle w:val="38"/>
              <w:rPr>
                <w:rFonts w:hint="eastAsia" w:ascii="Times New Roman" w:hAnsi="Times New Roman" w:cs="Times New Roman"/>
                <w:sz w:val="24"/>
                <w:lang w:val="en-US" w:eastAsia="zh-CN"/>
              </w:rPr>
            </w:pPr>
            <w:r>
              <w:rPr>
                <w:rFonts w:hint="eastAsia" w:ascii="Times New Roman" w:cs="Times New Roman"/>
                <w:sz w:val="24"/>
                <w:lang w:val="en-US" w:eastAsia="zh-CN"/>
              </w:rPr>
              <w:t>3、</w:t>
            </w:r>
            <w:r>
              <w:rPr>
                <w:rFonts w:hint="eastAsia" w:ascii="Times New Roman" w:hAnsi="Times New Roman" w:cs="Times New Roman"/>
                <w:sz w:val="24"/>
                <w:lang w:val="en-US" w:eastAsia="zh-CN"/>
              </w:rPr>
              <w:t>地下水环境影响分析</w:t>
            </w:r>
            <w:bookmarkEnd w:id="43"/>
            <w:bookmarkEnd w:id="44"/>
            <w:bookmarkEnd w:id="45"/>
            <w:bookmarkEnd w:id="46"/>
          </w:p>
          <w:p>
            <w:pPr>
              <w:pStyle w:val="38"/>
              <w:rPr>
                <w:rFonts w:hint="default" w:ascii="Times New Roman" w:hAnsi="Times New Roman" w:cs="Times New Roman"/>
                <w:sz w:val="24"/>
                <w:lang w:val="en-US" w:eastAsia="zh-CN"/>
              </w:rPr>
            </w:pPr>
            <w:r>
              <w:rPr>
                <w:rFonts w:hint="eastAsia" w:ascii="Times New Roman" w:cs="Times New Roman"/>
                <w:sz w:val="24"/>
                <w:lang w:val="en-US" w:eastAsia="zh-CN"/>
              </w:rPr>
              <w:t>（1）</w:t>
            </w:r>
            <w:r>
              <w:rPr>
                <w:rFonts w:hint="default" w:ascii="Times New Roman" w:hAnsi="Times New Roman" w:cs="Times New Roman"/>
                <w:sz w:val="24"/>
                <w:lang w:val="en-US" w:eastAsia="zh-CN"/>
              </w:rPr>
              <w:t>地下水污染途径</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1）原辅材料</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本项目使用的原辅材料中豆油储存于原辅材料仓库中，如豆油桶发生破裂会导致豆油随地表土壤渗入地下水，从而对地下水环境造成污染。</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2）废水</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运营期废水为生活废水，生活废水经隔油池及化粪池处理后排入高新区市政污水管网，本项目不抽取或注入地下水，不破坏含水层，不会引起地下水流场或地下水水位的变化，不会导致因地下水位的变化而产生的环境水文地质问题。</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生活废水的处理在做好防渗处理的隔油池及化粪池中进行，不直接和地表、土壤联系，不会通过地表水和地下水的水力联系而进入地下水，从而引起地下水水质的变化，项目废水对区域内地下水的水质影响也很微弱，不会改变区域地下水的现状使用功能。</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3）固废</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运营期产生的固废可能对地下水造成污染的主要为危险废物暂存间内废机油及实验室废液，如废机油储存设施及实验室废液收集设施发生破裂或泄露，上述危险废物会随地表土壤渗入地下水环境，造成区域内地下水污染。</w:t>
            </w:r>
          </w:p>
          <w:p>
            <w:pPr>
              <w:pStyle w:val="38"/>
              <w:rPr>
                <w:rFonts w:hint="eastAsia" w:ascii="Times New Roman" w:hAnsi="Times New Roman" w:cs="Times New Roman"/>
                <w:sz w:val="24"/>
                <w:lang w:val="en-US" w:eastAsia="zh-CN"/>
              </w:rPr>
            </w:pPr>
            <w:r>
              <w:rPr>
                <w:rFonts w:hint="eastAsia" w:ascii="Times New Roman" w:cs="Times New Roman"/>
                <w:sz w:val="24"/>
                <w:lang w:val="en-US" w:eastAsia="zh-CN"/>
              </w:rPr>
              <w:t>（2）</w:t>
            </w:r>
            <w:r>
              <w:rPr>
                <w:rFonts w:hint="eastAsia" w:ascii="Times New Roman" w:hAnsi="Times New Roman" w:cs="Times New Roman"/>
                <w:sz w:val="24"/>
                <w:lang w:val="en-US" w:eastAsia="zh-CN"/>
              </w:rPr>
              <w:t>地下水污染防治措施</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参照《环境影响评价技术导则—地下水环境》（HJ610-2016），将本项目厂区分为一般防渗区和简单防渗区。</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一般防渗区：主要为危险废物暂存间、隔油池、化粪池等，一般防渗区应采用能与1.5</w:t>
            </w:r>
            <w:r>
              <w:rPr>
                <w:rFonts w:hint="default" w:ascii="Times New Roman" w:hAnsi="Times New Roman" w:cs="Times New Roman"/>
                <w:sz w:val="24"/>
                <w:lang w:val="en-US" w:eastAsia="zh-CN"/>
              </w:rPr>
              <w:t>m</w:t>
            </w:r>
            <w:r>
              <w:rPr>
                <w:rFonts w:hint="eastAsia" w:ascii="Times New Roman" w:hAnsi="Times New Roman" w:cs="Times New Roman"/>
                <w:sz w:val="24"/>
                <w:lang w:val="en-US" w:eastAsia="zh-CN"/>
              </w:rPr>
              <w:t>厚粘土层（渗透系数</w:t>
            </w:r>
            <w:r>
              <w:rPr>
                <w:rFonts w:hint="default" w:ascii="Times New Roman" w:hAnsi="Times New Roman" w:cs="Times New Roman"/>
                <w:sz w:val="24"/>
                <w:lang w:val="en-US" w:eastAsia="zh-CN"/>
              </w:rPr>
              <w:t>1.0×10</w:t>
            </w:r>
            <w:r>
              <w:rPr>
                <w:rFonts w:hint="default" w:ascii="Times New Roman" w:hAnsi="Times New Roman" w:cs="Times New Roman"/>
                <w:sz w:val="24"/>
                <w:vertAlign w:val="superscript"/>
                <w:lang w:val="en-US" w:eastAsia="zh-CN"/>
              </w:rPr>
              <w:t>-7</w:t>
            </w:r>
            <w:r>
              <w:rPr>
                <w:rFonts w:hint="default" w:ascii="Times New Roman" w:hAnsi="Times New Roman" w:cs="Times New Roman"/>
                <w:sz w:val="24"/>
                <w:lang w:val="en-US" w:eastAsia="zh-CN"/>
              </w:rPr>
              <w:t>cm/s</w:t>
            </w:r>
            <w:r>
              <w:rPr>
                <w:rFonts w:hint="eastAsia" w:ascii="Times New Roman" w:hAnsi="Times New Roman" w:cs="Times New Roman"/>
                <w:sz w:val="24"/>
                <w:lang w:val="en-US" w:eastAsia="zh-CN"/>
              </w:rPr>
              <w:t>）等效的防渗材料做好相应防渗措施。</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简单防渗区：主要包括原辅材料仓库、厂区道路、办公区等，上述区域由于基本没有污染，且场地粘土层隔水性能较好，按常规工程设计和建设，采取地面水泥硬化措施。</w:t>
            </w:r>
          </w:p>
          <w:p>
            <w:pPr>
              <w:pStyle w:val="38"/>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本项目防渗分区划分及防渗等级见表</w:t>
            </w:r>
            <w:r>
              <w:rPr>
                <w:rFonts w:hint="eastAsia" w:ascii="Times New Roman" w:cs="Times New Roman"/>
                <w:sz w:val="24"/>
                <w:lang w:val="en-US" w:eastAsia="zh-CN"/>
              </w:rPr>
              <w:t>7-11</w:t>
            </w:r>
            <w:r>
              <w:rPr>
                <w:rFonts w:hint="eastAsia" w:ascii="Times New Roman" w:hAnsi="Times New Roman" w:cs="Times New Roman"/>
                <w:sz w:val="24"/>
                <w:lang w:val="en-US" w:eastAsia="zh-CN"/>
              </w:rPr>
              <w:t>。</w:t>
            </w:r>
          </w:p>
          <w:p>
            <w:pPr>
              <w:pStyle w:val="38"/>
              <w:ind w:left="0" w:leftChars="0" w:firstLine="0" w:firstLineChars="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eastAsia" w:ascii="Times New Roman" w:cs="Times New Roman"/>
                <w:b/>
                <w:bCs/>
                <w:sz w:val="21"/>
                <w:szCs w:val="21"/>
                <w:lang w:val="en-US" w:eastAsia="zh-CN"/>
              </w:rPr>
              <w:t>7-11</w:t>
            </w:r>
            <w:r>
              <w:rPr>
                <w:rFonts w:hint="eastAsia" w:ascii="Times New Roman" w:hAnsi="Times New Roman" w:cs="Times New Roman"/>
                <w:b/>
                <w:bCs/>
                <w:sz w:val="21"/>
                <w:szCs w:val="21"/>
                <w:lang w:val="en-US" w:eastAsia="zh-CN"/>
              </w:rPr>
              <w:t xml:space="preserve">  本项目全厂防渗分区划分及防渗等级一览表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83"/>
              <w:gridCol w:w="3025"/>
              <w:gridCol w:w="2154"/>
              <w:gridCol w:w="21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9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lang w:val="en-US" w:eastAsia="zh-CN"/>
                    </w:rPr>
                  </w:pPr>
                  <w:r>
                    <w:rPr>
                      <w:rFonts w:hint="default" w:ascii="Times New Roman" w:hAnsi="Times New Roman" w:cs="Times New Roman"/>
                      <w:b/>
                      <w:bCs/>
                      <w:kern w:val="28"/>
                      <w:sz w:val="21"/>
                      <w:szCs w:val="21"/>
                      <w:u w:val="none"/>
                      <w:lang w:val="en-US" w:eastAsia="zh-CN"/>
                    </w:rPr>
                    <w:t>分区</w:t>
                  </w:r>
                </w:p>
              </w:tc>
              <w:tc>
                <w:tcPr>
                  <w:tcW w:w="306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lang w:val="en-US" w:eastAsia="zh-CN"/>
                    </w:rPr>
                  </w:pPr>
                  <w:r>
                    <w:rPr>
                      <w:rFonts w:hint="default" w:ascii="Times New Roman" w:hAnsi="Times New Roman" w:cs="Times New Roman"/>
                      <w:b/>
                      <w:bCs/>
                      <w:kern w:val="28"/>
                      <w:sz w:val="21"/>
                      <w:szCs w:val="21"/>
                      <w:u w:val="none"/>
                      <w:lang w:val="en-US" w:eastAsia="zh-CN"/>
                    </w:rPr>
                    <w:t>定义</w:t>
                  </w:r>
                </w:p>
              </w:tc>
              <w:tc>
                <w:tcPr>
                  <w:tcW w:w="218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lang w:val="en-US" w:eastAsia="zh-CN"/>
                    </w:rPr>
                  </w:pPr>
                  <w:r>
                    <w:rPr>
                      <w:rFonts w:hint="default" w:ascii="Times New Roman" w:hAnsi="Times New Roman" w:cs="Times New Roman"/>
                      <w:b/>
                      <w:bCs/>
                      <w:kern w:val="28"/>
                      <w:sz w:val="21"/>
                      <w:szCs w:val="21"/>
                      <w:u w:val="none"/>
                      <w:lang w:val="en-US" w:eastAsia="zh-CN"/>
                    </w:rPr>
                    <w:t>厂内分区</w:t>
                  </w:r>
                </w:p>
              </w:tc>
              <w:tc>
                <w:tcPr>
                  <w:tcW w:w="218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
                      <w:bCs/>
                      <w:kern w:val="28"/>
                      <w:sz w:val="21"/>
                      <w:szCs w:val="21"/>
                      <w:u w:val="none"/>
                      <w:lang w:val="en-US" w:eastAsia="zh-CN"/>
                    </w:rPr>
                  </w:pPr>
                  <w:r>
                    <w:rPr>
                      <w:rFonts w:hint="default" w:ascii="Times New Roman" w:hAnsi="Times New Roman" w:cs="Times New Roman"/>
                      <w:b/>
                      <w:bCs/>
                      <w:kern w:val="28"/>
                      <w:sz w:val="21"/>
                      <w:szCs w:val="21"/>
                      <w:u w:val="none"/>
                      <w:lang w:val="en-US" w:eastAsia="zh-CN"/>
                    </w:rPr>
                    <w:t>防渗等级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9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简单防渗区</w:t>
                  </w:r>
                </w:p>
              </w:tc>
              <w:tc>
                <w:tcPr>
                  <w:tcW w:w="306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无毒性或毒性小的区域</w:t>
                  </w:r>
                </w:p>
              </w:tc>
              <w:tc>
                <w:tcPr>
                  <w:tcW w:w="218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原辅材料仓库、厂区道路、办公区</w:t>
                  </w:r>
                </w:p>
              </w:tc>
              <w:tc>
                <w:tcPr>
                  <w:tcW w:w="218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地面水泥硬化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9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一般防渗区</w:t>
                  </w:r>
                </w:p>
              </w:tc>
              <w:tc>
                <w:tcPr>
                  <w:tcW w:w="306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危害性较大、毒性较大的区域</w:t>
                  </w:r>
                </w:p>
              </w:tc>
              <w:tc>
                <w:tcPr>
                  <w:tcW w:w="218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kern w:val="28"/>
                      <w:sz w:val="21"/>
                      <w:szCs w:val="21"/>
                      <w:u w:val="none"/>
                      <w:lang w:val="en-US" w:eastAsia="zh-CN"/>
                    </w:rPr>
                    <w:t>危险废物暂存间、隔油池、化粪池等</w:t>
                  </w:r>
                </w:p>
              </w:tc>
              <w:tc>
                <w:tcPr>
                  <w:tcW w:w="218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kern w:val="28"/>
                      <w:sz w:val="21"/>
                      <w:szCs w:val="21"/>
                      <w:u w:val="none"/>
                      <w:lang w:val="en-US" w:eastAsia="zh-CN"/>
                    </w:rPr>
                  </w:pPr>
                  <w:r>
                    <w:rPr>
                      <w:rFonts w:hint="default" w:ascii="Times New Roman" w:hAnsi="Times New Roman" w:cs="Times New Roman"/>
                      <w:snapToGrid w:val="0"/>
                      <w:kern w:val="0"/>
                      <w:sz w:val="21"/>
                      <w:szCs w:val="21"/>
                      <w:lang w:val="en-US" w:eastAsia="zh-CN" w:bidi="ar-SA"/>
                    </w:rPr>
                    <w:t>渗性能不低于1.0×10</w:t>
                  </w:r>
                  <w:r>
                    <w:rPr>
                      <w:rFonts w:hint="default" w:ascii="Times New Roman" w:hAnsi="Times New Roman" w:cs="Times New Roman"/>
                      <w:snapToGrid w:val="0"/>
                      <w:kern w:val="0"/>
                      <w:sz w:val="21"/>
                      <w:szCs w:val="21"/>
                      <w:vertAlign w:val="superscript"/>
                      <w:lang w:val="en-US" w:eastAsia="zh-CN" w:bidi="ar-SA"/>
                    </w:rPr>
                    <w:t>-7</w:t>
                  </w:r>
                  <w:r>
                    <w:rPr>
                      <w:rFonts w:hint="default" w:ascii="Times New Roman" w:hAnsi="Times New Roman" w:cs="Times New Roman"/>
                      <w:snapToGrid w:val="0"/>
                      <w:kern w:val="0"/>
                      <w:sz w:val="21"/>
                      <w:szCs w:val="21"/>
                      <w:lang w:val="en-US" w:eastAsia="zh-CN" w:bidi="ar-SA"/>
                    </w:rPr>
                    <w:t>的防渗材料</w:t>
                  </w:r>
                </w:p>
              </w:tc>
            </w:tr>
          </w:tbl>
          <w:p>
            <w:pPr>
              <w:spacing w:line="360" w:lineRule="auto"/>
              <w:ind w:firstLine="480" w:firstLineChars="200"/>
              <w:rPr>
                <w:sz w:val="24"/>
              </w:rPr>
            </w:pPr>
            <w:r>
              <w:rPr>
                <w:rFonts w:hint="eastAsia"/>
                <w:sz w:val="24"/>
              </w:rPr>
              <w:t>4</w:t>
            </w:r>
            <w:r>
              <w:rPr>
                <w:sz w:val="24"/>
              </w:rPr>
              <w:t>、噪声环境影响分析</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（1）噪声源强分析</w:t>
            </w:r>
          </w:p>
          <w:p>
            <w:pPr>
              <w:spacing w:line="360" w:lineRule="auto"/>
              <w:ind w:firstLine="480" w:firstLineChars="200"/>
              <w:rPr>
                <w:rFonts w:hAnsi="宋体"/>
                <w:color w:val="auto"/>
                <w:sz w:val="24"/>
                <w:szCs w:val="24"/>
              </w:rPr>
            </w:pPr>
            <w:r>
              <w:rPr>
                <w:rFonts w:hint="default" w:hAnsi="宋体"/>
                <w:color w:val="auto"/>
                <w:sz w:val="24"/>
                <w:szCs w:val="24"/>
                <w:lang w:val="en-US" w:eastAsia="zh-CN"/>
              </w:rPr>
              <w:t>本项目营运后产生的噪声主要是设备运行时产生的机械噪声</w:t>
            </w:r>
            <w:r>
              <w:rPr>
                <w:rFonts w:hint="eastAsia" w:hAnsi="宋体"/>
                <w:color w:val="auto"/>
                <w:sz w:val="24"/>
                <w:szCs w:val="24"/>
                <w:lang w:val="en-US" w:eastAsia="zh-CN"/>
              </w:rPr>
              <w:t>。通过</w:t>
            </w:r>
            <w:r>
              <w:rPr>
                <w:rFonts w:hint="eastAsia" w:hAnsi="宋体"/>
                <w:color w:val="auto"/>
                <w:sz w:val="24"/>
                <w:szCs w:val="24"/>
              </w:rPr>
              <w:t>工程分析可知，噪声源强在</w:t>
            </w:r>
            <w:r>
              <w:rPr>
                <w:rFonts w:hint="eastAsia" w:hAnsi="宋体"/>
                <w:color w:val="auto"/>
                <w:sz w:val="24"/>
                <w:szCs w:val="24"/>
                <w:lang w:val="en-US" w:eastAsia="zh-CN"/>
              </w:rPr>
              <w:t>75</w:t>
            </w:r>
            <w:r>
              <w:rPr>
                <w:rFonts w:hint="eastAsia" w:hAnsi="宋体"/>
                <w:color w:val="auto"/>
                <w:sz w:val="24"/>
                <w:szCs w:val="24"/>
              </w:rPr>
              <w:t>~</w:t>
            </w:r>
            <w:r>
              <w:rPr>
                <w:rFonts w:hint="eastAsia" w:hAnsi="宋体"/>
                <w:color w:val="auto"/>
                <w:sz w:val="24"/>
                <w:szCs w:val="24"/>
                <w:lang w:val="en-US" w:eastAsia="zh-CN"/>
              </w:rPr>
              <w:t>90</w:t>
            </w:r>
            <w:r>
              <w:rPr>
                <w:rFonts w:hint="eastAsia" w:hAnsi="宋体"/>
                <w:color w:val="auto"/>
                <w:sz w:val="24"/>
                <w:szCs w:val="24"/>
              </w:rPr>
              <w:t>dB(A)。</w:t>
            </w:r>
          </w:p>
          <w:p>
            <w:pPr>
              <w:spacing w:line="360" w:lineRule="auto"/>
              <w:ind w:firstLine="480" w:firstLineChars="200"/>
              <w:rPr>
                <w:rFonts w:hint="eastAsia" w:hAnsi="宋体"/>
                <w:color w:val="auto"/>
                <w:sz w:val="24"/>
                <w:szCs w:val="24"/>
              </w:rPr>
            </w:pPr>
            <w:r>
              <w:rPr>
                <w:rFonts w:hint="eastAsia" w:hAnsi="宋体"/>
                <w:color w:val="auto"/>
                <w:sz w:val="24"/>
                <w:szCs w:val="24"/>
              </w:rPr>
              <w:t>本项目通过选用低噪声设备、设备合理布局并安装在室内、采用减振基础、利用厂房作为声屏障等措施降低噪声排放，噪声可下降20dB(A)以上。</w:t>
            </w:r>
            <w:r>
              <w:rPr>
                <w:rFonts w:hint="default" w:hAnsi="宋体"/>
                <w:color w:val="auto"/>
                <w:sz w:val="24"/>
                <w:szCs w:val="24"/>
              </w:rPr>
              <w:t>主要产生噪声的设备及防治措施见下表</w:t>
            </w:r>
            <w:r>
              <w:rPr>
                <w:rFonts w:hint="eastAsia" w:hAnsi="宋体"/>
                <w:color w:val="auto"/>
                <w:sz w:val="24"/>
                <w:szCs w:val="24"/>
              </w:rPr>
              <w:t>见下表。</w:t>
            </w:r>
          </w:p>
          <w:p>
            <w:pPr>
              <w:spacing w:line="360" w:lineRule="auto"/>
              <w:jc w:val="center"/>
              <w:rPr>
                <w:b/>
                <w:color w:val="auto"/>
                <w:sz w:val="21"/>
                <w:szCs w:val="21"/>
              </w:rPr>
            </w:pPr>
            <w:r>
              <w:rPr>
                <w:b/>
                <w:color w:val="auto"/>
                <w:sz w:val="21"/>
                <w:szCs w:val="21"/>
              </w:rPr>
              <w:t>表</w:t>
            </w:r>
            <w:r>
              <w:rPr>
                <w:rFonts w:hint="eastAsia"/>
                <w:b/>
                <w:color w:val="auto"/>
                <w:sz w:val="21"/>
                <w:szCs w:val="21"/>
                <w:lang w:val="en-US" w:eastAsia="zh-CN"/>
              </w:rPr>
              <w:t>7-12</w:t>
            </w:r>
            <w:r>
              <w:rPr>
                <w:rFonts w:hint="eastAsia"/>
                <w:b/>
                <w:color w:val="auto"/>
                <w:sz w:val="21"/>
                <w:szCs w:val="21"/>
              </w:rPr>
              <w:t xml:space="preserve"> </w:t>
            </w:r>
            <w:r>
              <w:rPr>
                <w:rFonts w:hint="eastAsia"/>
                <w:b/>
                <w:color w:val="auto"/>
                <w:sz w:val="21"/>
                <w:szCs w:val="21"/>
                <w:lang w:val="en-US" w:eastAsia="zh-CN"/>
              </w:rPr>
              <w:t xml:space="preserve"> </w:t>
            </w:r>
            <w:r>
              <w:rPr>
                <w:b/>
                <w:color w:val="auto"/>
                <w:sz w:val="21"/>
                <w:szCs w:val="21"/>
              </w:rPr>
              <w:t>主要噪声源强</w:t>
            </w:r>
            <w:r>
              <w:rPr>
                <w:rFonts w:hint="eastAsia"/>
                <w:b/>
                <w:color w:val="auto"/>
                <w:sz w:val="21"/>
                <w:szCs w:val="21"/>
              </w:rPr>
              <w:t>及削减量表</w:t>
            </w:r>
          </w:p>
          <w:tbl>
            <w:tblPr>
              <w:tblStyle w:val="23"/>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959"/>
              <w:gridCol w:w="727"/>
              <w:gridCol w:w="1678"/>
              <w:gridCol w:w="1812"/>
              <w:gridCol w:w="1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23" w:line="240" w:lineRule="auto"/>
                    <w:ind w:right="9"/>
                    <w:jc w:val="center"/>
                    <w:rPr>
                      <w:rFonts w:hint="default" w:ascii="宋体" w:hAnsi="宋体" w:eastAsia="宋体" w:cs="宋体"/>
                      <w:sz w:val="21"/>
                      <w:szCs w:val="21"/>
                    </w:rPr>
                  </w:pPr>
                  <w:r>
                    <w:rPr>
                      <w:rFonts w:hint="default" w:ascii="宋体" w:hAnsi="宋体" w:eastAsia="宋体" w:cs="宋体"/>
                      <w:b/>
                      <w:bCs/>
                      <w:sz w:val="21"/>
                      <w:szCs w:val="21"/>
                    </w:rPr>
                    <w:t>序号</w:t>
                  </w:r>
                </w:p>
              </w:tc>
              <w:tc>
                <w:tcPr>
                  <w:tcW w:w="1926" w:type="dxa"/>
                  <w:tcBorders>
                    <w:tl2br w:val="nil"/>
                    <w:tr2bl w:val="nil"/>
                  </w:tcBorders>
                  <w:vAlign w:val="center"/>
                </w:tcPr>
                <w:p>
                  <w:pPr>
                    <w:pStyle w:val="65"/>
                    <w:spacing w:before="23" w:line="240" w:lineRule="auto"/>
                    <w:ind w:right="1"/>
                    <w:jc w:val="center"/>
                    <w:rPr>
                      <w:rFonts w:hint="default" w:ascii="宋体" w:hAnsi="宋体" w:eastAsia="宋体" w:cs="宋体"/>
                      <w:sz w:val="21"/>
                      <w:szCs w:val="21"/>
                    </w:rPr>
                  </w:pPr>
                  <w:r>
                    <w:rPr>
                      <w:rFonts w:hint="default" w:ascii="宋体" w:hAnsi="宋体" w:eastAsia="宋体" w:cs="宋体"/>
                      <w:b/>
                      <w:bCs/>
                      <w:sz w:val="21"/>
                      <w:szCs w:val="21"/>
                    </w:rPr>
                    <w:t>设备</w:t>
                  </w:r>
                </w:p>
              </w:tc>
              <w:tc>
                <w:tcPr>
                  <w:tcW w:w="715" w:type="dxa"/>
                  <w:tcBorders>
                    <w:tl2br w:val="nil"/>
                    <w:tr2bl w:val="nil"/>
                  </w:tcBorders>
                  <w:vAlign w:val="center"/>
                </w:tcPr>
                <w:p>
                  <w:pPr>
                    <w:pStyle w:val="65"/>
                    <w:spacing w:before="23" w:line="240" w:lineRule="auto"/>
                    <w:ind w:right="1"/>
                    <w:jc w:val="center"/>
                    <w:rPr>
                      <w:rFonts w:hint="default" w:ascii="宋体" w:hAnsi="宋体" w:eastAsia="宋体" w:cs="宋体"/>
                      <w:b/>
                      <w:bCs/>
                      <w:sz w:val="21"/>
                      <w:szCs w:val="21"/>
                    </w:rPr>
                  </w:pPr>
                  <w:r>
                    <w:rPr>
                      <w:rFonts w:hint="default" w:ascii="宋体" w:hAnsi="宋体" w:eastAsia="宋体" w:cs="宋体"/>
                      <w:b/>
                      <w:bCs/>
                      <w:sz w:val="21"/>
                      <w:szCs w:val="21"/>
                    </w:rPr>
                    <w:t>台数</w:t>
                  </w:r>
                </w:p>
              </w:tc>
              <w:tc>
                <w:tcPr>
                  <w:tcW w:w="1650" w:type="dxa"/>
                  <w:tcBorders>
                    <w:tl2br w:val="nil"/>
                    <w:tr2bl w:val="nil"/>
                  </w:tcBorders>
                  <w:vAlign w:val="center"/>
                </w:tcPr>
                <w:p>
                  <w:pPr>
                    <w:pStyle w:val="65"/>
                    <w:spacing w:before="23" w:line="240" w:lineRule="auto"/>
                    <w:ind w:right="1"/>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声压级</w:t>
                  </w:r>
                  <w:r>
                    <w:rPr>
                      <w:rFonts w:hint="eastAsia" w:ascii="宋体" w:hAnsi="宋体" w:eastAsia="宋体" w:cs="宋体"/>
                      <w:b/>
                      <w:bCs/>
                      <w:sz w:val="21"/>
                      <w:szCs w:val="21"/>
                      <w:lang w:val="en-US" w:eastAsia="zh-CN"/>
                    </w:rPr>
                    <w:t>dB（A）</w:t>
                  </w:r>
                </w:p>
              </w:tc>
              <w:tc>
                <w:tcPr>
                  <w:tcW w:w="1782" w:type="dxa"/>
                  <w:tcBorders>
                    <w:tl2br w:val="nil"/>
                    <w:tr2bl w:val="nil"/>
                  </w:tcBorders>
                  <w:vAlign w:val="center"/>
                </w:tcPr>
                <w:p>
                  <w:pPr>
                    <w:pStyle w:val="65"/>
                    <w:spacing w:before="23" w:line="240" w:lineRule="auto"/>
                    <w:ind w:left="9" w:right="0"/>
                    <w:jc w:val="center"/>
                    <w:rPr>
                      <w:rFonts w:hint="default" w:ascii="宋体" w:hAnsi="宋体" w:eastAsia="宋体" w:cs="宋体"/>
                      <w:sz w:val="21"/>
                      <w:szCs w:val="21"/>
                    </w:rPr>
                  </w:pPr>
                  <w:r>
                    <w:rPr>
                      <w:rFonts w:hint="default" w:ascii="宋体" w:hAnsi="宋体" w:eastAsia="宋体" w:cs="宋体"/>
                      <w:b/>
                      <w:bCs/>
                      <w:sz w:val="21"/>
                      <w:szCs w:val="21"/>
                    </w:rPr>
                    <w:t>治理措施</w:t>
                  </w:r>
                </w:p>
              </w:tc>
              <w:tc>
                <w:tcPr>
                  <w:tcW w:w="1740" w:type="dxa"/>
                  <w:tcBorders>
                    <w:tl2br w:val="nil"/>
                    <w:tr2bl w:val="nil"/>
                  </w:tcBorders>
                  <w:vAlign w:val="center"/>
                </w:tcPr>
                <w:p>
                  <w:pPr>
                    <w:pStyle w:val="65"/>
                    <w:spacing w:before="23" w:line="240" w:lineRule="auto"/>
                    <w:ind w:left="9" w:right="0"/>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消减效果</w:t>
                  </w:r>
                  <w:r>
                    <w:rPr>
                      <w:rFonts w:hint="eastAsia" w:ascii="宋体" w:hAnsi="宋体" w:eastAsia="宋体" w:cs="宋体"/>
                      <w:b/>
                      <w:bCs/>
                      <w:sz w:val="21"/>
                      <w:szCs w:val="21"/>
                      <w:lang w:val="en-US" w:eastAsia="zh-CN"/>
                    </w:rPr>
                    <w:t>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rPr>
                  </w:pPr>
                  <w:r>
                    <w:rPr>
                      <w:rFonts w:ascii="Times New Roman"/>
                      <w:sz w:val="21"/>
                    </w:rPr>
                    <w:t>1</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风机</w:t>
                  </w:r>
                </w:p>
              </w:tc>
              <w:tc>
                <w:tcPr>
                  <w:tcW w:w="715" w:type="dxa"/>
                  <w:tcBorders>
                    <w:tl2br w:val="nil"/>
                    <w:tr2bl w:val="nil"/>
                  </w:tcBorders>
                  <w:vAlign w:val="center"/>
                </w:tcPr>
                <w:p>
                  <w:pPr>
                    <w:pStyle w:val="65"/>
                    <w:spacing w:before="8" w:line="240" w:lineRule="auto"/>
                    <w:ind w:right="0"/>
                    <w:jc w:val="center"/>
                    <w:rPr>
                      <w:rFonts w:hint="default" w:ascii="Times New Roman"/>
                      <w:sz w:val="21"/>
                    </w:rPr>
                  </w:pPr>
                  <w:r>
                    <w:rPr>
                      <w:rFonts w:hint="eastAsia" w:ascii="Times New Roman"/>
                      <w:sz w:val="21"/>
                      <w:lang w:val="en-US" w:eastAsia="zh-CN"/>
                    </w:rPr>
                    <w:t>12</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90</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default" w:ascii="Times New Roman"/>
                      <w:sz w:val="21"/>
                      <w:lang w:val="en-US"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2</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刮板输送机</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3</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3</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自清式提升机</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5</w:t>
                  </w:r>
                  <w:r>
                    <w:rPr>
                      <w:rFonts w:hint="default" w:ascii="Times New Roman"/>
                      <w:sz w:val="21"/>
                    </w:rPr>
                    <w:t>台</w:t>
                  </w:r>
                </w:p>
              </w:tc>
              <w:tc>
                <w:tcPr>
                  <w:tcW w:w="1650" w:type="dxa"/>
                  <w:tcBorders>
                    <w:tl2br w:val="nil"/>
                    <w:tr2bl w:val="nil"/>
                  </w:tcBorders>
                  <w:vAlign w:val="center"/>
                </w:tcPr>
                <w:p>
                  <w:pPr>
                    <w:spacing w:before="8" w:line="240" w:lineRule="auto"/>
                    <w:ind w:right="0" w:rightChars="0"/>
                    <w:jc w:val="center"/>
                    <w:rPr>
                      <w:rFonts w:ascii="Times New Roman"/>
                      <w:sz w:val="21"/>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eastAsia="zh-CN"/>
                    </w:rPr>
                  </w:pPr>
                  <w:r>
                    <w:rPr>
                      <w:rFonts w:hint="eastAsia" w:ascii="Times New Roman"/>
                      <w:sz w:val="21"/>
                      <w:lang w:val="en-US" w:eastAsia="zh-CN"/>
                    </w:rPr>
                    <w:t>4</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刮板输送机</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eastAsia="zh-CN"/>
                    </w:rPr>
                  </w:pPr>
                  <w:r>
                    <w:rPr>
                      <w:rFonts w:hint="eastAsia" w:ascii="Times New Roman"/>
                      <w:sz w:val="21"/>
                      <w:lang w:val="en-US" w:eastAsia="zh-CN"/>
                    </w:rPr>
                    <w:t>5</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圆筒初清筛</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sz w:val="21"/>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6</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永磁筒</w:t>
                  </w:r>
                </w:p>
              </w:tc>
              <w:tc>
                <w:tcPr>
                  <w:tcW w:w="715"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sz w:val="21"/>
                      <w:lang w:val="en-US" w:eastAsia="zh-CN"/>
                    </w:rPr>
                  </w:pPr>
                  <w:r>
                    <w:rPr>
                      <w:rFonts w:hint="eastAsia" w:ascii="Times New Roman" w:hAnsi="Times New Roman" w:cs="Times New Roman"/>
                      <w:lang w:val="en-US" w:eastAsia="zh-CN"/>
                    </w:rPr>
                    <w:t>1</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7</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叶轮喂料器</w:t>
                  </w:r>
                </w:p>
              </w:tc>
              <w:tc>
                <w:tcPr>
                  <w:tcW w:w="715" w:type="dxa"/>
                  <w:tcBorders>
                    <w:tl2br w:val="nil"/>
                    <w:tr2bl w:val="nil"/>
                  </w:tcBorders>
                  <w:vAlign w:val="center"/>
                </w:tcPr>
                <w:p>
                  <w:pPr>
                    <w:pStyle w:val="65"/>
                    <w:spacing w:before="8" w:line="240" w:lineRule="auto"/>
                    <w:ind w:right="0"/>
                    <w:jc w:val="center"/>
                    <w:rPr>
                      <w:rFonts w:hint="eastAsia" w:ascii="Times New Roman"/>
                      <w:sz w:val="21"/>
                      <w:lang w:val="en-US" w:eastAsia="zh-CN"/>
                    </w:rPr>
                  </w:pPr>
                  <w:r>
                    <w:rPr>
                      <w:rFonts w:hint="eastAsia" w:ascii="Times New Roman"/>
                      <w:sz w:val="21"/>
                      <w:lang w:val="en-US" w:eastAsia="zh-CN"/>
                    </w:rPr>
                    <w:t>1</w:t>
                  </w:r>
                  <w:r>
                    <w:rPr>
                      <w:rFonts w:hint="default" w:ascii="Times New Roman"/>
                      <w:sz w:val="21"/>
                    </w:rPr>
                    <w:t>台</w:t>
                  </w:r>
                </w:p>
              </w:tc>
              <w:tc>
                <w:tcPr>
                  <w:tcW w:w="1650"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8</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粉碎机</w:t>
                  </w:r>
                </w:p>
              </w:tc>
              <w:tc>
                <w:tcPr>
                  <w:tcW w:w="715"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eastAsia" w:ascii="Times New Roman"/>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eastAsia" w:ascii="Times New Roman" w:eastAsiaTheme="minorEastAsia"/>
                      <w:sz w:val="21"/>
                      <w:lang w:val="en-US" w:eastAsia="zh-CN"/>
                    </w:rPr>
                  </w:pPr>
                  <w:r>
                    <w:rPr>
                      <w:rFonts w:hint="eastAsia" w:ascii="Times New Roman"/>
                      <w:sz w:val="21"/>
                      <w:lang w:val="en-US" w:eastAsia="zh-CN"/>
                    </w:rPr>
                    <w:t>9</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料封螺旋输送机</w:t>
                  </w:r>
                </w:p>
              </w:tc>
              <w:tc>
                <w:tcPr>
                  <w:tcW w:w="715"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10</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双轴桨叶式混合机</w:t>
                  </w:r>
                </w:p>
              </w:tc>
              <w:tc>
                <w:tcPr>
                  <w:tcW w:w="715"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80</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11</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颗粒机</w:t>
                  </w:r>
                </w:p>
              </w:tc>
              <w:tc>
                <w:tcPr>
                  <w:tcW w:w="715" w:type="dxa"/>
                  <w:tcBorders>
                    <w:tl2br w:val="nil"/>
                    <w:tr2bl w:val="nil"/>
                  </w:tcBorders>
                  <w:vAlign w:val="center"/>
                </w:tcPr>
                <w:p>
                  <w:pPr>
                    <w:pStyle w:val="65"/>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12</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分级筛</w:t>
                  </w:r>
                </w:p>
              </w:tc>
              <w:tc>
                <w:tcPr>
                  <w:tcW w:w="715" w:type="dxa"/>
                  <w:tcBorders>
                    <w:tl2br w:val="nil"/>
                    <w:tr2bl w:val="nil"/>
                  </w:tcBorders>
                  <w:vAlign w:val="center"/>
                </w:tcPr>
                <w:p>
                  <w:pPr>
                    <w:pStyle w:val="65"/>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13</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振动筛</w:t>
                  </w:r>
                </w:p>
              </w:tc>
              <w:tc>
                <w:tcPr>
                  <w:tcW w:w="715" w:type="dxa"/>
                  <w:tcBorders>
                    <w:tl2br w:val="nil"/>
                    <w:tr2bl w:val="nil"/>
                  </w:tcBorders>
                  <w:vAlign w:val="center"/>
                </w:tcPr>
                <w:p>
                  <w:pPr>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eastAsiaTheme="minorEastAsia"/>
                      <w:sz w:val="21"/>
                      <w:lang w:val="en-US" w:eastAsia="zh-CN"/>
                    </w:rPr>
                  </w:pPr>
                  <w:r>
                    <w:rPr>
                      <w:rFonts w:hint="eastAsia" w:ascii="Times New Roman"/>
                      <w:sz w:val="21"/>
                      <w:lang w:val="en-US" w:eastAsia="zh-CN"/>
                    </w:rPr>
                    <w:t>14</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高方筛</w:t>
                  </w:r>
                </w:p>
              </w:tc>
              <w:tc>
                <w:tcPr>
                  <w:tcW w:w="715" w:type="dxa"/>
                  <w:tcBorders>
                    <w:tl2br w:val="nil"/>
                    <w:tr2bl w:val="nil"/>
                  </w:tcBorders>
                  <w:vAlign w:val="center"/>
                </w:tcPr>
                <w:p>
                  <w:pPr>
                    <w:spacing w:before="8" w:line="240" w:lineRule="auto"/>
                    <w:ind w:right="0"/>
                    <w:jc w:val="center"/>
                    <w:rPr>
                      <w:rFonts w:hint="eastAsia" w:ascii="Times New Roman"/>
                      <w:sz w:val="21"/>
                      <w:lang w:val="en-US" w:eastAsia="zh-CN"/>
                    </w:rPr>
                  </w:pPr>
                  <w:r>
                    <w:rPr>
                      <w:rFonts w:hint="eastAsia" w:ascii="Times New Roman"/>
                      <w:sz w:val="21"/>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15</w:t>
                  </w:r>
                </w:p>
              </w:tc>
              <w:tc>
                <w:tcPr>
                  <w:tcW w:w="1926"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皮带输送机</w:t>
                  </w:r>
                </w:p>
              </w:tc>
              <w:tc>
                <w:tcPr>
                  <w:tcW w:w="71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75</w:t>
                  </w:r>
                </w:p>
              </w:tc>
              <w:tc>
                <w:tcPr>
                  <w:tcW w:w="1782" w:type="dxa"/>
                  <w:tcBorders>
                    <w:tl2br w:val="nil"/>
                    <w:tr2bl w:val="nil"/>
                  </w:tcBorders>
                  <w:vAlign w:val="center"/>
                </w:tcPr>
                <w:p>
                  <w:pPr>
                    <w:spacing w:before="8" w:line="240" w:lineRule="auto"/>
                    <w:ind w:right="0" w:rightChars="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16</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振动卸料器</w:t>
                  </w:r>
                </w:p>
              </w:tc>
              <w:tc>
                <w:tcPr>
                  <w:tcW w:w="71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rightChars="0"/>
                    <w:jc w:val="center"/>
                    <w:rPr>
                      <w:rFonts w:hint="default" w:ascii="Times New Roman"/>
                      <w:sz w:val="21"/>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17</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破拱喂料器</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18</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喂料器</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ascii="Times New Roman"/>
                      <w:sz w:val="21"/>
                    </w:rPr>
                  </w:pPr>
                  <w:r>
                    <w:rPr>
                      <w:rFonts w:ascii="Times New Roman"/>
                      <w:sz w:val="21"/>
                    </w:rPr>
                    <w:t>80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19</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lang w:val="en-US" w:eastAsia="zh-CN"/>
                    </w:rPr>
                  </w:pPr>
                  <w:r>
                    <w:rPr>
                      <w:rFonts w:hint="eastAsia" w:ascii="Times New Roman" w:hAnsi="Times New Roman" w:cs="Times New Roman"/>
                      <w:b w:val="0"/>
                      <w:bCs w:val="0"/>
                      <w:color w:val="000000"/>
                      <w:kern w:val="0"/>
                      <w:sz w:val="21"/>
                      <w:szCs w:val="21"/>
                      <w:u w:val="none"/>
                      <w:lang w:val="en-US" w:eastAsia="zh-CN" w:bidi="ar"/>
                    </w:rPr>
                    <w:t>膨化机</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20</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滚筒喷涂机</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85</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21</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烘干机</w:t>
                  </w:r>
                </w:p>
              </w:tc>
              <w:tc>
                <w:tcPr>
                  <w:tcW w:w="71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75</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22</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除湿风机</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90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jc w:val="center"/>
              </w:trPr>
              <w:tc>
                <w:tcPr>
                  <w:tcW w:w="661" w:type="dxa"/>
                  <w:tcBorders>
                    <w:tl2br w:val="nil"/>
                    <w:tr2bl w:val="nil"/>
                  </w:tcBorders>
                  <w:vAlign w:val="center"/>
                </w:tcPr>
                <w:p>
                  <w:pPr>
                    <w:pStyle w:val="65"/>
                    <w:spacing w:before="8" w:line="240" w:lineRule="auto"/>
                    <w:ind w:right="0"/>
                    <w:jc w:val="center"/>
                    <w:rPr>
                      <w:rFonts w:hint="default" w:ascii="Times New Roman"/>
                      <w:sz w:val="21"/>
                      <w:lang w:val="en-US" w:eastAsia="zh-CN"/>
                    </w:rPr>
                  </w:pPr>
                  <w:r>
                    <w:rPr>
                      <w:rFonts w:hint="eastAsia" w:ascii="Times New Roman"/>
                      <w:sz w:val="21"/>
                      <w:lang w:val="en-US" w:eastAsia="zh-CN"/>
                    </w:rPr>
                    <w:t>23</w:t>
                  </w:r>
                </w:p>
              </w:tc>
              <w:tc>
                <w:tcPr>
                  <w:tcW w:w="1926"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none"/>
                      <w:lang w:val="en-US" w:eastAsia="zh-CN" w:bidi="ar"/>
                    </w:rPr>
                  </w:pPr>
                  <w:r>
                    <w:rPr>
                      <w:rFonts w:hint="eastAsia" w:ascii="Times New Roman" w:hAnsi="Times New Roman" w:cs="Times New Roman"/>
                      <w:b w:val="0"/>
                      <w:bCs w:val="0"/>
                      <w:color w:val="000000"/>
                      <w:kern w:val="0"/>
                      <w:sz w:val="21"/>
                      <w:szCs w:val="21"/>
                      <w:u w:val="none"/>
                      <w:lang w:val="en-US" w:eastAsia="zh-CN" w:bidi="ar"/>
                    </w:rPr>
                    <w:t>电子打包秤（双称斗）</w:t>
                  </w:r>
                </w:p>
              </w:tc>
              <w:tc>
                <w:tcPr>
                  <w:tcW w:w="7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sz w:val="21"/>
                    </w:rPr>
                    <w:t>台</w:t>
                  </w:r>
                </w:p>
              </w:tc>
              <w:tc>
                <w:tcPr>
                  <w:tcW w:w="1650" w:type="dxa"/>
                  <w:tcBorders>
                    <w:tl2br w:val="nil"/>
                    <w:tr2bl w:val="nil"/>
                  </w:tcBorders>
                  <w:vAlign w:val="center"/>
                </w:tcPr>
                <w:p>
                  <w:pPr>
                    <w:pStyle w:val="65"/>
                    <w:spacing w:before="8" w:line="240" w:lineRule="auto"/>
                    <w:ind w:right="0" w:rightChars="0"/>
                    <w:jc w:val="center"/>
                    <w:rPr>
                      <w:rFonts w:hint="default" w:ascii="Times New Roman" w:eastAsiaTheme="minorEastAsia"/>
                      <w:sz w:val="21"/>
                      <w:lang w:val="en-US" w:eastAsia="zh-CN"/>
                    </w:rPr>
                  </w:pPr>
                  <w:r>
                    <w:rPr>
                      <w:rFonts w:hint="eastAsia" w:ascii="Times New Roman"/>
                      <w:sz w:val="21"/>
                      <w:lang w:val="en-US" w:eastAsia="zh-CN"/>
                    </w:rPr>
                    <w:t>80</w:t>
                  </w:r>
                </w:p>
              </w:tc>
              <w:tc>
                <w:tcPr>
                  <w:tcW w:w="1782"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eastAsia="zh-CN"/>
                    </w:rPr>
                    <w:t>厂房</w:t>
                  </w:r>
                  <w:r>
                    <w:rPr>
                      <w:rFonts w:hint="default" w:ascii="Times New Roman"/>
                      <w:sz w:val="21"/>
                    </w:rPr>
                    <w:t>隔声、减振</w:t>
                  </w:r>
                </w:p>
              </w:tc>
              <w:tc>
                <w:tcPr>
                  <w:tcW w:w="1740" w:type="dxa"/>
                  <w:tcBorders>
                    <w:tl2br w:val="nil"/>
                    <w:tr2bl w:val="nil"/>
                  </w:tcBorders>
                  <w:vAlign w:val="center"/>
                </w:tcPr>
                <w:p>
                  <w:pPr>
                    <w:spacing w:before="8" w:line="240" w:lineRule="auto"/>
                    <w:ind w:right="0" w:rightChars="0"/>
                    <w:jc w:val="center"/>
                    <w:rPr>
                      <w:rFonts w:hint="eastAsia" w:ascii="Times New Roman"/>
                      <w:sz w:val="21"/>
                      <w:lang w:eastAsia="zh-CN"/>
                    </w:rPr>
                  </w:pPr>
                  <w:r>
                    <w:rPr>
                      <w:rFonts w:hint="eastAsia" w:ascii="Times New Roman"/>
                      <w:sz w:val="21"/>
                      <w:lang w:val="en-US" w:eastAsia="zh-CN"/>
                    </w:rPr>
                    <w:t>20</w:t>
                  </w:r>
                </w:p>
              </w:tc>
            </w:tr>
          </w:tbl>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为降低项目营运期的生产噪声对周边环境的影响，确保厂界噪声达标排放，采取以下防治措施：</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（1）加强设备的保养和维护，使设备随时处于良好的运行状态，避免偶发强噪声产生；</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（2）对运输车辆进行严格管理，定时检查，防止故障车辆作业；</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（3）合理安排运输时间，尽量避开夜间休息时间；</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（4）厂区设置限速、禁鸣标识标牌；</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（5）加强厂区内绿化，厂区四周修建围墙对噪声进行阻隔。</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本项目在采取上述措施后，噪声源强可消减20dB（A），经消减后噪声源强为50-70dB（A）。</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（2）噪声预测模式</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按照《环境影响评价技术导则一声环境》(HJ2.4-2009)规定和预测软件的要求，拟建项目对声环境产生影响的主要设备噪声源，按其辐射噪声和结构特点，安装位置的环境条件以及噪声源至预测点的距离等因素进行判断，分别按点声源、线声源和面声源的距离衰减模式逐一计算某一声源在预测点上产生的声压级(dB)。</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采用《环境影响评价技术导则一声环境》(HJ2.4-2009)中的工业噪声预测模式。</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1）计算某个室内声源在靠近固护结构处产生的倍频带声压级：</w:t>
            </w:r>
          </w:p>
          <w:p>
            <w:pPr>
              <w:pStyle w:val="21"/>
              <w:spacing w:line="360" w:lineRule="auto"/>
              <w:ind w:left="0" w:leftChars="0" w:firstLine="0" w:firstLineChars="0"/>
              <w:jc w:val="center"/>
              <w:rPr>
                <w:rFonts w:hint="eastAsia" w:ascii="Times New Roman" w:hAnsi="Times New Roman" w:cs="Times New Roman"/>
                <w:snapToGrid w:val="0"/>
                <w:kern w:val="0"/>
                <w:sz w:val="24"/>
                <w:szCs w:val="24"/>
                <w:u w:val="none"/>
                <w:lang w:val="en-US" w:eastAsia="zh-CN" w:bidi="ar-SA"/>
              </w:rPr>
            </w:pPr>
            <w:r>
              <w:rPr>
                <w:rFonts w:hint="eastAsia" w:ascii="Times New Roman" w:hAnsi="Times New Roman" w:cs="Times New Roman"/>
                <w:snapToGrid w:val="0"/>
                <w:kern w:val="0"/>
                <w:sz w:val="24"/>
                <w:szCs w:val="24"/>
                <w:u w:val="none"/>
                <w:lang w:val="en-US" w:eastAsia="zh-CN" w:bidi="ar-SA"/>
              </w:rPr>
              <w:t>L</w:t>
            </w:r>
            <w:r>
              <w:rPr>
                <w:rFonts w:hint="eastAsia" w:ascii="Times New Roman" w:hAnsi="Times New Roman" w:cs="Times New Roman"/>
                <w:snapToGrid w:val="0"/>
                <w:kern w:val="0"/>
                <w:sz w:val="24"/>
                <w:szCs w:val="24"/>
                <w:u w:val="none"/>
                <w:vertAlign w:val="subscript"/>
                <w:lang w:val="en-US" w:eastAsia="zh-CN" w:bidi="ar-SA"/>
              </w:rPr>
              <w:t>p1</w:t>
            </w:r>
            <w:r>
              <w:rPr>
                <w:rFonts w:hint="eastAsia" w:ascii="Times New Roman" w:hAnsi="Times New Roman" w:cs="Times New Roman"/>
                <w:snapToGrid w:val="0"/>
                <w:kern w:val="0"/>
                <w:sz w:val="24"/>
                <w:szCs w:val="24"/>
                <w:u w:val="none"/>
                <w:lang w:val="en-US" w:eastAsia="zh-CN" w:bidi="ar-SA"/>
              </w:rPr>
              <w:t>＝Lw＋10 log (</w:t>
            </w:r>
            <w:r>
              <w:rPr>
                <w:rFonts w:hint="eastAsia" w:ascii="Times New Roman" w:hAnsi="Times New Roman" w:cs="Times New Roman"/>
                <w:snapToGrid w:val="0"/>
                <w:kern w:val="0"/>
                <w:sz w:val="24"/>
                <w:szCs w:val="24"/>
                <w:u w:val="none"/>
                <w:lang w:val="en-US" w:eastAsia="zh-CN" w:bidi="ar-SA"/>
              </w:rPr>
              <w:object>
                <v:shape id="_x0000_i1034" o:spt="75" type="#_x0000_t75" style="height:29.4pt;width:60.5pt;" o:ole="t" fillcolor="#6D6D6D" filled="f" o:preferrelative="t" stroked="f" coordsize="21600,21600">
                  <v:path/>
                  <v:fill on="f" focussize="0,0"/>
                  <v:stroke on="f" joinstyle="miter"/>
                  <v:imagedata r:id="rId32" o:title=""/>
                  <o:lock v:ext="edit" aspectratio="t"/>
                  <w10:wrap type="none"/>
                  <w10:anchorlock/>
                </v:shape>
                <o:OLEObject Type="Embed" ProgID="Equation.3" ShapeID="_x0000_i1034" DrawAspect="Content" ObjectID="_1468075734" r:id="rId31">
                  <o:LockedField>false</o:LockedField>
                </o:OLEObject>
              </w:object>
            </w:r>
            <w:r>
              <w:rPr>
                <w:rFonts w:hint="eastAsia" w:ascii="Times New Roman" w:hAnsi="Times New Roman" w:cs="Times New Roman"/>
                <w:snapToGrid w:val="0"/>
                <w:kern w:val="0"/>
                <w:sz w:val="24"/>
                <w:szCs w:val="24"/>
                <w:u w:val="none"/>
                <w:lang w:val="en-US" w:eastAsia="zh-CN" w:bidi="ar-SA"/>
              </w:rPr>
              <w:t>)</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式中：</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L</w:t>
            </w:r>
            <w:r>
              <w:rPr>
                <w:rFonts w:hint="eastAsia" w:hAnsi="宋体"/>
                <w:color w:val="auto"/>
                <w:sz w:val="24"/>
                <w:szCs w:val="24"/>
                <w:vertAlign w:val="subscript"/>
                <w:lang w:val="en-US" w:eastAsia="zh-CN"/>
              </w:rPr>
              <w:t>p1</w:t>
            </w:r>
            <w:r>
              <w:rPr>
                <w:rFonts w:hint="eastAsia" w:hAnsi="宋体"/>
                <w:color w:val="auto"/>
                <w:sz w:val="24"/>
                <w:szCs w:val="24"/>
                <w:lang w:val="en-US" w:eastAsia="zh-CN"/>
              </w:rPr>
              <w:t>—某室内声源在靠近围炉结构处产生的倍频带声压级，dB；</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Lw—声源的倍频带声功率级，dB；</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Q—声源的指向性因子，无量纲；</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r—受声点与声源的距离，m；</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R—房间常数，用s</w:t>
            </w:r>
            <w:r>
              <w:rPr>
                <w:rFonts w:hint="eastAsia" w:hAnsi="宋体"/>
                <w:color w:val="auto"/>
                <w:sz w:val="24"/>
                <w:szCs w:val="24"/>
                <w:lang w:val="en-US" w:eastAsia="zh-CN"/>
              </w:rPr>
              <w:sym w:font="Symbol" w:char="F061"/>
            </w:r>
            <w:r>
              <w:rPr>
                <w:rFonts w:hint="eastAsia" w:hAnsi="宋体"/>
                <w:color w:val="auto"/>
                <w:sz w:val="24"/>
                <w:szCs w:val="24"/>
                <w:lang w:val="en-US" w:eastAsia="zh-CN"/>
              </w:rPr>
              <w:t>/(1－</w:t>
            </w:r>
            <w:r>
              <w:rPr>
                <w:rFonts w:hint="eastAsia" w:hAnsi="宋体"/>
                <w:color w:val="auto"/>
                <w:sz w:val="24"/>
                <w:szCs w:val="24"/>
                <w:lang w:val="en-US" w:eastAsia="zh-CN"/>
              </w:rPr>
              <w:sym w:font="Symbol" w:char="F061"/>
            </w:r>
            <w:r>
              <w:rPr>
                <w:rFonts w:hint="eastAsia" w:hAnsi="宋体"/>
                <w:color w:val="auto"/>
                <w:sz w:val="24"/>
                <w:szCs w:val="24"/>
                <w:lang w:val="en-US" w:eastAsia="zh-CN"/>
              </w:rPr>
              <w:t>) 表示，s房间表面积m2，</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2）计算出所有室内声源在围护结构处产生的i倍频带叠加声压级：</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drawing>
                <wp:inline distT="0" distB="0" distL="0" distR="0">
                  <wp:extent cx="1587500" cy="438785"/>
                  <wp:effectExtent l="0" t="0" r="12700" b="184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587500" cy="438785"/>
                          </a:xfrm>
                          <a:prstGeom prst="rect">
                            <a:avLst/>
                          </a:prstGeom>
                          <a:noFill/>
                          <a:ln>
                            <a:noFill/>
                          </a:ln>
                        </pic:spPr>
                      </pic:pic>
                    </a:graphicData>
                  </a:graphic>
                </wp:inline>
              </w:drawing>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式中：</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L</w:t>
            </w:r>
            <w:r>
              <w:rPr>
                <w:rFonts w:hint="eastAsia" w:hAnsi="宋体"/>
                <w:color w:val="auto"/>
                <w:sz w:val="24"/>
                <w:szCs w:val="24"/>
                <w:vertAlign w:val="subscript"/>
                <w:lang w:val="en-US" w:eastAsia="zh-CN"/>
              </w:rPr>
              <w:t>P1i</w:t>
            </w:r>
            <w:r>
              <w:rPr>
                <w:rFonts w:hint="eastAsia" w:hAnsi="宋体"/>
                <w:color w:val="auto"/>
                <w:sz w:val="24"/>
                <w:szCs w:val="24"/>
                <w:lang w:val="en-US" w:eastAsia="zh-CN"/>
              </w:rPr>
              <w:t>(T)—靠近围护结构处室内N个声源i倍频带的叠加声压级，dB；</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L</w:t>
            </w:r>
            <w:r>
              <w:rPr>
                <w:rFonts w:hint="eastAsia" w:hAnsi="宋体"/>
                <w:color w:val="auto"/>
                <w:sz w:val="24"/>
                <w:szCs w:val="24"/>
                <w:vertAlign w:val="subscript"/>
                <w:lang w:val="en-US" w:eastAsia="zh-CN"/>
              </w:rPr>
              <w:t>P1ij</w:t>
            </w:r>
            <w:r>
              <w:rPr>
                <w:rFonts w:hint="eastAsia" w:hAnsi="宋体"/>
                <w:color w:val="auto"/>
                <w:sz w:val="24"/>
                <w:szCs w:val="24"/>
                <w:lang w:val="en-US" w:eastAsia="zh-CN"/>
              </w:rPr>
              <w:t xml:space="preserve">—室内j声源i倍频带的声压级，dB； </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N—室内声源总数。</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3）在室内近似为扩散声场时，计算出靠近室外围护结构处的声压级：</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drawing>
                <wp:inline distT="0" distB="0" distL="0" distR="0">
                  <wp:extent cx="2055495" cy="307340"/>
                  <wp:effectExtent l="0" t="0" r="1905" b="1651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55495" cy="307340"/>
                          </a:xfrm>
                          <a:prstGeom prst="rect">
                            <a:avLst/>
                          </a:prstGeom>
                          <a:noFill/>
                          <a:ln>
                            <a:noFill/>
                          </a:ln>
                        </pic:spPr>
                      </pic:pic>
                    </a:graphicData>
                  </a:graphic>
                </wp:inline>
              </w:drawing>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式中：</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L</w:t>
            </w:r>
            <w:r>
              <w:rPr>
                <w:rFonts w:hint="eastAsia" w:hAnsi="宋体"/>
                <w:color w:val="auto"/>
                <w:sz w:val="24"/>
                <w:szCs w:val="24"/>
                <w:vertAlign w:val="subscript"/>
                <w:lang w:val="en-US" w:eastAsia="zh-CN"/>
              </w:rPr>
              <w:t>P2i</w:t>
            </w:r>
            <w:r>
              <w:rPr>
                <w:rFonts w:hint="eastAsia" w:hAnsi="宋体"/>
                <w:color w:val="auto"/>
                <w:sz w:val="24"/>
                <w:szCs w:val="24"/>
                <w:lang w:val="en-US" w:eastAsia="zh-CN"/>
              </w:rPr>
              <w:t>(T)—靠近围护结构处室外N个声源i倍频带的叠加声压级，dB；</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T</w:t>
            </w:r>
            <w:r>
              <w:rPr>
                <w:rFonts w:hint="eastAsia" w:hAnsi="宋体"/>
                <w:color w:val="auto"/>
                <w:sz w:val="24"/>
                <w:szCs w:val="24"/>
                <w:vertAlign w:val="subscript"/>
                <w:lang w:val="en-US" w:eastAsia="zh-CN"/>
              </w:rPr>
              <w:t>Li</w:t>
            </w:r>
            <w:r>
              <w:rPr>
                <w:rFonts w:hint="eastAsia" w:hAnsi="宋体"/>
                <w:color w:val="auto"/>
                <w:sz w:val="24"/>
                <w:szCs w:val="24"/>
                <w:lang w:val="en-US" w:eastAsia="zh-CN"/>
              </w:rPr>
              <w:t>—围护结构i倍频带的隔声量，dB。</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4）将室外声源的声压级和透过面积换算成等效的室外声源，计算出中心位置位于透声面积(S)处的等效声源的倍频带声功率级。</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drawing>
                <wp:inline distT="0" distB="0" distL="0" distR="0">
                  <wp:extent cx="1543685" cy="285115"/>
                  <wp:effectExtent l="0" t="0" r="18415" b="6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t="17778"/>
                          <a:stretch>
                            <a:fillRect/>
                          </a:stretch>
                        </pic:blipFill>
                        <pic:spPr>
                          <a:xfrm>
                            <a:off x="0" y="0"/>
                            <a:ext cx="1543685" cy="285115"/>
                          </a:xfrm>
                          <a:prstGeom prst="rect">
                            <a:avLst/>
                          </a:prstGeom>
                          <a:noFill/>
                          <a:ln>
                            <a:noFill/>
                          </a:ln>
                        </pic:spPr>
                      </pic:pic>
                    </a:graphicData>
                  </a:graphic>
                </wp:inline>
              </w:drawing>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5）等效室外声源的位置为围护结构的位置，其倍频带声功率级为Lw，由此按室外声源方法计算等效室外声源在预测点产生的声级。</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6）计算某个室外声源在预测点产生的倍频带声压级：</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L(r)=Lw-20lg(r/r0)-△L</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（3）噪声预测结果</w:t>
            </w:r>
          </w:p>
          <w:p>
            <w:pPr>
              <w:spacing w:line="360" w:lineRule="auto"/>
              <w:ind w:firstLine="480" w:firstLineChars="200"/>
              <w:rPr>
                <w:rFonts w:hint="eastAsia" w:ascii="Times New Roman" w:hAnsi="Times New Roman" w:cs="Times New Roman"/>
                <w:snapToGrid w:val="0"/>
                <w:kern w:val="0"/>
                <w:sz w:val="24"/>
                <w:szCs w:val="24"/>
                <w:u w:val="none"/>
                <w:lang w:val="en-US" w:eastAsia="zh-CN" w:bidi="ar-SA"/>
              </w:rPr>
            </w:pPr>
            <w:r>
              <w:rPr>
                <w:rFonts w:hint="eastAsia" w:hAnsi="宋体"/>
                <w:color w:val="auto"/>
                <w:sz w:val="24"/>
                <w:szCs w:val="24"/>
                <w:lang w:val="en-US" w:eastAsia="zh-CN"/>
              </w:rPr>
              <w:t>根据上述噪声预测模式，本项目对各厂界噪声监测点的影响预测结果见表7-13。</w:t>
            </w:r>
          </w:p>
          <w:p>
            <w:pPr>
              <w:pStyle w:val="80"/>
              <w:rPr>
                <w:rFonts w:hint="eastAsia" w:ascii="Times New Roman" w:hAnsi="Times New Roman"/>
                <w:u w:val="none"/>
                <w:lang w:val="en-US" w:eastAsia="zh-CN"/>
              </w:rPr>
            </w:pPr>
            <w:r>
              <w:rPr>
                <w:rFonts w:hint="eastAsia" w:ascii="Times New Roman" w:hAnsi="Times New Roman"/>
                <w:u w:val="none"/>
                <w:lang w:val="en-US" w:eastAsia="zh-CN"/>
              </w:rPr>
              <w:t>表</w:t>
            </w:r>
            <w:r>
              <w:rPr>
                <w:rFonts w:hint="eastAsia"/>
                <w:u w:val="none"/>
                <w:lang w:val="en-US" w:eastAsia="zh-CN"/>
              </w:rPr>
              <w:t>7-13</w:t>
            </w:r>
            <w:r>
              <w:rPr>
                <w:rFonts w:hint="eastAsia" w:ascii="Times New Roman" w:hAnsi="Times New Roman"/>
                <w:u w:val="none"/>
                <w:lang w:val="en-US" w:eastAsia="zh-CN"/>
              </w:rPr>
              <w:t xml:space="preserve">  项目各噪声源在厂界处预测结果  单位：dB(A)</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8"/>
              <w:gridCol w:w="919"/>
              <w:gridCol w:w="920"/>
              <w:gridCol w:w="921"/>
              <w:gridCol w:w="920"/>
              <w:gridCol w:w="920"/>
              <w:gridCol w:w="920"/>
              <w:gridCol w:w="920"/>
              <w:gridCol w:w="9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vMerge w:val="restart"/>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厂界</w:t>
                  </w:r>
                </w:p>
              </w:tc>
              <w:tc>
                <w:tcPr>
                  <w:tcW w:w="1863" w:type="dxa"/>
                  <w:gridSpan w:val="2"/>
                  <w:tcBorders>
                    <w:tl2br w:val="nil"/>
                    <w:tr2bl w:val="nil"/>
                  </w:tcBorders>
                  <w:shd w:val="clear" w:color="auto" w:fill="auto"/>
                  <w:vAlign w:val="center"/>
                </w:tcPr>
                <w:p>
                  <w:pPr>
                    <w:pStyle w:val="81"/>
                    <w:spacing w:line="240" w:lineRule="auto"/>
                    <w:ind w:firstLine="0" w:firstLineChars="0"/>
                    <w:jc w:val="center"/>
                    <w:rPr>
                      <w:rFonts w:hint="eastAsia" w:ascii="Times New Roman" w:hAnsi="Times New Roman" w:eastAsia="宋体" w:cs="Times New Roman"/>
                      <w:b/>
                      <w:bCs/>
                      <w:sz w:val="21"/>
                      <w:szCs w:val="21"/>
                      <w:u w:val="none"/>
                      <w:lang w:eastAsia="zh-CN"/>
                    </w:rPr>
                  </w:pPr>
                  <w:r>
                    <w:rPr>
                      <w:rFonts w:hint="eastAsia" w:ascii="Times New Roman" w:hAnsi="Times New Roman" w:eastAsia="宋体" w:cs="Times New Roman"/>
                      <w:b/>
                      <w:bCs/>
                      <w:sz w:val="21"/>
                      <w:szCs w:val="21"/>
                      <w:u w:val="none"/>
                      <w:lang w:eastAsia="zh-CN"/>
                    </w:rPr>
                    <w:t>东面</w:t>
                  </w:r>
                  <w:r>
                    <w:rPr>
                      <w:rFonts w:hint="eastAsia" w:ascii="Times New Roman" w:hAnsi="Times New Roman" w:eastAsia="宋体" w:cs="Times New Roman"/>
                      <w:b/>
                      <w:bCs/>
                      <w:sz w:val="21"/>
                      <w:szCs w:val="21"/>
                      <w:u w:val="none"/>
                    </w:rPr>
                    <w:t>厂界</w:t>
                  </w:r>
                  <w:r>
                    <w:rPr>
                      <w:rFonts w:hint="eastAsia" w:ascii="Times New Roman" w:hAnsi="Times New Roman" w:eastAsia="宋体" w:cs="Times New Roman"/>
                      <w:b/>
                      <w:bCs/>
                      <w:sz w:val="21"/>
                      <w:szCs w:val="21"/>
                      <w:u w:val="none"/>
                      <w:lang w:eastAsia="zh-CN"/>
                    </w:rPr>
                    <w:t>（距声源</w:t>
                  </w:r>
                  <w:r>
                    <w:rPr>
                      <w:rFonts w:hint="eastAsia" w:ascii="Times New Roman" w:hAnsi="Times New Roman" w:eastAsia="宋体" w:cs="Times New Roman"/>
                      <w:b/>
                      <w:bCs/>
                      <w:sz w:val="21"/>
                      <w:szCs w:val="21"/>
                      <w:u w:val="none"/>
                      <w:lang w:val="en-US" w:eastAsia="zh-CN"/>
                    </w:rPr>
                    <w:t>71m</w:t>
                  </w:r>
                  <w:r>
                    <w:rPr>
                      <w:rFonts w:hint="eastAsia" w:ascii="Times New Roman" w:hAnsi="Times New Roman" w:eastAsia="宋体" w:cs="Times New Roman"/>
                      <w:b/>
                      <w:bCs/>
                      <w:sz w:val="21"/>
                      <w:szCs w:val="21"/>
                      <w:u w:val="none"/>
                      <w:lang w:eastAsia="zh-CN"/>
                    </w:rPr>
                    <w:t>）</w:t>
                  </w:r>
                </w:p>
              </w:tc>
              <w:tc>
                <w:tcPr>
                  <w:tcW w:w="1865" w:type="dxa"/>
                  <w:gridSpan w:val="2"/>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南面厂界</w:t>
                  </w:r>
                  <w:r>
                    <w:rPr>
                      <w:rFonts w:hint="eastAsia" w:ascii="Times New Roman" w:hAnsi="Times New Roman" w:eastAsia="宋体" w:cs="Times New Roman"/>
                      <w:b/>
                      <w:bCs/>
                      <w:sz w:val="21"/>
                      <w:szCs w:val="21"/>
                      <w:u w:val="none"/>
                      <w:lang w:eastAsia="zh-CN"/>
                    </w:rPr>
                    <w:t>（距声源</w:t>
                  </w:r>
                  <w:r>
                    <w:rPr>
                      <w:rFonts w:hint="eastAsia" w:ascii="Times New Roman" w:hAnsi="Times New Roman" w:eastAsia="宋体" w:cs="Times New Roman"/>
                      <w:b/>
                      <w:bCs/>
                      <w:sz w:val="21"/>
                      <w:szCs w:val="21"/>
                      <w:u w:val="none"/>
                      <w:lang w:val="en-US" w:eastAsia="zh-CN"/>
                    </w:rPr>
                    <w:t>39m</w:t>
                  </w:r>
                  <w:r>
                    <w:rPr>
                      <w:rFonts w:hint="eastAsia" w:ascii="Times New Roman" w:hAnsi="Times New Roman" w:eastAsia="宋体" w:cs="Times New Roman"/>
                      <w:b/>
                      <w:bCs/>
                      <w:sz w:val="21"/>
                      <w:szCs w:val="21"/>
                      <w:u w:val="none"/>
                      <w:lang w:eastAsia="zh-CN"/>
                    </w:rPr>
                    <w:t>）</w:t>
                  </w:r>
                </w:p>
              </w:tc>
              <w:tc>
                <w:tcPr>
                  <w:tcW w:w="1864" w:type="dxa"/>
                  <w:gridSpan w:val="2"/>
                  <w:tcBorders>
                    <w:tl2br w:val="nil"/>
                    <w:tr2bl w:val="nil"/>
                  </w:tcBorders>
                  <w:shd w:val="clear" w:color="auto" w:fill="auto"/>
                  <w:vAlign w:val="center"/>
                </w:tcPr>
                <w:p>
                  <w:pPr>
                    <w:pStyle w:val="81"/>
                    <w:spacing w:line="240" w:lineRule="auto"/>
                    <w:ind w:firstLine="0" w:firstLineChars="0"/>
                    <w:jc w:val="center"/>
                    <w:rPr>
                      <w:rFonts w:hint="eastAsia" w:ascii="Times New Roman" w:hAnsi="Times New Roman" w:eastAsia="宋体" w:cs="Times New Roman"/>
                      <w:b/>
                      <w:bCs/>
                      <w:sz w:val="21"/>
                      <w:szCs w:val="21"/>
                      <w:u w:val="none"/>
                      <w:lang w:eastAsia="zh-CN"/>
                    </w:rPr>
                  </w:pPr>
                  <w:r>
                    <w:rPr>
                      <w:rFonts w:hint="eastAsia" w:ascii="Times New Roman" w:hAnsi="Times New Roman" w:eastAsia="宋体" w:cs="Times New Roman"/>
                      <w:b/>
                      <w:bCs/>
                      <w:sz w:val="21"/>
                      <w:szCs w:val="21"/>
                      <w:u w:val="none"/>
                    </w:rPr>
                    <w:t>西面厂界</w:t>
                  </w:r>
                  <w:r>
                    <w:rPr>
                      <w:rFonts w:hint="eastAsia" w:ascii="Times New Roman" w:hAnsi="Times New Roman" w:eastAsia="宋体" w:cs="Times New Roman"/>
                      <w:b/>
                      <w:bCs/>
                      <w:sz w:val="21"/>
                      <w:szCs w:val="21"/>
                      <w:u w:val="none"/>
                      <w:lang w:eastAsia="zh-CN"/>
                    </w:rPr>
                    <w:t>（距声源</w:t>
                  </w:r>
                  <w:r>
                    <w:rPr>
                      <w:rFonts w:hint="eastAsia" w:ascii="Times New Roman" w:hAnsi="Times New Roman" w:eastAsia="宋体" w:cs="Times New Roman"/>
                      <w:b/>
                      <w:bCs/>
                      <w:sz w:val="21"/>
                      <w:szCs w:val="21"/>
                      <w:u w:val="none"/>
                      <w:lang w:val="en-US" w:eastAsia="zh-CN"/>
                    </w:rPr>
                    <w:t>27m</w:t>
                  </w:r>
                  <w:r>
                    <w:rPr>
                      <w:rFonts w:hint="eastAsia" w:ascii="Times New Roman" w:hAnsi="Times New Roman" w:eastAsia="宋体" w:cs="Times New Roman"/>
                      <w:b/>
                      <w:bCs/>
                      <w:sz w:val="21"/>
                      <w:szCs w:val="21"/>
                      <w:u w:val="none"/>
                      <w:lang w:eastAsia="zh-CN"/>
                    </w:rPr>
                    <w:t>）</w:t>
                  </w:r>
                </w:p>
              </w:tc>
              <w:tc>
                <w:tcPr>
                  <w:tcW w:w="1863" w:type="dxa"/>
                  <w:gridSpan w:val="2"/>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北面厂界</w:t>
                  </w:r>
                  <w:r>
                    <w:rPr>
                      <w:rFonts w:hint="eastAsia" w:ascii="Times New Roman" w:hAnsi="Times New Roman" w:eastAsia="宋体" w:cs="Times New Roman"/>
                      <w:b/>
                      <w:bCs/>
                      <w:sz w:val="21"/>
                      <w:szCs w:val="21"/>
                      <w:u w:val="none"/>
                      <w:lang w:eastAsia="zh-CN"/>
                    </w:rPr>
                    <w:t>（距声源</w:t>
                  </w:r>
                  <w:r>
                    <w:rPr>
                      <w:rFonts w:hint="eastAsia" w:ascii="Times New Roman" w:hAnsi="Times New Roman" w:eastAsia="宋体" w:cs="Times New Roman"/>
                      <w:b/>
                      <w:bCs/>
                      <w:sz w:val="21"/>
                      <w:szCs w:val="21"/>
                      <w:u w:val="none"/>
                      <w:lang w:val="en-US" w:eastAsia="zh-CN"/>
                    </w:rPr>
                    <w:t>15m</w:t>
                  </w:r>
                  <w:r>
                    <w:rPr>
                      <w:rFonts w:hint="eastAsia" w:ascii="Times New Roman" w:hAnsi="Times New Roman" w:eastAsia="宋体" w:cs="Times New Roman"/>
                      <w:b/>
                      <w:bCs/>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p>
              </w:tc>
              <w:tc>
                <w:tcPr>
                  <w:tcW w:w="931"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昼间</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夜间</w:t>
                  </w:r>
                </w:p>
              </w:tc>
              <w:tc>
                <w:tcPr>
                  <w:tcW w:w="933"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昼间</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夜间</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昼间</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夜间</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昼间</w:t>
                  </w:r>
                </w:p>
              </w:tc>
              <w:tc>
                <w:tcPr>
                  <w:tcW w:w="931"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b/>
                      <w:bCs/>
                      <w:sz w:val="21"/>
                      <w:szCs w:val="21"/>
                      <w:u w:val="none"/>
                    </w:rPr>
                  </w:pPr>
                  <w:r>
                    <w:rPr>
                      <w:rFonts w:hint="eastAsia" w:ascii="Times New Roman" w:hAnsi="Times New Roman" w:eastAsia="宋体" w:cs="Times New Roman"/>
                      <w:b/>
                      <w:bCs/>
                      <w:sz w:val="21"/>
                      <w:szCs w:val="21"/>
                      <w:u w:val="none"/>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rPr>
                    <w:t>预测值</w:t>
                  </w:r>
                </w:p>
              </w:tc>
              <w:tc>
                <w:tcPr>
                  <w:tcW w:w="931"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52.69</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 xml:space="preserve">46.18 </w:t>
                  </w:r>
                </w:p>
              </w:tc>
              <w:tc>
                <w:tcPr>
                  <w:tcW w:w="933"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 xml:space="preserve">54.88 </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 xml:space="preserve"> 47.32 </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 xml:space="preserve">55.89  </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48.07</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57.79</w:t>
                  </w:r>
                </w:p>
              </w:tc>
              <w:tc>
                <w:tcPr>
                  <w:tcW w:w="931"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 xml:space="preserve">48.26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rPr>
                    <w:t>标准值</w:t>
                  </w:r>
                </w:p>
              </w:tc>
              <w:tc>
                <w:tcPr>
                  <w:tcW w:w="931"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7</w:t>
                  </w:r>
                  <w:r>
                    <w:rPr>
                      <w:rFonts w:hint="default" w:ascii="Times New Roman" w:hAnsi="Times New Roman" w:eastAsia="宋体" w:cs="Times New Roman"/>
                      <w:sz w:val="21"/>
                      <w:szCs w:val="21"/>
                      <w:u w:val="none"/>
                    </w:rPr>
                    <w:t>0</w:t>
                  </w:r>
                </w:p>
              </w:tc>
              <w:tc>
                <w:tcPr>
                  <w:tcW w:w="932" w:type="dxa"/>
                  <w:tcBorders>
                    <w:tl2br w:val="nil"/>
                    <w:tr2bl w:val="nil"/>
                  </w:tcBorders>
                  <w:shd w:val="clear" w:color="auto" w:fill="auto"/>
                  <w:vAlign w:val="center"/>
                </w:tcPr>
                <w:p>
                  <w:pPr>
                    <w:pStyle w:val="81"/>
                    <w:spacing w:line="240" w:lineRule="auto"/>
                    <w:ind w:firstLine="0" w:firstLineChars="0"/>
                    <w:jc w:val="center"/>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rPr>
                    <w:t>5</w:t>
                  </w:r>
                  <w:r>
                    <w:rPr>
                      <w:rFonts w:hint="eastAsia" w:ascii="Times New Roman" w:hAnsi="Times New Roman" w:eastAsia="宋体" w:cs="Times New Roman"/>
                      <w:sz w:val="21"/>
                      <w:szCs w:val="21"/>
                      <w:u w:val="none"/>
                      <w:lang w:val="en-US" w:eastAsia="zh-CN"/>
                    </w:rPr>
                    <w:t>5</w:t>
                  </w:r>
                </w:p>
              </w:tc>
              <w:tc>
                <w:tcPr>
                  <w:tcW w:w="933"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70</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55</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65</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55</w:t>
                  </w:r>
                </w:p>
              </w:tc>
              <w:tc>
                <w:tcPr>
                  <w:tcW w:w="932" w:type="dxa"/>
                  <w:tcBorders>
                    <w:tl2br w:val="nil"/>
                    <w:tr2bl w:val="nil"/>
                  </w:tcBorders>
                  <w:shd w:val="clear" w:color="auto" w:fill="auto"/>
                  <w:vAlign w:val="center"/>
                </w:tcPr>
                <w:p>
                  <w:pPr>
                    <w:pStyle w:val="81"/>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65</w:t>
                  </w:r>
                </w:p>
              </w:tc>
              <w:tc>
                <w:tcPr>
                  <w:tcW w:w="931" w:type="dxa"/>
                  <w:tcBorders>
                    <w:tl2br w:val="nil"/>
                    <w:tr2bl w:val="nil"/>
                  </w:tcBorders>
                  <w:shd w:val="clear" w:color="auto" w:fill="auto"/>
                  <w:vAlign w:val="center"/>
                </w:tcPr>
                <w:p>
                  <w:pPr>
                    <w:pStyle w:val="81"/>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55</w:t>
                  </w:r>
                </w:p>
              </w:tc>
            </w:tr>
          </w:tbl>
          <w:p>
            <w:pPr>
              <w:snapToGrid w:val="0"/>
              <w:spacing w:line="360" w:lineRule="auto"/>
              <w:ind w:firstLine="480" w:firstLineChars="200"/>
              <w:rPr>
                <w:rFonts w:hint="eastAsia" w:hAnsi="宋体" w:eastAsia="宋体"/>
                <w:color w:val="auto"/>
                <w:sz w:val="24"/>
                <w:szCs w:val="24"/>
              </w:rPr>
            </w:pPr>
            <w:r>
              <w:rPr>
                <w:rFonts w:hint="eastAsia" w:hAnsi="宋体"/>
                <w:color w:val="auto"/>
                <w:sz w:val="24"/>
                <w:szCs w:val="24"/>
                <w:lang w:val="en-US" w:eastAsia="zh-CN"/>
              </w:rPr>
              <w:t>由表7-13可知，本项目运营期设备噪声在厂界东侧、南侧预测值满足《工业企业厂界环境噪声排放标准》(GB12348-2008)4类标准要求，厂界西侧、北侧预测值满足《工业企业厂界环境噪声排放标准》(GB12348-2008)3类标准要求，说明项目生产噪声经采取有效控制措施后，对周边环境影响较小。</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5、固体废物环境影响分析</w:t>
            </w:r>
          </w:p>
          <w:p>
            <w:pPr>
              <w:spacing w:line="360" w:lineRule="auto"/>
              <w:ind w:firstLine="480" w:firstLineChars="200"/>
              <w:rPr>
                <w:rFonts w:hint="eastAsia" w:hAnsi="宋体"/>
                <w:color w:val="auto"/>
                <w:sz w:val="24"/>
                <w:szCs w:val="24"/>
                <w:lang w:val="en-US" w:eastAsia="zh-CN"/>
              </w:rPr>
            </w:pPr>
            <w:r>
              <w:rPr>
                <w:rFonts w:hint="default" w:hAnsi="宋体"/>
                <w:color w:val="auto"/>
                <w:sz w:val="24"/>
                <w:szCs w:val="24"/>
                <w:lang w:val="en-US" w:eastAsia="zh-CN"/>
              </w:rPr>
              <w:t>本项目产生的固体废物主要为一般工业固体废物、危险废物和生活垃圾。</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（1）</w:t>
            </w:r>
            <w:r>
              <w:rPr>
                <w:rFonts w:hint="default" w:hAnsi="宋体"/>
                <w:color w:val="auto"/>
                <w:sz w:val="24"/>
                <w:szCs w:val="24"/>
                <w:lang w:val="en-US" w:eastAsia="zh-CN"/>
              </w:rPr>
              <w:t>一般工业固体废物</w:t>
            </w:r>
          </w:p>
          <w:p>
            <w:pPr>
              <w:spacing w:line="360" w:lineRule="auto"/>
              <w:ind w:firstLine="480" w:firstLineChars="200"/>
              <w:rPr>
                <w:rFonts w:hint="default" w:hAnsi="宋体"/>
                <w:color w:val="auto"/>
                <w:sz w:val="24"/>
                <w:szCs w:val="24"/>
                <w:lang w:val="en-US" w:eastAsia="zh-CN"/>
              </w:rPr>
            </w:pPr>
            <w:r>
              <w:rPr>
                <w:rFonts w:hint="default" w:hAnsi="宋体"/>
                <w:color w:val="auto"/>
                <w:sz w:val="24"/>
                <w:szCs w:val="24"/>
                <w:lang w:val="en-US" w:eastAsia="zh-CN"/>
              </w:rPr>
              <w:t>一般工业固废主要包括原料初清过程中产生的</w:t>
            </w:r>
            <w:r>
              <w:rPr>
                <w:rFonts w:hint="eastAsia" w:hAnsi="宋体"/>
                <w:color w:val="auto"/>
                <w:sz w:val="24"/>
                <w:szCs w:val="24"/>
                <w:lang w:val="en-US" w:eastAsia="zh-CN"/>
              </w:rPr>
              <w:t>杂质</w:t>
            </w:r>
            <w:r>
              <w:rPr>
                <w:rFonts w:hint="default" w:hAnsi="宋体"/>
                <w:color w:val="auto"/>
                <w:sz w:val="24"/>
                <w:szCs w:val="24"/>
                <w:lang w:val="en-US" w:eastAsia="zh-CN"/>
              </w:rPr>
              <w:t>、成品包装产生的废包装袋、</w:t>
            </w:r>
            <w:r>
              <w:rPr>
                <w:rFonts w:hint="eastAsia" w:hAnsi="宋体"/>
                <w:color w:val="auto"/>
                <w:sz w:val="24"/>
                <w:szCs w:val="24"/>
                <w:lang w:val="en-US" w:eastAsia="zh-CN"/>
              </w:rPr>
              <w:t>原辅材料废包装袋、</w:t>
            </w:r>
            <w:r>
              <w:rPr>
                <w:rFonts w:hint="default" w:hAnsi="宋体"/>
                <w:color w:val="auto"/>
                <w:sz w:val="24"/>
                <w:szCs w:val="24"/>
                <w:lang w:val="en-US" w:eastAsia="zh-CN"/>
              </w:rPr>
              <w:t>各个工序除尘器收集的</w:t>
            </w:r>
            <w:r>
              <w:rPr>
                <w:rFonts w:hint="eastAsia" w:hAnsi="宋体"/>
                <w:color w:val="auto"/>
                <w:sz w:val="24"/>
                <w:szCs w:val="24"/>
                <w:lang w:val="en-US" w:eastAsia="zh-CN"/>
              </w:rPr>
              <w:t>粉尘</w:t>
            </w:r>
            <w:r>
              <w:rPr>
                <w:rFonts w:hint="default" w:hAnsi="宋体"/>
                <w:color w:val="auto"/>
                <w:sz w:val="24"/>
                <w:szCs w:val="24"/>
                <w:lang w:val="en-US" w:eastAsia="zh-CN"/>
              </w:rPr>
              <w:t>。</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①杂质</w:t>
            </w:r>
            <w:r>
              <w:rPr>
                <w:rFonts w:hint="default" w:hAnsi="宋体"/>
                <w:color w:val="auto"/>
                <w:sz w:val="24"/>
                <w:szCs w:val="24"/>
                <w:lang w:val="en-US" w:eastAsia="zh-CN"/>
              </w:rPr>
              <w:t>：参考同类型项目，废料的产生量约为原料用量的0.25‰</w:t>
            </w:r>
            <w:r>
              <w:rPr>
                <w:rFonts w:hint="eastAsia" w:hAnsi="宋体"/>
                <w:color w:val="auto"/>
                <w:sz w:val="24"/>
                <w:szCs w:val="24"/>
                <w:lang w:val="en-US" w:eastAsia="zh-CN"/>
              </w:rPr>
              <w:t>，本项目原材料总用量为230086t/a，根据计算原料初清过程中产生的杂质为57.52t/a，环评要求建设单位在原辅材料仓库内修建50m2的一般固废暂存间，上述固废可暂存于一般固废暂存间，定期外售给市场相关回收企业。</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②成品废包装袋</w:t>
            </w:r>
            <w:r>
              <w:rPr>
                <w:rFonts w:hint="default" w:hAnsi="宋体"/>
                <w:color w:val="auto"/>
                <w:sz w:val="24"/>
                <w:szCs w:val="24"/>
                <w:lang w:val="en-US" w:eastAsia="zh-CN"/>
              </w:rPr>
              <w:t>：</w:t>
            </w:r>
            <w:r>
              <w:rPr>
                <w:rFonts w:hint="eastAsia" w:hAnsi="宋体"/>
                <w:color w:val="auto"/>
                <w:sz w:val="24"/>
                <w:szCs w:val="24"/>
                <w:lang w:val="en-US" w:eastAsia="zh-CN"/>
              </w:rPr>
              <w:t>本项目年产饲料23万t，按50kg/袋计，共需包装袋460万个，废包装袋产生量按1%，</w:t>
            </w:r>
            <w:r>
              <w:rPr>
                <w:rFonts w:hint="default" w:hAnsi="宋体"/>
                <w:color w:val="auto"/>
                <w:sz w:val="24"/>
                <w:szCs w:val="24"/>
                <w:lang w:val="en-US" w:eastAsia="zh-CN"/>
              </w:rPr>
              <w:t>每个按</w:t>
            </w:r>
            <w:r>
              <w:rPr>
                <w:rFonts w:hint="eastAsia" w:hAnsi="宋体"/>
                <w:color w:val="auto"/>
                <w:sz w:val="24"/>
                <w:szCs w:val="24"/>
                <w:lang w:val="en-US" w:eastAsia="zh-CN"/>
              </w:rPr>
              <w:t>0.1</w:t>
            </w:r>
            <w:r>
              <w:rPr>
                <w:rFonts w:hint="default" w:hAnsi="宋体"/>
                <w:color w:val="auto"/>
                <w:sz w:val="24"/>
                <w:szCs w:val="24"/>
                <w:lang w:val="en-US" w:eastAsia="zh-CN"/>
              </w:rPr>
              <w:t>kg计，废包装袋产生量约为</w:t>
            </w:r>
            <w:r>
              <w:rPr>
                <w:rFonts w:hint="eastAsia" w:hAnsi="宋体"/>
                <w:color w:val="auto"/>
                <w:sz w:val="24"/>
                <w:szCs w:val="24"/>
                <w:lang w:val="en-US" w:eastAsia="zh-CN"/>
              </w:rPr>
              <w:t>4.6</w:t>
            </w:r>
            <w:r>
              <w:rPr>
                <w:rFonts w:hint="default" w:hAnsi="宋体"/>
                <w:color w:val="auto"/>
                <w:sz w:val="24"/>
                <w:szCs w:val="24"/>
                <w:lang w:val="en-US" w:eastAsia="zh-CN"/>
              </w:rPr>
              <w:t>t/a</w:t>
            </w:r>
            <w:r>
              <w:rPr>
                <w:rFonts w:hint="eastAsia" w:hAnsi="宋体"/>
                <w:color w:val="auto"/>
                <w:sz w:val="24"/>
                <w:szCs w:val="24"/>
                <w:lang w:val="en-US" w:eastAsia="zh-CN"/>
              </w:rPr>
              <w:t>，废包装袋可暂存于一般固废暂存间，定期由相关企业回收。</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③原辅材料</w:t>
            </w:r>
            <w:r>
              <w:rPr>
                <w:rFonts w:hint="default" w:hAnsi="宋体"/>
                <w:color w:val="auto"/>
                <w:sz w:val="24"/>
                <w:szCs w:val="24"/>
                <w:lang w:val="en-US" w:eastAsia="zh-CN"/>
              </w:rPr>
              <w:t>废包装袋</w:t>
            </w:r>
            <w:r>
              <w:rPr>
                <w:rFonts w:hint="eastAsia" w:hAnsi="宋体"/>
                <w:color w:val="auto"/>
                <w:sz w:val="24"/>
                <w:szCs w:val="24"/>
                <w:lang w:val="en-US" w:eastAsia="zh-CN"/>
              </w:rPr>
              <w:t>：</w:t>
            </w:r>
            <w:r>
              <w:rPr>
                <w:rFonts w:hint="default" w:hAnsi="宋体"/>
                <w:color w:val="auto"/>
                <w:sz w:val="24"/>
                <w:szCs w:val="24"/>
                <w:lang w:val="en-US" w:eastAsia="zh-CN"/>
              </w:rPr>
              <w:t>本项目玉米、豆粕等原辅料倒出后产生废旧编织袋等包装材料，产生编织袋约300万个，每个按</w:t>
            </w:r>
            <w:r>
              <w:rPr>
                <w:rFonts w:hint="eastAsia" w:hAnsi="宋体"/>
                <w:color w:val="auto"/>
                <w:sz w:val="24"/>
                <w:szCs w:val="24"/>
                <w:lang w:val="en-US" w:eastAsia="zh-CN"/>
              </w:rPr>
              <w:t>0.1</w:t>
            </w:r>
            <w:r>
              <w:rPr>
                <w:rFonts w:hint="default" w:hAnsi="宋体"/>
                <w:color w:val="auto"/>
                <w:sz w:val="24"/>
                <w:szCs w:val="24"/>
                <w:lang w:val="en-US" w:eastAsia="zh-CN"/>
              </w:rPr>
              <w:t>kg计，则年产生量约</w:t>
            </w:r>
            <w:r>
              <w:rPr>
                <w:rFonts w:hint="eastAsia" w:hAnsi="宋体"/>
                <w:color w:val="auto"/>
                <w:sz w:val="24"/>
                <w:szCs w:val="24"/>
                <w:lang w:val="en-US" w:eastAsia="zh-CN"/>
              </w:rPr>
              <w:t>30</w:t>
            </w:r>
            <w:r>
              <w:rPr>
                <w:rFonts w:hint="default" w:hAnsi="宋体"/>
                <w:color w:val="auto"/>
                <w:sz w:val="24"/>
                <w:szCs w:val="24"/>
                <w:lang w:val="en-US" w:eastAsia="zh-CN"/>
              </w:rPr>
              <w:t>t/a，属于一般固体废物，</w:t>
            </w:r>
            <w:r>
              <w:rPr>
                <w:rFonts w:hint="eastAsia" w:hAnsi="宋体"/>
                <w:color w:val="auto"/>
                <w:sz w:val="24"/>
                <w:szCs w:val="24"/>
                <w:lang w:val="en-US" w:eastAsia="zh-CN"/>
              </w:rPr>
              <w:t>废包装袋可暂存于一般固废暂存间，定期由相关企业回收。</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④</w:t>
            </w:r>
            <w:r>
              <w:rPr>
                <w:rFonts w:hint="default" w:hAnsi="宋体"/>
                <w:color w:val="auto"/>
                <w:sz w:val="24"/>
                <w:szCs w:val="24"/>
                <w:lang w:val="en-US" w:eastAsia="zh-CN"/>
              </w:rPr>
              <w:t>除尘器收集的</w:t>
            </w:r>
            <w:r>
              <w:rPr>
                <w:rFonts w:hint="eastAsia" w:hAnsi="宋体"/>
                <w:color w:val="auto"/>
                <w:sz w:val="24"/>
                <w:szCs w:val="24"/>
                <w:lang w:val="en-US" w:eastAsia="zh-CN"/>
              </w:rPr>
              <w:t>粉尘</w:t>
            </w:r>
            <w:r>
              <w:rPr>
                <w:rFonts w:hint="default" w:hAnsi="宋体"/>
                <w:color w:val="auto"/>
                <w:sz w:val="24"/>
                <w:szCs w:val="24"/>
                <w:lang w:val="en-US" w:eastAsia="zh-CN"/>
              </w:rPr>
              <w:t>：根据工程分析，除尘灰产生量约为</w:t>
            </w:r>
            <w:r>
              <w:rPr>
                <w:rFonts w:hint="eastAsia" w:hAnsi="宋体"/>
                <w:color w:val="auto"/>
                <w:sz w:val="24"/>
                <w:szCs w:val="24"/>
                <w:lang w:val="en-US" w:eastAsia="zh-CN"/>
              </w:rPr>
              <w:t>11.47</w:t>
            </w:r>
            <w:r>
              <w:rPr>
                <w:rFonts w:hint="default" w:hAnsi="宋体"/>
                <w:color w:val="auto"/>
                <w:sz w:val="24"/>
                <w:szCs w:val="24"/>
                <w:lang w:val="en-US" w:eastAsia="zh-CN"/>
              </w:rPr>
              <w:t>t/a</w:t>
            </w:r>
            <w:r>
              <w:rPr>
                <w:rFonts w:hint="eastAsia" w:hAnsi="宋体"/>
                <w:color w:val="auto"/>
                <w:sz w:val="24"/>
                <w:szCs w:val="24"/>
                <w:lang w:val="en-US" w:eastAsia="zh-CN"/>
              </w:rPr>
              <w:t>，除尘器收集的粉尘均为本项目原辅材料，因此可回用于生产线。</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（2）</w:t>
            </w:r>
            <w:r>
              <w:rPr>
                <w:rFonts w:hint="default" w:hAnsi="宋体"/>
                <w:color w:val="auto"/>
                <w:sz w:val="24"/>
                <w:szCs w:val="24"/>
                <w:lang w:val="en-US" w:eastAsia="zh-CN"/>
              </w:rPr>
              <w:t>危险废物</w:t>
            </w:r>
          </w:p>
          <w:p>
            <w:pPr>
              <w:spacing w:line="360" w:lineRule="auto"/>
              <w:ind w:firstLine="480" w:firstLineChars="200"/>
              <w:rPr>
                <w:rFonts w:hint="default" w:hAnsi="宋体"/>
                <w:color w:val="auto"/>
                <w:sz w:val="24"/>
                <w:szCs w:val="24"/>
                <w:lang w:val="en-US" w:eastAsia="zh-CN"/>
              </w:rPr>
            </w:pPr>
            <w:r>
              <w:rPr>
                <w:rFonts w:hint="default" w:hAnsi="宋体"/>
                <w:color w:val="auto"/>
                <w:sz w:val="24"/>
                <w:szCs w:val="24"/>
                <w:lang w:val="en-US" w:eastAsia="zh-CN"/>
              </w:rPr>
              <w:t>危险废物主要包括机械设备维修产生的废机油、含油</w:t>
            </w:r>
            <w:r>
              <w:rPr>
                <w:rFonts w:hint="eastAsia" w:hAnsi="宋体"/>
                <w:color w:val="auto"/>
                <w:sz w:val="24"/>
                <w:szCs w:val="24"/>
                <w:lang w:val="en-US" w:eastAsia="zh-CN"/>
              </w:rPr>
              <w:t>废抹布及</w:t>
            </w:r>
            <w:r>
              <w:rPr>
                <w:rFonts w:hint="default" w:hAnsi="宋体"/>
                <w:color w:val="auto"/>
                <w:sz w:val="24"/>
                <w:szCs w:val="24"/>
                <w:lang w:val="en-US" w:eastAsia="zh-CN"/>
              </w:rPr>
              <w:t>手套。</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①</w:t>
            </w:r>
            <w:r>
              <w:rPr>
                <w:rFonts w:hint="default" w:hAnsi="宋体"/>
                <w:color w:val="auto"/>
                <w:sz w:val="24"/>
                <w:szCs w:val="24"/>
                <w:lang w:val="en-US" w:eastAsia="zh-CN"/>
              </w:rPr>
              <w:t>废机油：类比同类型项目分析，设备维修过程中废机油产生量约0.5t/a。</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②</w:t>
            </w:r>
            <w:r>
              <w:rPr>
                <w:rFonts w:hint="default" w:hAnsi="宋体"/>
                <w:color w:val="auto"/>
                <w:sz w:val="24"/>
                <w:szCs w:val="24"/>
                <w:lang w:val="en-US" w:eastAsia="zh-CN"/>
              </w:rPr>
              <w:t>含油</w:t>
            </w:r>
            <w:r>
              <w:rPr>
                <w:rFonts w:hint="eastAsia" w:hAnsi="宋体"/>
                <w:color w:val="auto"/>
                <w:sz w:val="24"/>
                <w:szCs w:val="24"/>
                <w:lang w:val="en-US" w:eastAsia="zh-CN"/>
              </w:rPr>
              <w:t>废抹布及</w:t>
            </w:r>
            <w:r>
              <w:rPr>
                <w:rFonts w:hint="default" w:hAnsi="宋体"/>
                <w:color w:val="auto"/>
                <w:sz w:val="24"/>
                <w:szCs w:val="24"/>
                <w:lang w:val="en-US" w:eastAsia="zh-CN"/>
              </w:rPr>
              <w:t>手套：类比同类型项目分析，设备维修过程中含油</w:t>
            </w:r>
            <w:r>
              <w:rPr>
                <w:rFonts w:hint="eastAsia" w:hAnsi="宋体"/>
                <w:color w:val="auto"/>
                <w:sz w:val="24"/>
                <w:szCs w:val="24"/>
                <w:lang w:val="en-US" w:eastAsia="zh-CN"/>
              </w:rPr>
              <w:t>废抹布及</w:t>
            </w:r>
            <w:r>
              <w:rPr>
                <w:rFonts w:hint="default" w:hAnsi="宋体"/>
                <w:color w:val="auto"/>
                <w:sz w:val="24"/>
                <w:szCs w:val="24"/>
                <w:lang w:val="en-US" w:eastAsia="zh-CN"/>
              </w:rPr>
              <w:t>手套产生量约0.1t/a。</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本项目运营期虽然危险废物产生量不大，为避免对环境造成污染，环评要求建设单位应修建建筑面积不小于10m</w:t>
            </w:r>
            <w:r>
              <w:rPr>
                <w:rFonts w:hint="eastAsia" w:hAnsi="宋体"/>
                <w:color w:val="auto"/>
                <w:sz w:val="24"/>
                <w:szCs w:val="24"/>
                <w:vertAlign w:val="superscript"/>
                <w:lang w:val="en-US" w:eastAsia="zh-CN"/>
              </w:rPr>
              <w:t>2</w:t>
            </w:r>
            <w:r>
              <w:rPr>
                <w:rFonts w:hint="eastAsia" w:hAnsi="宋体"/>
                <w:color w:val="auto"/>
                <w:sz w:val="24"/>
                <w:szCs w:val="24"/>
                <w:lang w:val="en-US" w:eastAsia="zh-CN"/>
              </w:rPr>
              <w:t>的危险废物暂存间，上述危险废物应暂存于危险废物暂存间内，委托有资质的单位定期处置。</w:t>
            </w:r>
          </w:p>
          <w:p>
            <w:pPr>
              <w:spacing w:line="360" w:lineRule="auto"/>
              <w:ind w:firstLine="480" w:firstLineChars="200"/>
              <w:rPr>
                <w:rFonts w:hint="default" w:hAnsi="宋体"/>
                <w:color w:val="auto"/>
                <w:sz w:val="24"/>
                <w:szCs w:val="24"/>
                <w:lang w:val="en-US" w:eastAsia="zh-CN"/>
              </w:rPr>
            </w:pPr>
            <w:r>
              <w:rPr>
                <w:rFonts w:hint="eastAsia" w:hAnsi="宋体"/>
                <w:color w:val="auto"/>
                <w:sz w:val="24"/>
                <w:szCs w:val="24"/>
                <w:lang w:val="en-US" w:eastAsia="zh-CN"/>
              </w:rPr>
              <w:t>（3）</w:t>
            </w:r>
            <w:r>
              <w:rPr>
                <w:rFonts w:hint="default" w:hAnsi="宋体"/>
                <w:color w:val="auto"/>
                <w:sz w:val="24"/>
                <w:szCs w:val="24"/>
                <w:lang w:val="en-US" w:eastAsia="zh-CN"/>
              </w:rPr>
              <w:t>生活垃圾</w:t>
            </w:r>
          </w:p>
          <w:p>
            <w:pPr>
              <w:spacing w:line="360" w:lineRule="auto"/>
              <w:ind w:firstLine="480" w:firstLineChars="200"/>
              <w:rPr>
                <w:rFonts w:hint="default" w:hAnsi="宋体"/>
                <w:color w:val="auto"/>
                <w:sz w:val="24"/>
                <w:szCs w:val="24"/>
                <w:lang w:val="en-US" w:eastAsia="zh-CN"/>
              </w:rPr>
            </w:pPr>
            <w:r>
              <w:rPr>
                <w:rFonts w:hint="default" w:hAnsi="宋体"/>
                <w:color w:val="auto"/>
                <w:sz w:val="24"/>
                <w:szCs w:val="24"/>
                <w:lang w:val="en-US" w:eastAsia="zh-CN"/>
              </w:rPr>
              <w:t>本项目营运后，全厂劳动定员为</w:t>
            </w:r>
            <w:r>
              <w:rPr>
                <w:rFonts w:hint="eastAsia" w:hAnsi="宋体"/>
                <w:color w:val="auto"/>
                <w:sz w:val="24"/>
                <w:szCs w:val="24"/>
                <w:lang w:val="en-US" w:eastAsia="zh-CN"/>
              </w:rPr>
              <w:t>45</w:t>
            </w:r>
            <w:r>
              <w:rPr>
                <w:rFonts w:hint="default" w:hAnsi="宋体"/>
                <w:color w:val="auto"/>
                <w:sz w:val="24"/>
                <w:szCs w:val="24"/>
                <w:lang w:val="en-US" w:eastAsia="zh-CN"/>
              </w:rPr>
              <w:t>人，垃圾产生量按每人每天</w:t>
            </w:r>
            <w:r>
              <w:rPr>
                <w:rFonts w:hint="eastAsia" w:hAnsi="宋体"/>
                <w:color w:val="auto"/>
                <w:sz w:val="24"/>
                <w:szCs w:val="24"/>
                <w:lang w:val="en-US" w:eastAsia="zh-CN"/>
              </w:rPr>
              <w:t>0.5</w:t>
            </w:r>
            <w:r>
              <w:rPr>
                <w:rFonts w:hint="default" w:hAnsi="宋体"/>
                <w:color w:val="auto"/>
                <w:sz w:val="24"/>
                <w:szCs w:val="24"/>
                <w:lang w:val="en-US" w:eastAsia="zh-CN"/>
              </w:rPr>
              <w:t>kg计，则生活垃圾产生量为</w:t>
            </w:r>
            <w:r>
              <w:rPr>
                <w:rFonts w:hint="eastAsia" w:hAnsi="宋体"/>
                <w:color w:val="auto"/>
                <w:sz w:val="24"/>
                <w:szCs w:val="24"/>
                <w:lang w:val="en-US" w:eastAsia="zh-CN"/>
              </w:rPr>
              <w:t>22.5</w:t>
            </w:r>
            <w:r>
              <w:rPr>
                <w:rFonts w:hint="default" w:hAnsi="宋体"/>
                <w:color w:val="auto"/>
                <w:sz w:val="24"/>
                <w:szCs w:val="24"/>
                <w:lang w:val="en-US" w:eastAsia="zh-CN"/>
              </w:rPr>
              <w:t>kg/d、</w:t>
            </w:r>
            <w:r>
              <w:rPr>
                <w:rFonts w:hint="eastAsia" w:hAnsi="宋体"/>
                <w:color w:val="auto"/>
                <w:sz w:val="24"/>
                <w:szCs w:val="24"/>
                <w:lang w:val="en-US" w:eastAsia="zh-CN"/>
              </w:rPr>
              <w:t>6.75</w:t>
            </w:r>
            <w:r>
              <w:rPr>
                <w:rFonts w:hint="default" w:hAnsi="宋体"/>
                <w:color w:val="auto"/>
                <w:sz w:val="24"/>
                <w:szCs w:val="24"/>
                <w:lang w:val="en-US" w:eastAsia="zh-CN"/>
              </w:rPr>
              <w:t>t/a，建设单位采用垃圾桶收集后，委托环卫部门定期清运。</w:t>
            </w:r>
          </w:p>
          <w:p>
            <w:pPr>
              <w:spacing w:line="360" w:lineRule="auto"/>
              <w:ind w:firstLine="480" w:firstLineChars="200"/>
              <w:rPr>
                <w:rFonts w:hint="default" w:hAnsi="宋体"/>
                <w:color w:val="auto"/>
                <w:sz w:val="24"/>
                <w:szCs w:val="24"/>
                <w:lang w:val="en-US" w:eastAsia="zh-CN"/>
              </w:rPr>
            </w:pPr>
            <w:r>
              <w:rPr>
                <w:rFonts w:hint="default" w:hAnsi="宋体"/>
                <w:color w:val="auto"/>
                <w:sz w:val="24"/>
                <w:szCs w:val="24"/>
                <w:lang w:val="en-US" w:eastAsia="zh-CN"/>
              </w:rPr>
              <w:t>本项目固体废物产生及防治措施见表</w:t>
            </w:r>
            <w:r>
              <w:rPr>
                <w:rFonts w:hint="eastAsia" w:hAnsi="宋体"/>
                <w:color w:val="auto"/>
                <w:sz w:val="24"/>
                <w:szCs w:val="24"/>
                <w:lang w:val="en-US" w:eastAsia="zh-CN"/>
              </w:rPr>
              <w:t>7-14</w:t>
            </w:r>
            <w:r>
              <w:rPr>
                <w:rFonts w:hint="default" w:hAnsi="宋体"/>
                <w:color w:val="auto"/>
                <w:sz w:val="24"/>
                <w:szCs w:val="24"/>
                <w:lang w:val="en-US" w:eastAsia="zh-CN"/>
              </w:rPr>
              <w:t>。</w:t>
            </w:r>
          </w:p>
          <w:p>
            <w:pPr>
              <w:spacing w:line="360" w:lineRule="auto"/>
              <w:jc w:val="center"/>
              <w:rPr>
                <w:rFonts w:hint="default" w:ascii="Times New Roman" w:hAnsiTheme="minorHAnsi" w:eastAsiaTheme="minorEastAsia" w:cstheme="minorBidi"/>
                <w:b/>
                <w:bCs/>
                <w:kern w:val="2"/>
                <w:sz w:val="21"/>
                <w:szCs w:val="24"/>
                <w:lang w:val="en-US" w:eastAsia="zh-CN" w:bidi="ar-SA"/>
              </w:rPr>
            </w:pPr>
            <w:r>
              <w:rPr>
                <w:rFonts w:hint="default" w:ascii="Times New Roman" w:hAnsiTheme="minorHAnsi" w:eastAsiaTheme="minorEastAsia" w:cstheme="minorBidi"/>
                <w:b/>
                <w:bCs/>
                <w:kern w:val="2"/>
                <w:sz w:val="21"/>
                <w:szCs w:val="24"/>
                <w:lang w:val="en-US" w:eastAsia="zh-CN" w:bidi="ar-SA"/>
              </w:rPr>
              <w:t>表</w:t>
            </w:r>
            <w:r>
              <w:rPr>
                <w:rFonts w:hint="eastAsia" w:hAnsiTheme="minorHAnsi" w:cstheme="minorBidi"/>
                <w:b/>
                <w:bCs/>
                <w:kern w:val="2"/>
                <w:sz w:val="21"/>
                <w:szCs w:val="24"/>
                <w:lang w:val="en-US" w:eastAsia="zh-CN" w:bidi="ar-SA"/>
              </w:rPr>
              <w:t>7-14</w:t>
            </w:r>
            <w:r>
              <w:rPr>
                <w:rFonts w:hint="eastAsia" w:ascii="Times New Roman" w:hAnsiTheme="minorHAnsi" w:eastAsiaTheme="minorEastAsia" w:cstheme="minorBidi"/>
                <w:b/>
                <w:bCs/>
                <w:kern w:val="2"/>
                <w:sz w:val="21"/>
                <w:szCs w:val="24"/>
                <w:lang w:val="en-US" w:eastAsia="zh-CN" w:bidi="ar-SA"/>
              </w:rPr>
              <w:t xml:space="preserve">  </w:t>
            </w:r>
            <w:r>
              <w:rPr>
                <w:rFonts w:hint="default" w:ascii="Times New Roman" w:hAnsiTheme="minorHAnsi" w:eastAsiaTheme="minorEastAsia" w:cstheme="minorBidi"/>
                <w:b/>
                <w:bCs/>
                <w:kern w:val="2"/>
                <w:sz w:val="21"/>
                <w:szCs w:val="24"/>
                <w:lang w:val="en-US" w:eastAsia="zh-CN" w:bidi="ar-SA"/>
              </w:rPr>
              <w:t>本项目固体废物产生情况及防治措施一览表</w:t>
            </w:r>
            <w:r>
              <w:rPr>
                <w:rFonts w:hint="eastAsia" w:ascii="Times New Roman" w:hAnsiTheme="minorHAnsi" w:cstheme="minorBidi"/>
                <w:b/>
                <w:bCs/>
                <w:kern w:val="2"/>
                <w:sz w:val="21"/>
                <w:szCs w:val="24"/>
                <w:lang w:val="en-US" w:eastAsia="zh-CN" w:bidi="ar-SA"/>
              </w:rPr>
              <w:t xml:space="preserve">  </w:t>
            </w:r>
            <w:r>
              <w:rPr>
                <w:rFonts w:hint="default" w:ascii="Times New Roman" w:hAnsiTheme="minorHAnsi" w:eastAsiaTheme="minorEastAsia" w:cstheme="minorBidi"/>
                <w:b/>
                <w:bCs/>
                <w:kern w:val="2"/>
                <w:sz w:val="21"/>
                <w:szCs w:val="24"/>
                <w:lang w:val="en-US" w:eastAsia="zh-CN" w:bidi="ar-SA"/>
              </w:rPr>
              <w:t>t/a</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8"/>
              <w:gridCol w:w="1057"/>
              <w:gridCol w:w="1984"/>
              <w:gridCol w:w="1060"/>
              <w:gridCol w:w="1170"/>
              <w:gridCol w:w="870"/>
              <w:gridCol w:w="18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产污环节</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污染物</w:t>
                  </w:r>
                </w:p>
              </w:tc>
              <w:tc>
                <w:tcPr>
                  <w:tcW w:w="106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主要成份</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固废性质</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产生量</w:t>
                  </w:r>
                </w:p>
              </w:tc>
              <w:tc>
                <w:tcPr>
                  <w:tcW w:w="18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防治措施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原料初清</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杂质</w:t>
                  </w:r>
                </w:p>
              </w:tc>
              <w:tc>
                <w:tcPr>
                  <w:tcW w:w="106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铁、石子</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57.52</w:t>
                  </w:r>
                </w:p>
              </w:tc>
              <w:tc>
                <w:tcPr>
                  <w:tcW w:w="1838"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收集后暂存一般固废暂存间，定期外售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成品包装</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成品废包装袋</w:t>
                  </w:r>
                </w:p>
              </w:tc>
              <w:tc>
                <w:tcPr>
                  <w:tcW w:w="106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纤维</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4.6</w:t>
                  </w:r>
                </w:p>
              </w:tc>
              <w:tc>
                <w:tcPr>
                  <w:tcW w:w="183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原料接收</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eastAsia="zh-CN"/>
                    </w:rPr>
                    <w:t>原辅材料</w:t>
                  </w:r>
                  <w:r>
                    <w:rPr>
                      <w:rFonts w:hint="default" w:ascii="Times New Roman" w:hAnsi="Times New Roman" w:cs="Times New Roman"/>
                    </w:rPr>
                    <w:t>废包装袋</w:t>
                  </w:r>
                </w:p>
              </w:tc>
              <w:tc>
                <w:tcPr>
                  <w:tcW w:w="106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纤维</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30</w:t>
                  </w:r>
                </w:p>
              </w:tc>
              <w:tc>
                <w:tcPr>
                  <w:tcW w:w="183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脉冲除尘</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rPr>
                    <w:t>除尘器收集的</w:t>
                  </w:r>
                  <w:r>
                    <w:rPr>
                      <w:rFonts w:hint="eastAsia" w:ascii="Times New Roman" w:hAnsi="Times New Roman" w:cs="Times New Roman"/>
                      <w:lang w:eastAsia="zh-CN"/>
                    </w:rPr>
                    <w:t>粉尘</w:t>
                  </w:r>
                </w:p>
              </w:tc>
              <w:tc>
                <w:tcPr>
                  <w:tcW w:w="106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cs="Times New Roman"/>
                      <w:lang w:val="en-US" w:eastAsia="zh-CN"/>
                    </w:rPr>
                    <w:t>11.47</w:t>
                  </w:r>
                </w:p>
              </w:tc>
              <w:tc>
                <w:tcPr>
                  <w:tcW w:w="18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回用于生产线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设备维修</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rPr>
                    <w:t>废机油</w:t>
                  </w:r>
                </w:p>
              </w:tc>
              <w:tc>
                <w:tcPr>
                  <w:tcW w:w="106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0.5</w:t>
                  </w:r>
                </w:p>
              </w:tc>
              <w:tc>
                <w:tcPr>
                  <w:tcW w:w="1838" w:type="dxa"/>
                  <w:vMerge w:val="restart"/>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暂存于危废间，</w:t>
                  </w:r>
                  <w:r>
                    <w:rPr>
                      <w:rFonts w:hint="eastAsia" w:ascii="Times New Roman" w:hAnsi="Times New Roman" w:cs="Times New Roman"/>
                      <w:lang w:val="en-US" w:eastAsia="zh-CN"/>
                    </w:rPr>
                    <w:t>委托有资质的单位定期处置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设备维修</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rPr>
                    <w:t>含油</w:t>
                  </w:r>
                  <w:r>
                    <w:rPr>
                      <w:rFonts w:hint="eastAsia" w:ascii="Times New Roman" w:hAnsi="Times New Roman" w:cs="Times New Roman"/>
                      <w:lang w:eastAsia="zh-CN"/>
                    </w:rPr>
                    <w:t>废抹布及</w:t>
                  </w:r>
                  <w:r>
                    <w:rPr>
                      <w:rFonts w:hint="default" w:ascii="Times New Roman" w:hAnsi="Times New Roman" w:cs="Times New Roman"/>
                    </w:rPr>
                    <w:t>手套</w:t>
                  </w:r>
                </w:p>
              </w:tc>
              <w:tc>
                <w:tcPr>
                  <w:tcW w:w="106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0.1</w:t>
                  </w:r>
                </w:p>
              </w:tc>
              <w:tc>
                <w:tcPr>
                  <w:tcW w:w="1838" w:type="dxa"/>
                  <w:vMerge w:val="continue"/>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cs="Times New Roman"/>
                      <w:lang w:val="en-US" w:eastAsia="zh-CN"/>
                    </w:rPr>
                    <w:t>7</w:t>
                  </w:r>
                </w:p>
              </w:tc>
              <w:tc>
                <w:tcPr>
                  <w:tcW w:w="1057"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办公生活</w:t>
                  </w:r>
                </w:p>
              </w:tc>
              <w:tc>
                <w:tcPr>
                  <w:tcW w:w="1984"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106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果皮、纸屑等</w:t>
                  </w:r>
                </w:p>
              </w:tc>
              <w:tc>
                <w:tcPr>
                  <w:tcW w:w="11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870"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6.75</w:t>
                  </w:r>
                </w:p>
              </w:tc>
              <w:tc>
                <w:tcPr>
                  <w:tcW w:w="183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定点收集，环卫清运</w:t>
                  </w:r>
                </w:p>
              </w:tc>
            </w:tr>
          </w:tbl>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危险废物暂存间要求：</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危废贮存：由于危险化学品废物的固有属性，包括化学反应性、毒性、易燃性、腐蚀性或其他特性，可导致对人类健康或环境产生危害，因此在其收集、存储及运输期间必须注意进行不同于一般废物的特殊管理。</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第一条：易挥发、液体、半固体的危险废物必须按规定装入容器内存放，无法装入常用容器的危险废物可用防漏胶袋、编织袋盛装。</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第二条：禁止将不相容（相互反应）的危险废物在同一容器内混装。不相容的危险废物不能堆放在一起。</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第三条：装载液体、半固体危险废物的容器内须留足够空间，容器顶部与液体表面之间保留100毫米以上的空间。</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第四条：装有危险废物的容器上必需粘贴标签注明废物的名称和识别标志。</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第五条：危险废物必须分类储存、禁止混放。</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第六条：车间管理员每天要不定时检查危险废物储存情况。</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第七条：禁止露天存放危险废物。</w:t>
            </w:r>
          </w:p>
          <w:p>
            <w:pPr>
              <w:spacing w:line="360" w:lineRule="auto"/>
              <w:ind w:firstLine="480" w:firstLineChars="200"/>
              <w:rPr>
                <w:rFonts w:hint="eastAsia" w:hAnsi="宋体"/>
                <w:color w:val="auto"/>
                <w:sz w:val="24"/>
                <w:szCs w:val="24"/>
                <w:lang w:val="en-US" w:eastAsia="zh-CN"/>
              </w:rPr>
            </w:pPr>
            <w:r>
              <w:rPr>
                <w:rFonts w:hint="eastAsia" w:hAnsi="宋体"/>
                <w:color w:val="auto"/>
                <w:sz w:val="24"/>
                <w:szCs w:val="24"/>
                <w:lang w:val="en-US" w:eastAsia="zh-CN"/>
              </w:rPr>
              <w:t>场地要求：本项目危废暂存间要求设置醒目的警示标志，危废的容器和包装物必须粘贴危废识别标志；储存场所地面须作硬化处理，场所内应有围堰，不同种类的危险废物要分类存放，中间有明显间隔；危废的贮存期限不得超过一年，延长贮存期限的，需报环保部门批准。</w:t>
            </w:r>
          </w:p>
          <w:p>
            <w:pPr>
              <w:spacing w:line="360" w:lineRule="auto"/>
              <w:ind w:firstLine="480" w:firstLineChars="200"/>
              <w:rPr>
                <w:sz w:val="24"/>
                <w:szCs w:val="22"/>
              </w:rPr>
            </w:pPr>
            <w:r>
              <w:rPr>
                <w:rFonts w:hint="eastAsia" w:hAnsi="宋体"/>
                <w:color w:val="auto"/>
                <w:sz w:val="24"/>
                <w:szCs w:val="24"/>
                <w:lang w:val="en-US" w:eastAsia="zh-CN"/>
              </w:rPr>
              <w:t>综上所述，项目产生的固体废物均得到妥善处理，对环境影响较小。</w:t>
            </w:r>
          </w:p>
        </w:tc>
      </w:tr>
    </w:tbl>
    <w:p>
      <w:pPr>
        <w:rPr>
          <w:rFonts w:hint="eastAsia"/>
          <w:b/>
          <w:sz w:val="32"/>
          <w:szCs w:val="32"/>
          <w:lang w:val="en-US" w:eastAsia="zh-CN"/>
        </w:rPr>
      </w:pPr>
      <w:r>
        <w:rPr>
          <w:rFonts w:hint="eastAsia"/>
          <w:b/>
          <w:sz w:val="32"/>
          <w:szCs w:val="32"/>
          <w:lang w:val="en-US" w:eastAsia="zh-CN"/>
        </w:rPr>
        <w:br w:type="page"/>
      </w:r>
    </w:p>
    <w:p>
      <w:pPr>
        <w:spacing w:line="440" w:lineRule="exact"/>
        <w:outlineLvl w:val="0"/>
        <w:rPr>
          <w:b/>
          <w:sz w:val="32"/>
          <w:szCs w:val="32"/>
        </w:rPr>
      </w:pPr>
      <w:r>
        <w:rPr>
          <w:rFonts w:hint="eastAsia"/>
          <w:b/>
          <w:sz w:val="32"/>
          <w:szCs w:val="32"/>
          <w:lang w:val="en-US" w:eastAsia="zh-CN"/>
        </w:rPr>
        <w:t>8</w:t>
      </w:r>
      <w:r>
        <w:rPr>
          <w:b/>
          <w:sz w:val="32"/>
          <w:szCs w:val="32"/>
        </w:rPr>
        <w:t>项目采取的防治措施及预期治理效果</w:t>
      </w: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7"/>
        <w:gridCol w:w="1271"/>
        <w:gridCol w:w="1388"/>
        <w:gridCol w:w="2280"/>
        <w:gridCol w:w="28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1267" w:type="dxa"/>
            <w:tcBorders>
              <w:top w:val="single" w:color="auto" w:sz="12" w:space="0"/>
              <w:tl2br w:val="single" w:color="auto" w:sz="12" w:space="0"/>
            </w:tcBorders>
            <w:vAlign w:val="center"/>
          </w:tcPr>
          <w:p>
            <w:pPr>
              <w:spacing w:line="240" w:lineRule="auto"/>
              <w:ind w:firstLine="482" w:firstLineChars="200"/>
              <w:rPr>
                <w:b/>
                <w:bCs/>
                <w:sz w:val="24"/>
              </w:rPr>
            </w:pPr>
            <w:r>
              <w:rPr>
                <w:rFonts w:hint="eastAsia"/>
                <w:b/>
                <w:bCs/>
                <w:sz w:val="24"/>
              </w:rPr>
              <w:t>内容</w:t>
            </w:r>
          </w:p>
          <w:p>
            <w:pPr>
              <w:spacing w:line="240" w:lineRule="auto"/>
              <w:rPr>
                <w:b/>
                <w:bCs/>
                <w:sz w:val="24"/>
              </w:rPr>
            </w:pPr>
            <w:r>
              <w:rPr>
                <w:b/>
                <w:bCs/>
                <w:sz w:val="24"/>
              </w:rPr>
              <w:t>类型</w:t>
            </w:r>
          </w:p>
        </w:tc>
        <w:tc>
          <w:tcPr>
            <w:tcW w:w="1271" w:type="dxa"/>
            <w:tcBorders>
              <w:top w:val="single" w:color="auto" w:sz="12" w:space="0"/>
            </w:tcBorders>
            <w:vAlign w:val="center"/>
          </w:tcPr>
          <w:p>
            <w:pPr>
              <w:spacing w:line="240" w:lineRule="auto"/>
              <w:jc w:val="center"/>
              <w:rPr>
                <w:b/>
                <w:bCs/>
                <w:sz w:val="24"/>
              </w:rPr>
            </w:pPr>
            <w:r>
              <w:rPr>
                <w:b/>
                <w:bCs/>
                <w:sz w:val="24"/>
              </w:rPr>
              <w:t>排放源</w:t>
            </w:r>
          </w:p>
          <w:p>
            <w:pPr>
              <w:spacing w:line="240" w:lineRule="auto"/>
              <w:jc w:val="center"/>
              <w:rPr>
                <w:b/>
                <w:bCs/>
                <w:sz w:val="24"/>
              </w:rPr>
            </w:pPr>
            <w:r>
              <w:rPr>
                <w:b/>
                <w:bCs/>
                <w:sz w:val="24"/>
              </w:rPr>
              <w:t>（编号）</w:t>
            </w:r>
          </w:p>
        </w:tc>
        <w:tc>
          <w:tcPr>
            <w:tcW w:w="1388" w:type="dxa"/>
            <w:tcBorders>
              <w:top w:val="single" w:color="auto" w:sz="12" w:space="0"/>
            </w:tcBorders>
            <w:vAlign w:val="center"/>
          </w:tcPr>
          <w:p>
            <w:pPr>
              <w:spacing w:line="240" w:lineRule="auto"/>
              <w:jc w:val="center"/>
              <w:rPr>
                <w:b/>
                <w:bCs/>
                <w:sz w:val="24"/>
              </w:rPr>
            </w:pPr>
            <w:r>
              <w:rPr>
                <w:b/>
                <w:bCs/>
                <w:sz w:val="24"/>
              </w:rPr>
              <w:t>污染物名称</w:t>
            </w:r>
          </w:p>
        </w:tc>
        <w:tc>
          <w:tcPr>
            <w:tcW w:w="2280" w:type="dxa"/>
            <w:tcBorders>
              <w:top w:val="single" w:color="auto" w:sz="12" w:space="0"/>
            </w:tcBorders>
            <w:vAlign w:val="center"/>
          </w:tcPr>
          <w:p>
            <w:pPr>
              <w:spacing w:line="240" w:lineRule="auto"/>
              <w:jc w:val="center"/>
              <w:rPr>
                <w:b/>
                <w:bCs/>
                <w:sz w:val="24"/>
              </w:rPr>
            </w:pPr>
            <w:r>
              <w:rPr>
                <w:b/>
                <w:bCs/>
                <w:sz w:val="24"/>
              </w:rPr>
              <w:t>防治措施</w:t>
            </w:r>
          </w:p>
        </w:tc>
        <w:tc>
          <w:tcPr>
            <w:tcW w:w="2865" w:type="dxa"/>
            <w:tcBorders>
              <w:top w:val="single" w:color="auto" w:sz="12" w:space="0"/>
            </w:tcBorders>
            <w:vAlign w:val="center"/>
          </w:tcPr>
          <w:p>
            <w:pPr>
              <w:spacing w:line="240" w:lineRule="auto"/>
              <w:jc w:val="center"/>
              <w:rPr>
                <w:b/>
                <w:bCs/>
                <w:sz w:val="24"/>
              </w:rPr>
            </w:pPr>
            <w:r>
              <w:rPr>
                <w:b/>
                <w:bCs/>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267" w:type="dxa"/>
            <w:vMerge w:val="restart"/>
            <w:vAlign w:val="center"/>
          </w:tcPr>
          <w:p>
            <w:pPr>
              <w:spacing w:line="240" w:lineRule="auto"/>
              <w:jc w:val="center"/>
              <w:rPr>
                <w:sz w:val="24"/>
              </w:rPr>
            </w:pPr>
            <w:r>
              <w:rPr>
                <w:rFonts w:hint="eastAsia"/>
                <w:sz w:val="24"/>
              </w:rPr>
              <w:t>大气污</w:t>
            </w:r>
          </w:p>
          <w:p>
            <w:pPr>
              <w:spacing w:line="240" w:lineRule="auto"/>
              <w:jc w:val="center"/>
              <w:rPr>
                <w:sz w:val="24"/>
              </w:rPr>
            </w:pPr>
            <w:r>
              <w:rPr>
                <w:rFonts w:hint="eastAsia"/>
                <w:sz w:val="24"/>
              </w:rPr>
              <w:t>染</w:t>
            </w:r>
            <w:r>
              <w:rPr>
                <w:rFonts w:hint="eastAsia"/>
                <w:sz w:val="24"/>
                <w:lang w:eastAsia="zh-CN"/>
              </w:rPr>
              <w:t>物</w:t>
            </w:r>
            <w:r>
              <w:rPr>
                <w:rFonts w:hint="eastAsia"/>
                <w:sz w:val="24"/>
              </w:rPr>
              <w:t>防治</w:t>
            </w:r>
          </w:p>
        </w:tc>
        <w:tc>
          <w:tcPr>
            <w:tcW w:w="1271" w:type="dxa"/>
            <w:vAlign w:val="center"/>
          </w:tcPr>
          <w:p>
            <w:pPr>
              <w:spacing w:line="240" w:lineRule="auto"/>
              <w:jc w:val="center"/>
              <w:rPr>
                <w:rFonts w:hint="eastAsia" w:eastAsia="宋体"/>
                <w:sz w:val="24"/>
                <w:lang w:eastAsia="zh-CN"/>
              </w:rPr>
            </w:pPr>
            <w:r>
              <w:rPr>
                <w:rFonts w:hint="eastAsia"/>
                <w:i w:val="0"/>
                <w:iCs w:val="0"/>
                <w:sz w:val="24"/>
                <w:u w:val="none"/>
                <w:lang w:val="en-US" w:eastAsia="zh-CN"/>
              </w:rPr>
              <w:t>排气筒P1</w:t>
            </w:r>
          </w:p>
        </w:tc>
        <w:tc>
          <w:tcPr>
            <w:tcW w:w="1388" w:type="dxa"/>
            <w:vAlign w:val="center"/>
          </w:tcPr>
          <w:p>
            <w:pPr>
              <w:spacing w:line="240" w:lineRule="auto"/>
              <w:jc w:val="center"/>
              <w:rPr>
                <w:rFonts w:hint="eastAsia" w:eastAsia="宋体"/>
                <w:sz w:val="24"/>
                <w:lang w:val="en-US" w:eastAsia="zh-CN"/>
              </w:rPr>
            </w:pPr>
            <w:r>
              <w:rPr>
                <w:rFonts w:hint="eastAsia"/>
                <w:i w:val="0"/>
                <w:iCs w:val="0"/>
                <w:sz w:val="24"/>
                <w:u w:val="none"/>
                <w:lang w:val="en-US" w:eastAsia="zh-CN"/>
              </w:rPr>
              <w:t>水蒸气</w:t>
            </w:r>
          </w:p>
        </w:tc>
        <w:tc>
          <w:tcPr>
            <w:tcW w:w="2280" w:type="dxa"/>
            <w:vAlign w:val="center"/>
          </w:tcPr>
          <w:p>
            <w:pPr>
              <w:spacing w:line="240" w:lineRule="auto"/>
              <w:jc w:val="center"/>
              <w:rPr>
                <w:rFonts w:hint="default"/>
                <w:sz w:val="24"/>
                <w:lang w:val="en-US" w:eastAsia="zh-CN"/>
              </w:rPr>
            </w:pPr>
            <w:r>
              <w:rPr>
                <w:rFonts w:hint="eastAsia"/>
                <w:sz w:val="24"/>
                <w:lang w:val="en-US" w:eastAsia="zh-CN"/>
              </w:rPr>
              <w:t>负压风机+1根45m排气筒</w:t>
            </w:r>
          </w:p>
        </w:tc>
        <w:tc>
          <w:tcPr>
            <w:tcW w:w="2865" w:type="dxa"/>
            <w:vAlign w:val="center"/>
          </w:tcPr>
          <w:p>
            <w:pPr>
              <w:spacing w:line="240" w:lineRule="auto"/>
              <w:jc w:val="center"/>
              <w:rPr>
                <w:rFonts w:hint="eastAsia"/>
                <w:sz w:val="24"/>
                <w:lang w:eastAsia="zh-CN"/>
              </w:rPr>
            </w:pPr>
            <w:r>
              <w:rPr>
                <w:rFonts w:hint="eastAsia"/>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267" w:type="dxa"/>
            <w:vMerge w:val="continue"/>
            <w:vAlign w:val="center"/>
          </w:tcPr>
          <w:p>
            <w:pPr>
              <w:spacing w:line="240" w:lineRule="auto"/>
              <w:jc w:val="center"/>
              <w:rPr>
                <w:rFonts w:hint="eastAsia"/>
                <w:sz w:val="24"/>
              </w:rPr>
            </w:pPr>
          </w:p>
        </w:tc>
        <w:tc>
          <w:tcPr>
            <w:tcW w:w="1271" w:type="dxa"/>
            <w:vAlign w:val="center"/>
          </w:tcPr>
          <w:p>
            <w:pPr>
              <w:spacing w:line="240" w:lineRule="auto"/>
              <w:jc w:val="center"/>
              <w:rPr>
                <w:rFonts w:hint="eastAsia"/>
                <w:sz w:val="24"/>
              </w:rPr>
            </w:pPr>
            <w:r>
              <w:rPr>
                <w:rFonts w:hint="eastAsia"/>
                <w:i w:val="0"/>
                <w:iCs w:val="0"/>
                <w:sz w:val="24"/>
                <w:u w:val="none"/>
                <w:lang w:val="en-US" w:eastAsia="zh-CN"/>
              </w:rPr>
              <w:t>排气筒P2</w:t>
            </w:r>
          </w:p>
        </w:tc>
        <w:tc>
          <w:tcPr>
            <w:tcW w:w="1388" w:type="dxa"/>
            <w:vAlign w:val="center"/>
          </w:tcPr>
          <w:p>
            <w:pPr>
              <w:spacing w:line="240" w:lineRule="auto"/>
              <w:jc w:val="center"/>
              <w:rPr>
                <w:rFonts w:hint="eastAsia"/>
                <w:sz w:val="24"/>
                <w:lang w:val="en-US" w:eastAsia="zh-CN"/>
              </w:rPr>
            </w:pPr>
            <w:r>
              <w:rPr>
                <w:rFonts w:hint="eastAsia"/>
                <w:sz w:val="24"/>
                <w:lang w:val="en-US" w:eastAsia="zh-CN"/>
              </w:rPr>
              <w:t>颗粒物</w:t>
            </w:r>
          </w:p>
        </w:tc>
        <w:tc>
          <w:tcPr>
            <w:tcW w:w="2280" w:type="dxa"/>
            <w:vAlign w:val="center"/>
          </w:tcPr>
          <w:p>
            <w:pPr>
              <w:spacing w:line="240" w:lineRule="auto"/>
              <w:jc w:val="center"/>
              <w:rPr>
                <w:rFonts w:hint="eastAsia"/>
                <w:sz w:val="24"/>
                <w:lang w:val="en-US" w:eastAsia="zh-CN"/>
              </w:rPr>
            </w:pPr>
            <w:r>
              <w:rPr>
                <w:rFonts w:hint="eastAsia"/>
                <w:sz w:val="24"/>
                <w:lang w:val="en-US" w:eastAsia="zh-CN"/>
              </w:rPr>
              <w:t>5套脉冲布袋除尘器+1根45m排气筒</w:t>
            </w:r>
          </w:p>
        </w:tc>
        <w:tc>
          <w:tcPr>
            <w:tcW w:w="2865" w:type="dxa"/>
            <w:vAlign w:val="center"/>
          </w:tcPr>
          <w:p>
            <w:pPr>
              <w:spacing w:line="240" w:lineRule="auto"/>
              <w:jc w:val="center"/>
              <w:rPr>
                <w:rFonts w:hint="eastAsia"/>
                <w:sz w:val="24"/>
              </w:rPr>
            </w:pPr>
            <w:r>
              <w:rPr>
                <w:rFonts w:hint="eastAsia"/>
                <w:sz w:val="24"/>
                <w:lang w:eastAsia="zh-CN"/>
              </w:rPr>
              <w:t>达到《大气污染物综合排放标准》（GB16297-1996）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267" w:type="dxa"/>
            <w:vMerge w:val="continue"/>
            <w:vAlign w:val="center"/>
          </w:tcPr>
          <w:p>
            <w:pPr>
              <w:spacing w:line="240" w:lineRule="auto"/>
              <w:jc w:val="center"/>
              <w:rPr>
                <w:rFonts w:hint="eastAsia"/>
                <w:sz w:val="24"/>
              </w:rPr>
            </w:pPr>
          </w:p>
        </w:tc>
        <w:tc>
          <w:tcPr>
            <w:tcW w:w="1271" w:type="dxa"/>
            <w:vMerge w:val="restart"/>
            <w:vAlign w:val="center"/>
          </w:tcPr>
          <w:p>
            <w:pPr>
              <w:spacing w:line="240" w:lineRule="auto"/>
              <w:jc w:val="center"/>
              <w:rPr>
                <w:rFonts w:hint="eastAsia"/>
                <w:sz w:val="24"/>
              </w:rPr>
            </w:pPr>
            <w:r>
              <w:rPr>
                <w:rFonts w:hint="eastAsia"/>
                <w:i w:val="0"/>
                <w:iCs w:val="0"/>
                <w:sz w:val="24"/>
                <w:u w:val="none"/>
                <w:lang w:val="en-US" w:eastAsia="zh-CN"/>
              </w:rPr>
              <w:t>排气筒P3</w:t>
            </w:r>
          </w:p>
        </w:tc>
        <w:tc>
          <w:tcPr>
            <w:tcW w:w="1388" w:type="dxa"/>
            <w:vAlign w:val="center"/>
          </w:tcPr>
          <w:p>
            <w:pPr>
              <w:spacing w:line="240" w:lineRule="auto"/>
              <w:jc w:val="center"/>
              <w:rPr>
                <w:rFonts w:hint="eastAsia"/>
                <w:sz w:val="24"/>
              </w:rPr>
            </w:pPr>
            <w:r>
              <w:rPr>
                <w:rFonts w:hint="eastAsia"/>
                <w:i w:val="0"/>
                <w:iCs w:val="0"/>
                <w:sz w:val="24"/>
                <w:u w:val="none"/>
                <w:lang w:val="en-US" w:eastAsia="zh-CN"/>
              </w:rPr>
              <w:t>NH</w:t>
            </w:r>
            <w:r>
              <w:rPr>
                <w:rFonts w:hint="eastAsia"/>
                <w:i w:val="0"/>
                <w:iCs w:val="0"/>
                <w:sz w:val="24"/>
                <w:u w:val="none"/>
                <w:vertAlign w:val="subscript"/>
                <w:lang w:val="en-US" w:eastAsia="zh-CN"/>
              </w:rPr>
              <w:t>3</w:t>
            </w:r>
          </w:p>
        </w:tc>
        <w:tc>
          <w:tcPr>
            <w:tcW w:w="2280" w:type="dxa"/>
            <w:vMerge w:val="restart"/>
            <w:vAlign w:val="center"/>
          </w:tcPr>
          <w:p>
            <w:pPr>
              <w:spacing w:line="240" w:lineRule="auto"/>
              <w:jc w:val="center"/>
              <w:rPr>
                <w:rFonts w:hint="eastAsia"/>
                <w:sz w:val="24"/>
                <w:lang w:val="en-US" w:eastAsia="zh-CN"/>
              </w:rPr>
            </w:pPr>
            <w:r>
              <w:rPr>
                <w:rFonts w:hint="eastAsia"/>
                <w:sz w:val="24"/>
                <w:lang w:val="en-US" w:eastAsia="zh-CN"/>
              </w:rPr>
              <w:t xml:space="preserve">负压风机收集+环保水池+生物除臭喷淋塔+15m高排气筒 </w:t>
            </w:r>
          </w:p>
        </w:tc>
        <w:tc>
          <w:tcPr>
            <w:tcW w:w="2865" w:type="dxa"/>
            <w:vMerge w:val="restart"/>
            <w:vAlign w:val="center"/>
          </w:tcPr>
          <w:p>
            <w:pPr>
              <w:spacing w:line="240" w:lineRule="auto"/>
              <w:jc w:val="center"/>
              <w:rPr>
                <w:rFonts w:hint="eastAsia"/>
                <w:sz w:val="24"/>
                <w:lang w:val="en-US" w:eastAsia="zh-CN"/>
              </w:rPr>
            </w:pPr>
            <w:r>
              <w:rPr>
                <w:rFonts w:hint="eastAsia"/>
                <w:sz w:val="24"/>
                <w:lang w:val="en-US" w:eastAsia="zh-CN"/>
              </w:rPr>
              <w:t>达到</w:t>
            </w:r>
            <w:r>
              <w:rPr>
                <w:rFonts w:hint="eastAsia" w:ascii="Times New Roman" w:hAnsi="Times New Roman" w:cs="Times New Roman"/>
                <w:sz w:val="24"/>
                <w:lang w:eastAsia="zh-CN"/>
              </w:rPr>
              <w:t>《恶臭污染物排放标准》(GB14554-93)</w:t>
            </w:r>
            <w:r>
              <w:rPr>
                <w:rFonts w:hint="eastAsia"/>
                <w:sz w:val="24"/>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1267" w:type="dxa"/>
            <w:vMerge w:val="continue"/>
            <w:vAlign w:val="center"/>
          </w:tcPr>
          <w:p>
            <w:pPr>
              <w:spacing w:line="240" w:lineRule="auto"/>
              <w:jc w:val="center"/>
              <w:rPr>
                <w:rFonts w:hint="eastAsia"/>
                <w:sz w:val="24"/>
              </w:rPr>
            </w:pPr>
          </w:p>
        </w:tc>
        <w:tc>
          <w:tcPr>
            <w:tcW w:w="1271" w:type="dxa"/>
            <w:vMerge w:val="continue"/>
            <w:vAlign w:val="center"/>
          </w:tcPr>
          <w:p>
            <w:pPr>
              <w:spacing w:line="240" w:lineRule="auto"/>
              <w:jc w:val="center"/>
              <w:rPr>
                <w:rFonts w:hint="eastAsia"/>
                <w:sz w:val="24"/>
                <w:u w:val="none"/>
                <w:lang w:eastAsia="zh-CN"/>
              </w:rPr>
            </w:pP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H</w:t>
            </w:r>
            <w:r>
              <w:rPr>
                <w:rFonts w:hint="eastAsia"/>
                <w:i w:val="0"/>
                <w:iCs w:val="0"/>
                <w:sz w:val="24"/>
                <w:u w:val="none"/>
                <w:vertAlign w:val="subscript"/>
                <w:lang w:val="en-US" w:eastAsia="zh-CN"/>
              </w:rPr>
              <w:t>2</w:t>
            </w:r>
            <w:r>
              <w:rPr>
                <w:rFonts w:hint="eastAsia"/>
                <w:i w:val="0"/>
                <w:iCs w:val="0"/>
                <w:sz w:val="24"/>
                <w:u w:val="none"/>
                <w:lang w:val="en-US" w:eastAsia="zh-CN"/>
              </w:rPr>
              <w:t>S</w:t>
            </w:r>
          </w:p>
        </w:tc>
        <w:tc>
          <w:tcPr>
            <w:tcW w:w="2280" w:type="dxa"/>
            <w:vMerge w:val="continue"/>
            <w:vAlign w:val="center"/>
          </w:tcPr>
          <w:p>
            <w:pPr>
              <w:spacing w:line="240" w:lineRule="auto"/>
              <w:jc w:val="center"/>
              <w:rPr>
                <w:rFonts w:hint="eastAsia"/>
                <w:sz w:val="24"/>
                <w:lang w:val="en-US" w:eastAsia="zh-CN"/>
              </w:rPr>
            </w:pPr>
          </w:p>
        </w:tc>
        <w:tc>
          <w:tcPr>
            <w:tcW w:w="2865" w:type="dxa"/>
            <w:vMerge w:val="continue"/>
            <w:vAlign w:val="center"/>
          </w:tcPr>
          <w:p>
            <w:pPr>
              <w:spacing w:line="240" w:lineRule="auto"/>
              <w:jc w:val="center"/>
              <w:rPr>
                <w:rFonts w:hint="eastAsia"/>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267" w:type="dxa"/>
            <w:vMerge w:val="continue"/>
            <w:vAlign w:val="center"/>
          </w:tcPr>
          <w:p>
            <w:pPr>
              <w:spacing w:line="240" w:lineRule="auto"/>
              <w:jc w:val="center"/>
              <w:rPr>
                <w:rFonts w:hint="eastAsia"/>
                <w:sz w:val="24"/>
              </w:rPr>
            </w:pPr>
          </w:p>
        </w:tc>
        <w:tc>
          <w:tcPr>
            <w:tcW w:w="1271" w:type="dxa"/>
            <w:vAlign w:val="center"/>
          </w:tcPr>
          <w:p>
            <w:pPr>
              <w:spacing w:line="240" w:lineRule="auto"/>
              <w:jc w:val="center"/>
              <w:rPr>
                <w:rFonts w:hint="eastAsia"/>
                <w:sz w:val="24"/>
                <w:u w:val="none"/>
                <w:lang w:eastAsia="zh-CN"/>
              </w:rPr>
            </w:pPr>
            <w:r>
              <w:rPr>
                <w:rFonts w:hint="eastAsia"/>
                <w:i w:val="0"/>
                <w:iCs w:val="0"/>
                <w:sz w:val="24"/>
                <w:u w:val="none"/>
                <w:lang w:eastAsia="zh-CN"/>
              </w:rPr>
              <w:t>筒仓原料接收</w:t>
            </w: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颗粒物</w:t>
            </w:r>
          </w:p>
        </w:tc>
        <w:tc>
          <w:tcPr>
            <w:tcW w:w="2280" w:type="dxa"/>
            <w:vAlign w:val="center"/>
          </w:tcPr>
          <w:p>
            <w:pPr>
              <w:spacing w:line="240" w:lineRule="auto"/>
              <w:jc w:val="center"/>
              <w:rPr>
                <w:rFonts w:hint="default"/>
                <w:sz w:val="24"/>
                <w:lang w:val="en-US" w:eastAsia="zh-CN"/>
              </w:rPr>
            </w:pPr>
            <w:r>
              <w:rPr>
                <w:rFonts w:hint="eastAsia"/>
                <w:sz w:val="24"/>
                <w:lang w:val="en-US" w:eastAsia="zh-CN"/>
              </w:rPr>
              <w:t>2套布袋除尘器</w:t>
            </w:r>
          </w:p>
        </w:tc>
        <w:tc>
          <w:tcPr>
            <w:tcW w:w="2865" w:type="dxa"/>
            <w:vMerge w:val="restart"/>
            <w:vAlign w:val="center"/>
          </w:tcPr>
          <w:p>
            <w:pPr>
              <w:spacing w:line="240" w:lineRule="auto"/>
              <w:jc w:val="center"/>
              <w:rPr>
                <w:rFonts w:hint="eastAsia"/>
                <w:sz w:val="24"/>
                <w:lang w:val="en-US" w:eastAsia="zh-CN"/>
              </w:rPr>
            </w:pPr>
            <w:r>
              <w:rPr>
                <w:rFonts w:hint="eastAsia"/>
                <w:sz w:val="24"/>
                <w:lang w:eastAsia="zh-CN"/>
              </w:rPr>
              <w:t>达到《大气污染物综合排放标准》（GB16297-1996）无组织排放浓度限值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1267" w:type="dxa"/>
            <w:vMerge w:val="continue"/>
            <w:vAlign w:val="center"/>
          </w:tcPr>
          <w:p>
            <w:pPr>
              <w:spacing w:line="240" w:lineRule="auto"/>
              <w:jc w:val="center"/>
              <w:rPr>
                <w:rFonts w:hint="eastAsia"/>
                <w:sz w:val="24"/>
              </w:rPr>
            </w:pPr>
          </w:p>
        </w:tc>
        <w:tc>
          <w:tcPr>
            <w:tcW w:w="1271" w:type="dxa"/>
            <w:vAlign w:val="center"/>
          </w:tcPr>
          <w:p>
            <w:pPr>
              <w:spacing w:line="240" w:lineRule="auto"/>
              <w:jc w:val="center"/>
              <w:rPr>
                <w:rFonts w:hint="eastAsia"/>
                <w:sz w:val="24"/>
                <w:u w:val="none"/>
                <w:lang w:eastAsia="zh-CN"/>
              </w:rPr>
            </w:pPr>
            <w:r>
              <w:rPr>
                <w:rFonts w:hint="eastAsia"/>
                <w:i w:val="0"/>
                <w:iCs w:val="0"/>
                <w:sz w:val="24"/>
                <w:u w:val="none"/>
                <w:lang w:val="en-US" w:eastAsia="zh-CN"/>
              </w:rPr>
              <w:t>1#车间</w:t>
            </w: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颗粒物</w:t>
            </w:r>
          </w:p>
        </w:tc>
        <w:tc>
          <w:tcPr>
            <w:tcW w:w="2280" w:type="dxa"/>
            <w:vAlign w:val="center"/>
          </w:tcPr>
          <w:p>
            <w:pPr>
              <w:spacing w:line="240" w:lineRule="auto"/>
              <w:jc w:val="center"/>
              <w:rPr>
                <w:rFonts w:hint="eastAsia"/>
                <w:sz w:val="24"/>
                <w:lang w:eastAsia="zh-CN"/>
              </w:rPr>
            </w:pPr>
            <w:r>
              <w:rPr>
                <w:rFonts w:hint="eastAsia"/>
                <w:sz w:val="24"/>
                <w:lang w:val="en-US" w:eastAsia="zh-CN"/>
              </w:rPr>
              <w:t>2套布袋除尘器</w:t>
            </w:r>
          </w:p>
        </w:tc>
        <w:tc>
          <w:tcPr>
            <w:tcW w:w="2865" w:type="dxa"/>
            <w:vMerge w:val="continue"/>
            <w:vAlign w:val="center"/>
          </w:tcPr>
          <w:p>
            <w:pPr>
              <w:spacing w:line="240" w:lineRule="auto"/>
              <w:jc w:val="center"/>
              <w:rPr>
                <w:rFonts w:hint="eastAsia"/>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1267" w:type="dxa"/>
            <w:vMerge w:val="continue"/>
            <w:vAlign w:val="center"/>
          </w:tcPr>
          <w:p>
            <w:pPr>
              <w:spacing w:line="240" w:lineRule="auto"/>
              <w:jc w:val="center"/>
              <w:rPr>
                <w:rFonts w:hint="eastAsia"/>
                <w:sz w:val="24"/>
              </w:rPr>
            </w:pPr>
          </w:p>
        </w:tc>
        <w:tc>
          <w:tcPr>
            <w:tcW w:w="1271" w:type="dxa"/>
            <w:vAlign w:val="center"/>
          </w:tcPr>
          <w:p>
            <w:pPr>
              <w:spacing w:line="240" w:lineRule="auto"/>
              <w:jc w:val="center"/>
              <w:rPr>
                <w:rFonts w:hint="eastAsia"/>
                <w:sz w:val="24"/>
                <w:u w:val="none"/>
                <w:lang w:eastAsia="zh-CN"/>
              </w:rPr>
            </w:pPr>
            <w:r>
              <w:rPr>
                <w:rFonts w:hint="eastAsia"/>
                <w:i w:val="0"/>
                <w:iCs w:val="0"/>
                <w:sz w:val="24"/>
                <w:u w:val="none"/>
                <w:lang w:val="en-US" w:eastAsia="zh-CN"/>
              </w:rPr>
              <w:t>主车间</w:t>
            </w: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颗粒物</w:t>
            </w:r>
          </w:p>
        </w:tc>
        <w:tc>
          <w:tcPr>
            <w:tcW w:w="2280" w:type="dxa"/>
            <w:vAlign w:val="center"/>
          </w:tcPr>
          <w:p>
            <w:pPr>
              <w:spacing w:line="240" w:lineRule="auto"/>
              <w:jc w:val="center"/>
              <w:rPr>
                <w:rFonts w:hint="default"/>
                <w:sz w:val="24"/>
                <w:lang w:val="en-US" w:eastAsia="zh-CN"/>
              </w:rPr>
            </w:pPr>
            <w:r>
              <w:rPr>
                <w:rFonts w:hint="eastAsia"/>
                <w:sz w:val="24"/>
                <w:lang w:val="en-US" w:eastAsia="zh-CN"/>
              </w:rPr>
              <w:t>/</w:t>
            </w:r>
          </w:p>
        </w:tc>
        <w:tc>
          <w:tcPr>
            <w:tcW w:w="2865" w:type="dxa"/>
            <w:vMerge w:val="continue"/>
            <w:vAlign w:val="center"/>
          </w:tcPr>
          <w:p>
            <w:pPr>
              <w:spacing w:line="240" w:lineRule="auto"/>
              <w:jc w:val="center"/>
              <w:rPr>
                <w:rFonts w:hint="eastAsia"/>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267" w:type="dxa"/>
            <w:vMerge w:val="continue"/>
            <w:vAlign w:val="center"/>
          </w:tcPr>
          <w:p>
            <w:pPr>
              <w:spacing w:line="240" w:lineRule="auto"/>
              <w:jc w:val="center"/>
              <w:rPr>
                <w:rFonts w:hint="eastAsia"/>
                <w:sz w:val="24"/>
              </w:rPr>
            </w:pPr>
          </w:p>
        </w:tc>
        <w:tc>
          <w:tcPr>
            <w:tcW w:w="1271" w:type="dxa"/>
            <w:vMerge w:val="restart"/>
            <w:vAlign w:val="center"/>
          </w:tcPr>
          <w:p>
            <w:pPr>
              <w:spacing w:line="240" w:lineRule="auto"/>
              <w:jc w:val="center"/>
              <w:rPr>
                <w:rFonts w:hint="eastAsia"/>
                <w:sz w:val="24"/>
                <w:u w:val="none"/>
                <w:lang w:eastAsia="zh-CN"/>
              </w:rPr>
            </w:pPr>
            <w:r>
              <w:rPr>
                <w:rFonts w:hint="eastAsia"/>
                <w:i w:val="0"/>
                <w:iCs w:val="0"/>
                <w:sz w:val="24"/>
                <w:u w:val="none"/>
                <w:lang w:val="en-US" w:eastAsia="zh-CN"/>
              </w:rPr>
              <w:t>2#车间</w:t>
            </w: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NH</w:t>
            </w:r>
            <w:r>
              <w:rPr>
                <w:rFonts w:hint="eastAsia"/>
                <w:i w:val="0"/>
                <w:iCs w:val="0"/>
                <w:sz w:val="24"/>
                <w:u w:val="none"/>
                <w:vertAlign w:val="subscript"/>
                <w:lang w:val="en-US" w:eastAsia="zh-CN"/>
              </w:rPr>
              <w:t>3</w:t>
            </w:r>
          </w:p>
        </w:tc>
        <w:tc>
          <w:tcPr>
            <w:tcW w:w="2280" w:type="dxa"/>
            <w:vMerge w:val="restart"/>
            <w:vAlign w:val="center"/>
          </w:tcPr>
          <w:p>
            <w:pPr>
              <w:spacing w:line="240" w:lineRule="auto"/>
              <w:jc w:val="center"/>
              <w:rPr>
                <w:rFonts w:hint="default"/>
                <w:sz w:val="24"/>
                <w:lang w:val="en-US" w:eastAsia="zh-CN"/>
              </w:rPr>
            </w:pPr>
            <w:r>
              <w:rPr>
                <w:rFonts w:hint="eastAsia"/>
                <w:sz w:val="24"/>
                <w:lang w:val="en-US" w:eastAsia="zh-CN"/>
              </w:rPr>
              <w:t>/</w:t>
            </w:r>
          </w:p>
        </w:tc>
        <w:tc>
          <w:tcPr>
            <w:tcW w:w="2865" w:type="dxa"/>
            <w:vMerge w:val="restart"/>
            <w:vAlign w:val="center"/>
          </w:tcPr>
          <w:p>
            <w:pPr>
              <w:spacing w:line="240" w:lineRule="auto"/>
              <w:jc w:val="center"/>
              <w:rPr>
                <w:rFonts w:hint="eastAsia"/>
                <w:sz w:val="24"/>
                <w:lang w:val="en-US" w:eastAsia="zh-CN"/>
              </w:rPr>
            </w:pPr>
            <w:r>
              <w:rPr>
                <w:rFonts w:hint="eastAsia"/>
                <w:sz w:val="24"/>
                <w:lang w:val="en-US" w:eastAsia="zh-CN"/>
              </w:rPr>
              <w:t>达到</w:t>
            </w:r>
            <w:r>
              <w:rPr>
                <w:rFonts w:hint="eastAsia"/>
                <w:sz w:val="24"/>
                <w:lang w:eastAsia="zh-CN"/>
              </w:rPr>
              <w:t>《恶臭污染物排放标准》(GB14554-93)厂界标准值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267" w:type="dxa"/>
            <w:vMerge w:val="continue"/>
            <w:vAlign w:val="center"/>
          </w:tcPr>
          <w:p>
            <w:pPr>
              <w:spacing w:line="240" w:lineRule="auto"/>
              <w:jc w:val="center"/>
              <w:rPr>
                <w:rFonts w:hint="eastAsia"/>
                <w:sz w:val="24"/>
              </w:rPr>
            </w:pPr>
          </w:p>
        </w:tc>
        <w:tc>
          <w:tcPr>
            <w:tcW w:w="1271" w:type="dxa"/>
            <w:vMerge w:val="continue"/>
            <w:vAlign w:val="center"/>
          </w:tcPr>
          <w:p>
            <w:pPr>
              <w:spacing w:line="240" w:lineRule="auto"/>
              <w:jc w:val="center"/>
              <w:rPr>
                <w:rFonts w:hint="eastAsia"/>
                <w:i w:val="0"/>
                <w:iCs w:val="0"/>
                <w:sz w:val="24"/>
                <w:u w:val="none"/>
                <w:lang w:val="en-US" w:eastAsia="zh-CN"/>
              </w:rPr>
            </w:pP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H</w:t>
            </w:r>
            <w:r>
              <w:rPr>
                <w:rFonts w:hint="eastAsia"/>
                <w:i w:val="0"/>
                <w:iCs w:val="0"/>
                <w:sz w:val="24"/>
                <w:u w:val="none"/>
                <w:vertAlign w:val="subscript"/>
                <w:lang w:val="en-US" w:eastAsia="zh-CN"/>
              </w:rPr>
              <w:t>2</w:t>
            </w:r>
            <w:r>
              <w:rPr>
                <w:rFonts w:hint="eastAsia"/>
                <w:i w:val="0"/>
                <w:iCs w:val="0"/>
                <w:sz w:val="24"/>
                <w:u w:val="none"/>
                <w:lang w:val="en-US" w:eastAsia="zh-CN"/>
              </w:rPr>
              <w:t>S</w:t>
            </w:r>
          </w:p>
        </w:tc>
        <w:tc>
          <w:tcPr>
            <w:tcW w:w="2280" w:type="dxa"/>
            <w:vMerge w:val="continue"/>
            <w:vAlign w:val="center"/>
          </w:tcPr>
          <w:p>
            <w:pPr>
              <w:spacing w:line="240" w:lineRule="auto"/>
              <w:jc w:val="center"/>
              <w:rPr>
                <w:rFonts w:hint="eastAsia"/>
                <w:sz w:val="24"/>
                <w:lang w:eastAsia="zh-CN"/>
              </w:rPr>
            </w:pPr>
          </w:p>
        </w:tc>
        <w:tc>
          <w:tcPr>
            <w:tcW w:w="2865" w:type="dxa"/>
            <w:vMerge w:val="continue"/>
            <w:vAlign w:val="center"/>
          </w:tcPr>
          <w:p>
            <w:pPr>
              <w:spacing w:line="240" w:lineRule="auto"/>
              <w:jc w:val="center"/>
              <w:rPr>
                <w:rFonts w:hint="eastAsia"/>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267" w:type="dxa"/>
            <w:vMerge w:val="continue"/>
            <w:vAlign w:val="center"/>
          </w:tcPr>
          <w:p>
            <w:pPr>
              <w:spacing w:line="240" w:lineRule="auto"/>
              <w:jc w:val="center"/>
              <w:rPr>
                <w:rFonts w:hint="eastAsia"/>
                <w:sz w:val="24"/>
              </w:rPr>
            </w:pPr>
          </w:p>
        </w:tc>
        <w:tc>
          <w:tcPr>
            <w:tcW w:w="1271" w:type="dxa"/>
            <w:vAlign w:val="center"/>
          </w:tcPr>
          <w:p>
            <w:pPr>
              <w:spacing w:line="240" w:lineRule="auto"/>
              <w:jc w:val="center"/>
              <w:rPr>
                <w:rFonts w:hint="eastAsia"/>
                <w:i w:val="0"/>
                <w:iCs w:val="0"/>
                <w:sz w:val="24"/>
                <w:u w:val="none"/>
                <w:lang w:val="en-US" w:eastAsia="zh-CN"/>
              </w:rPr>
            </w:pPr>
            <w:r>
              <w:rPr>
                <w:rFonts w:hint="eastAsia"/>
                <w:i w:val="0"/>
                <w:iCs w:val="0"/>
                <w:sz w:val="24"/>
                <w:u w:val="none"/>
                <w:lang w:val="en-US" w:eastAsia="zh-CN"/>
              </w:rPr>
              <w:t>食堂</w:t>
            </w:r>
          </w:p>
        </w:tc>
        <w:tc>
          <w:tcPr>
            <w:tcW w:w="1388" w:type="dxa"/>
            <w:vAlign w:val="center"/>
          </w:tcPr>
          <w:p>
            <w:pPr>
              <w:spacing w:line="240" w:lineRule="auto"/>
              <w:jc w:val="center"/>
              <w:rPr>
                <w:rFonts w:hint="eastAsia"/>
                <w:sz w:val="24"/>
                <w:u w:val="none"/>
                <w:lang w:val="en-US" w:eastAsia="zh-CN"/>
              </w:rPr>
            </w:pPr>
            <w:r>
              <w:rPr>
                <w:rFonts w:hint="eastAsia"/>
                <w:i w:val="0"/>
                <w:iCs w:val="0"/>
                <w:sz w:val="24"/>
                <w:u w:val="none"/>
                <w:lang w:val="en-US" w:eastAsia="zh-CN"/>
              </w:rPr>
              <w:t>油烟</w:t>
            </w:r>
          </w:p>
        </w:tc>
        <w:tc>
          <w:tcPr>
            <w:tcW w:w="2280" w:type="dxa"/>
            <w:vAlign w:val="center"/>
          </w:tcPr>
          <w:p>
            <w:pPr>
              <w:spacing w:line="240" w:lineRule="auto"/>
              <w:jc w:val="center"/>
              <w:rPr>
                <w:rFonts w:hint="eastAsia"/>
                <w:sz w:val="24"/>
                <w:lang w:eastAsia="zh-CN"/>
              </w:rPr>
            </w:pPr>
            <w:r>
              <w:rPr>
                <w:rFonts w:hint="eastAsia"/>
                <w:sz w:val="24"/>
                <w:lang w:eastAsia="zh-CN"/>
              </w:rPr>
              <w:t>油烟净化器</w:t>
            </w:r>
          </w:p>
        </w:tc>
        <w:tc>
          <w:tcPr>
            <w:tcW w:w="2865" w:type="dxa"/>
            <w:vAlign w:val="center"/>
          </w:tcPr>
          <w:p>
            <w:pPr>
              <w:spacing w:line="240" w:lineRule="auto"/>
              <w:jc w:val="center"/>
              <w:rPr>
                <w:rFonts w:hint="eastAsia"/>
                <w:sz w:val="24"/>
                <w:lang w:val="en-US" w:eastAsia="zh-CN"/>
              </w:rPr>
            </w:pPr>
            <w:r>
              <w:rPr>
                <w:rFonts w:hint="eastAsia"/>
                <w:sz w:val="24"/>
                <w:lang w:val="en-US" w:eastAsia="zh-CN"/>
              </w:rPr>
              <w:t>达到</w:t>
            </w:r>
            <w:r>
              <w:rPr>
                <w:rFonts w:hint="eastAsia" w:ascii="Times New Roman" w:hAnsi="Times New Roman" w:cs="Times New Roman"/>
                <w:sz w:val="24"/>
                <w:lang w:val="en-US" w:eastAsia="zh-CN"/>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1267" w:type="dxa"/>
            <w:vAlign w:val="center"/>
          </w:tcPr>
          <w:p>
            <w:pPr>
              <w:spacing w:line="240" w:lineRule="auto"/>
              <w:jc w:val="center"/>
              <w:rPr>
                <w:rFonts w:hint="eastAsia" w:eastAsia="宋体"/>
                <w:sz w:val="24"/>
                <w:lang w:eastAsia="zh-CN"/>
              </w:rPr>
            </w:pPr>
            <w:r>
              <w:rPr>
                <w:rFonts w:hint="eastAsia"/>
                <w:sz w:val="24"/>
                <w:lang w:eastAsia="zh-CN"/>
              </w:rPr>
              <w:t>地表水污染物防治</w:t>
            </w:r>
          </w:p>
        </w:tc>
        <w:tc>
          <w:tcPr>
            <w:tcW w:w="1271" w:type="dxa"/>
            <w:vAlign w:val="center"/>
          </w:tcPr>
          <w:p>
            <w:pPr>
              <w:spacing w:line="240" w:lineRule="auto"/>
              <w:jc w:val="center"/>
              <w:rPr>
                <w:sz w:val="24"/>
              </w:rPr>
            </w:pPr>
            <w:r>
              <w:rPr>
                <w:rFonts w:hint="eastAsia"/>
                <w:sz w:val="24"/>
              </w:rPr>
              <w:t>生活废水</w:t>
            </w:r>
          </w:p>
        </w:tc>
        <w:tc>
          <w:tcPr>
            <w:tcW w:w="1388" w:type="dxa"/>
            <w:vAlign w:val="center"/>
          </w:tcPr>
          <w:p>
            <w:pPr>
              <w:spacing w:line="240" w:lineRule="auto"/>
              <w:jc w:val="center"/>
              <w:rPr>
                <w:sz w:val="24"/>
              </w:rPr>
            </w:pPr>
            <w:r>
              <w:rPr>
                <w:sz w:val="24"/>
              </w:rPr>
              <w:t>BOD</w:t>
            </w:r>
            <w:r>
              <w:rPr>
                <w:sz w:val="24"/>
                <w:vertAlign w:val="subscript"/>
              </w:rPr>
              <w:t>5</w:t>
            </w:r>
            <w:r>
              <w:rPr>
                <w:sz w:val="24"/>
              </w:rPr>
              <w:t>、COD</w:t>
            </w:r>
            <w:r>
              <w:rPr>
                <w:rFonts w:hint="eastAsia"/>
                <w:sz w:val="24"/>
                <w:vertAlign w:val="subscript"/>
              </w:rPr>
              <w:t>Cr</w:t>
            </w:r>
            <w:r>
              <w:rPr>
                <w:sz w:val="24"/>
              </w:rPr>
              <w:t>、SS、氨氮</w:t>
            </w:r>
          </w:p>
        </w:tc>
        <w:tc>
          <w:tcPr>
            <w:tcW w:w="2280" w:type="dxa"/>
            <w:vAlign w:val="center"/>
          </w:tcPr>
          <w:p>
            <w:pPr>
              <w:spacing w:line="240" w:lineRule="auto"/>
              <w:jc w:val="center"/>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隔油池+化粪池</w:t>
            </w:r>
          </w:p>
        </w:tc>
        <w:tc>
          <w:tcPr>
            <w:tcW w:w="2865" w:type="dxa"/>
            <w:vAlign w:val="center"/>
          </w:tcPr>
          <w:p>
            <w:pPr>
              <w:spacing w:line="240" w:lineRule="auto"/>
              <w:jc w:val="center"/>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达到《污水综合排放标准》（GB8978-1996）三级标准及津市高新区工业污水处理厂进水水质要求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267" w:type="dxa"/>
            <w:vAlign w:val="center"/>
          </w:tcPr>
          <w:p>
            <w:pPr>
              <w:spacing w:line="240" w:lineRule="auto"/>
              <w:jc w:val="center"/>
              <w:rPr>
                <w:sz w:val="24"/>
              </w:rPr>
            </w:pPr>
            <w:r>
              <w:rPr>
                <w:sz w:val="24"/>
              </w:rPr>
              <w:t>噪声</w:t>
            </w:r>
          </w:p>
        </w:tc>
        <w:tc>
          <w:tcPr>
            <w:tcW w:w="1271" w:type="dxa"/>
            <w:vAlign w:val="center"/>
          </w:tcPr>
          <w:p>
            <w:pPr>
              <w:spacing w:line="240" w:lineRule="auto"/>
              <w:jc w:val="center"/>
              <w:rPr>
                <w:rFonts w:hint="eastAsia" w:eastAsia="宋体"/>
                <w:sz w:val="24"/>
                <w:lang w:eastAsia="zh-CN"/>
              </w:rPr>
            </w:pPr>
            <w:r>
              <w:rPr>
                <w:rFonts w:hint="eastAsia"/>
                <w:sz w:val="24"/>
              </w:rPr>
              <w:t>生产设备</w:t>
            </w:r>
            <w:r>
              <w:rPr>
                <w:rFonts w:hint="eastAsia"/>
                <w:sz w:val="24"/>
                <w:lang w:val="en-US" w:eastAsia="zh-CN"/>
              </w:rPr>
              <w:t xml:space="preserve"> </w:t>
            </w:r>
          </w:p>
        </w:tc>
        <w:tc>
          <w:tcPr>
            <w:tcW w:w="1388" w:type="dxa"/>
            <w:vAlign w:val="center"/>
          </w:tcPr>
          <w:p>
            <w:pPr>
              <w:spacing w:line="240" w:lineRule="auto"/>
              <w:jc w:val="center"/>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噪声</w:t>
            </w:r>
          </w:p>
        </w:tc>
        <w:tc>
          <w:tcPr>
            <w:tcW w:w="2280" w:type="dxa"/>
            <w:vAlign w:val="center"/>
          </w:tcPr>
          <w:p>
            <w:pPr>
              <w:spacing w:line="240" w:lineRule="auto"/>
              <w:jc w:val="center"/>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选用低噪声设备、设备基础减振、厂房隔声、厂区设置限速、禁鸣标识标牌</w:t>
            </w:r>
          </w:p>
        </w:tc>
        <w:tc>
          <w:tcPr>
            <w:tcW w:w="2865" w:type="dxa"/>
            <w:vAlign w:val="center"/>
          </w:tcPr>
          <w:p>
            <w:pPr>
              <w:spacing w:line="240" w:lineRule="auto"/>
              <w:jc w:val="center"/>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厂界东侧、</w:t>
            </w:r>
            <w:r>
              <w:rPr>
                <w:rFonts w:hint="eastAsia" w:ascii="Times New Roman" w:hAnsi="Times New Roman" w:cs="Times New Roman"/>
                <w:sz w:val="24"/>
                <w:lang w:val="en-US" w:eastAsia="zh-CN"/>
              </w:rPr>
              <w:t>南</w:t>
            </w:r>
            <w:r>
              <w:rPr>
                <w:rFonts w:hint="default" w:ascii="Times New Roman" w:hAnsi="Times New Roman" w:cs="Times New Roman"/>
                <w:sz w:val="24"/>
                <w:lang w:val="en-US" w:eastAsia="zh-CN"/>
              </w:rPr>
              <w:t>侧</w:t>
            </w:r>
            <w:r>
              <w:rPr>
                <w:rFonts w:hint="eastAsia" w:ascii="Times New Roman" w:hAnsi="Times New Roman" w:cs="Times New Roman"/>
                <w:sz w:val="24"/>
                <w:lang w:val="en-US" w:eastAsia="zh-CN"/>
              </w:rPr>
              <w:t>达到</w:t>
            </w:r>
            <w:r>
              <w:rPr>
                <w:rFonts w:hint="default" w:ascii="Times New Roman" w:hAnsi="Times New Roman" w:cs="Times New Roman"/>
                <w:sz w:val="24"/>
                <w:lang w:val="en-US" w:eastAsia="zh-CN"/>
              </w:rPr>
              <w:t>《工业企业厂界环境噪声排放标准》（GB12348-2008）4类标准，厂界</w:t>
            </w:r>
            <w:r>
              <w:rPr>
                <w:rFonts w:hint="eastAsia" w:ascii="Times New Roman" w:hAnsi="Times New Roman" w:cs="Times New Roman"/>
                <w:sz w:val="24"/>
                <w:lang w:val="en-US" w:eastAsia="zh-CN"/>
              </w:rPr>
              <w:t>西</w:t>
            </w:r>
            <w:r>
              <w:rPr>
                <w:rFonts w:hint="default" w:ascii="Times New Roman" w:hAnsi="Times New Roman" w:cs="Times New Roman"/>
                <w:sz w:val="24"/>
                <w:lang w:val="en-US" w:eastAsia="zh-CN"/>
              </w:rPr>
              <w:t>侧、</w:t>
            </w:r>
            <w:r>
              <w:rPr>
                <w:rFonts w:hint="eastAsia" w:ascii="Times New Roman" w:hAnsi="Times New Roman" w:cs="Times New Roman"/>
                <w:sz w:val="24"/>
                <w:lang w:val="en-US" w:eastAsia="zh-CN"/>
              </w:rPr>
              <w:t>北</w:t>
            </w:r>
            <w:r>
              <w:rPr>
                <w:rFonts w:hint="default" w:ascii="Times New Roman" w:hAnsi="Times New Roman" w:cs="Times New Roman"/>
                <w:sz w:val="24"/>
                <w:lang w:val="en-US" w:eastAsia="zh-CN"/>
              </w:rPr>
              <w:t>侧</w:t>
            </w:r>
            <w:r>
              <w:rPr>
                <w:rFonts w:hint="eastAsia" w:ascii="Times New Roman" w:hAnsi="Times New Roman" w:cs="Times New Roman"/>
                <w:sz w:val="24"/>
                <w:lang w:val="en-US" w:eastAsia="zh-CN"/>
              </w:rPr>
              <w:t>达到</w:t>
            </w:r>
            <w:r>
              <w:rPr>
                <w:rFonts w:hint="default" w:ascii="Times New Roman" w:hAnsi="Times New Roman" w:cs="Times New Roman"/>
                <w:sz w:val="24"/>
                <w:lang w:val="en-US" w:eastAsia="zh-CN"/>
              </w:rPr>
              <w:t>《工业企业厂界环境噪声排放标准》（GB12348-2008）3类标准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267" w:type="dxa"/>
            <w:vMerge w:val="restart"/>
            <w:vAlign w:val="center"/>
          </w:tcPr>
          <w:p>
            <w:pPr>
              <w:spacing w:line="240" w:lineRule="auto"/>
              <w:jc w:val="center"/>
              <w:rPr>
                <w:rFonts w:hint="eastAsia" w:eastAsia="宋体"/>
                <w:sz w:val="24"/>
                <w:lang w:eastAsia="zh-CN"/>
              </w:rPr>
            </w:pPr>
            <w:r>
              <w:rPr>
                <w:rFonts w:hint="eastAsia"/>
                <w:sz w:val="24"/>
                <w:lang w:eastAsia="zh-CN"/>
              </w:rPr>
              <w:t>固体废物</w:t>
            </w:r>
          </w:p>
        </w:tc>
        <w:tc>
          <w:tcPr>
            <w:tcW w:w="1271" w:type="dxa"/>
            <w:vAlign w:val="center"/>
          </w:tcPr>
          <w:p>
            <w:pPr>
              <w:spacing w:line="240" w:lineRule="auto"/>
              <w:jc w:val="center"/>
              <w:rPr>
                <w:sz w:val="24"/>
              </w:rPr>
            </w:pPr>
            <w:r>
              <w:rPr>
                <w:rFonts w:hint="eastAsia"/>
                <w:i w:val="0"/>
                <w:iCs w:val="0"/>
                <w:sz w:val="24"/>
                <w:u w:val="none"/>
                <w:lang w:val="en-US" w:eastAsia="zh-CN"/>
              </w:rPr>
              <w:t>原料初清</w:t>
            </w:r>
          </w:p>
        </w:tc>
        <w:tc>
          <w:tcPr>
            <w:tcW w:w="1388" w:type="dxa"/>
            <w:vAlign w:val="center"/>
          </w:tcPr>
          <w:p>
            <w:pPr>
              <w:spacing w:line="240" w:lineRule="auto"/>
              <w:jc w:val="center"/>
              <w:rPr>
                <w:sz w:val="24"/>
              </w:rPr>
            </w:pPr>
            <w:r>
              <w:rPr>
                <w:rFonts w:hint="eastAsia"/>
                <w:i w:val="0"/>
                <w:iCs w:val="0"/>
                <w:sz w:val="24"/>
                <w:u w:val="none"/>
                <w:lang w:val="en-US" w:eastAsia="zh-CN"/>
              </w:rPr>
              <w:t>杂质</w:t>
            </w:r>
          </w:p>
        </w:tc>
        <w:tc>
          <w:tcPr>
            <w:tcW w:w="2280" w:type="dxa"/>
            <w:vMerge w:val="restart"/>
            <w:vAlign w:val="center"/>
          </w:tcPr>
          <w:p>
            <w:pPr>
              <w:spacing w:line="240" w:lineRule="auto"/>
              <w:jc w:val="center"/>
              <w:rPr>
                <w:sz w:val="24"/>
              </w:rPr>
            </w:pPr>
            <w:r>
              <w:rPr>
                <w:rFonts w:hint="default"/>
                <w:i w:val="0"/>
                <w:iCs w:val="0"/>
                <w:sz w:val="24"/>
                <w:u w:val="none"/>
                <w:lang w:val="en-US" w:eastAsia="zh-CN"/>
              </w:rPr>
              <w:t>收集后暂存一般固废暂存间，定期外售</w:t>
            </w:r>
          </w:p>
        </w:tc>
        <w:tc>
          <w:tcPr>
            <w:tcW w:w="2865" w:type="dxa"/>
            <w:vAlign w:val="center"/>
          </w:tcPr>
          <w:p>
            <w:pPr>
              <w:spacing w:line="240" w:lineRule="auto"/>
              <w:jc w:val="center"/>
              <w:rPr>
                <w:rFonts w:hint="eastAsia" w:eastAsia="宋体"/>
                <w:sz w:val="24"/>
                <w:lang w:eastAsia="zh-CN"/>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dxa"/>
            <w:vMerge w:val="continue"/>
            <w:vAlign w:val="center"/>
          </w:tcPr>
          <w:p>
            <w:pPr>
              <w:spacing w:line="240" w:lineRule="auto"/>
              <w:jc w:val="center"/>
              <w:rPr>
                <w:sz w:val="24"/>
              </w:rPr>
            </w:pPr>
          </w:p>
        </w:tc>
        <w:tc>
          <w:tcPr>
            <w:tcW w:w="1271" w:type="dxa"/>
            <w:vAlign w:val="center"/>
          </w:tcPr>
          <w:p>
            <w:pPr>
              <w:spacing w:line="240" w:lineRule="auto"/>
              <w:jc w:val="center"/>
              <w:rPr>
                <w:sz w:val="24"/>
              </w:rPr>
            </w:pPr>
            <w:r>
              <w:rPr>
                <w:rFonts w:hint="eastAsia"/>
                <w:i w:val="0"/>
                <w:iCs w:val="0"/>
                <w:sz w:val="24"/>
                <w:u w:val="none"/>
                <w:lang w:val="en-US" w:eastAsia="zh-CN"/>
              </w:rPr>
              <w:t>成品包装</w:t>
            </w:r>
          </w:p>
        </w:tc>
        <w:tc>
          <w:tcPr>
            <w:tcW w:w="1388" w:type="dxa"/>
            <w:vAlign w:val="center"/>
          </w:tcPr>
          <w:p>
            <w:pPr>
              <w:spacing w:line="240" w:lineRule="auto"/>
              <w:jc w:val="center"/>
              <w:rPr>
                <w:sz w:val="24"/>
              </w:rPr>
            </w:pPr>
            <w:r>
              <w:rPr>
                <w:rFonts w:hint="eastAsia"/>
                <w:i w:val="0"/>
                <w:iCs w:val="0"/>
                <w:sz w:val="24"/>
                <w:u w:val="none"/>
                <w:lang w:val="en-US" w:eastAsia="zh-CN"/>
              </w:rPr>
              <w:t>成品废包装袋</w:t>
            </w:r>
          </w:p>
        </w:tc>
        <w:tc>
          <w:tcPr>
            <w:tcW w:w="2280" w:type="dxa"/>
            <w:vMerge w:val="continue"/>
            <w:vAlign w:val="center"/>
          </w:tcPr>
          <w:p>
            <w:pPr>
              <w:spacing w:line="240" w:lineRule="auto"/>
              <w:contextualSpacing/>
              <w:jc w:val="center"/>
              <w:rPr>
                <w:sz w:val="24"/>
              </w:rPr>
            </w:pPr>
          </w:p>
        </w:tc>
        <w:tc>
          <w:tcPr>
            <w:tcW w:w="2865" w:type="dxa"/>
            <w:vAlign w:val="center"/>
          </w:tcPr>
          <w:p>
            <w:pPr>
              <w:spacing w:line="240" w:lineRule="auto"/>
              <w:jc w:val="center"/>
              <w:rPr>
                <w:sz w:val="24"/>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dxa"/>
            <w:vMerge w:val="continue"/>
            <w:vAlign w:val="center"/>
          </w:tcPr>
          <w:p>
            <w:pPr>
              <w:spacing w:line="240" w:lineRule="auto"/>
              <w:jc w:val="center"/>
              <w:rPr>
                <w:sz w:val="24"/>
              </w:rPr>
            </w:pPr>
          </w:p>
        </w:tc>
        <w:tc>
          <w:tcPr>
            <w:tcW w:w="1271" w:type="dxa"/>
            <w:vAlign w:val="center"/>
          </w:tcPr>
          <w:p>
            <w:pPr>
              <w:spacing w:line="240" w:lineRule="auto"/>
              <w:jc w:val="center"/>
              <w:rPr>
                <w:rFonts w:hint="eastAsia" w:eastAsia="宋体"/>
                <w:sz w:val="24"/>
                <w:lang w:eastAsia="zh-CN"/>
              </w:rPr>
            </w:pPr>
            <w:r>
              <w:rPr>
                <w:rFonts w:hint="eastAsia"/>
                <w:i w:val="0"/>
                <w:iCs w:val="0"/>
                <w:sz w:val="24"/>
                <w:u w:val="none"/>
                <w:lang w:val="en-US" w:eastAsia="zh-CN"/>
              </w:rPr>
              <w:t>原料接收</w:t>
            </w:r>
          </w:p>
        </w:tc>
        <w:tc>
          <w:tcPr>
            <w:tcW w:w="1388" w:type="dxa"/>
            <w:vAlign w:val="center"/>
          </w:tcPr>
          <w:p>
            <w:pPr>
              <w:spacing w:line="240" w:lineRule="auto"/>
              <w:jc w:val="center"/>
              <w:rPr>
                <w:rFonts w:hint="eastAsia" w:eastAsia="宋体"/>
                <w:sz w:val="24"/>
                <w:lang w:eastAsia="zh-CN"/>
              </w:rPr>
            </w:pPr>
            <w:r>
              <w:rPr>
                <w:rFonts w:hint="eastAsia"/>
                <w:i w:val="0"/>
                <w:iCs w:val="0"/>
                <w:sz w:val="24"/>
                <w:u w:val="none"/>
                <w:lang w:val="en-US" w:eastAsia="zh-CN"/>
              </w:rPr>
              <w:t>原辅材料</w:t>
            </w:r>
            <w:r>
              <w:rPr>
                <w:rFonts w:hint="default"/>
                <w:i w:val="0"/>
                <w:iCs w:val="0"/>
                <w:sz w:val="24"/>
                <w:u w:val="none"/>
                <w:lang w:val="en-US" w:eastAsia="zh-CN"/>
              </w:rPr>
              <w:t>废包装袋</w:t>
            </w:r>
          </w:p>
        </w:tc>
        <w:tc>
          <w:tcPr>
            <w:tcW w:w="2280" w:type="dxa"/>
            <w:vMerge w:val="continue"/>
            <w:vAlign w:val="center"/>
          </w:tcPr>
          <w:p>
            <w:pPr>
              <w:contextualSpacing/>
              <w:jc w:val="center"/>
              <w:rPr>
                <w:rFonts w:hint="eastAsia" w:eastAsia="宋体"/>
                <w:sz w:val="24"/>
                <w:lang w:eastAsia="zh-CN"/>
              </w:rPr>
            </w:pPr>
          </w:p>
        </w:tc>
        <w:tc>
          <w:tcPr>
            <w:tcW w:w="2865" w:type="dxa"/>
            <w:vAlign w:val="center"/>
          </w:tcPr>
          <w:p>
            <w:pPr>
              <w:spacing w:line="240" w:lineRule="auto"/>
              <w:jc w:val="center"/>
              <w:rPr>
                <w:sz w:val="24"/>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dxa"/>
            <w:vMerge w:val="continue"/>
            <w:vAlign w:val="center"/>
          </w:tcPr>
          <w:p>
            <w:pPr>
              <w:spacing w:line="240" w:lineRule="auto"/>
              <w:jc w:val="center"/>
              <w:rPr>
                <w:sz w:val="24"/>
              </w:rPr>
            </w:pPr>
          </w:p>
        </w:tc>
        <w:tc>
          <w:tcPr>
            <w:tcW w:w="1271" w:type="dxa"/>
            <w:vAlign w:val="center"/>
          </w:tcPr>
          <w:p>
            <w:pPr>
              <w:spacing w:line="240" w:lineRule="auto"/>
              <w:jc w:val="center"/>
              <w:rPr>
                <w:rFonts w:hint="eastAsia"/>
                <w:sz w:val="24"/>
                <w:lang w:eastAsia="zh-CN"/>
              </w:rPr>
            </w:pPr>
            <w:r>
              <w:rPr>
                <w:rFonts w:hint="eastAsia"/>
                <w:i w:val="0"/>
                <w:iCs w:val="0"/>
                <w:sz w:val="24"/>
                <w:u w:val="none"/>
                <w:lang w:val="en-US" w:eastAsia="zh-CN"/>
              </w:rPr>
              <w:t>脉冲除尘</w:t>
            </w:r>
          </w:p>
        </w:tc>
        <w:tc>
          <w:tcPr>
            <w:tcW w:w="1388" w:type="dxa"/>
            <w:vAlign w:val="center"/>
          </w:tcPr>
          <w:p>
            <w:pPr>
              <w:spacing w:line="240" w:lineRule="auto"/>
              <w:jc w:val="center"/>
              <w:rPr>
                <w:rFonts w:hint="eastAsia"/>
                <w:sz w:val="24"/>
                <w:lang w:eastAsia="zh-CN"/>
              </w:rPr>
            </w:pPr>
            <w:r>
              <w:rPr>
                <w:rFonts w:hint="default"/>
                <w:i w:val="0"/>
                <w:iCs w:val="0"/>
                <w:sz w:val="24"/>
                <w:u w:val="none"/>
                <w:lang w:val="en-US" w:eastAsia="zh-CN"/>
              </w:rPr>
              <w:t>除尘器收集的</w:t>
            </w:r>
            <w:r>
              <w:rPr>
                <w:rFonts w:hint="eastAsia"/>
                <w:i w:val="0"/>
                <w:iCs w:val="0"/>
                <w:sz w:val="24"/>
                <w:u w:val="none"/>
                <w:lang w:val="en-US" w:eastAsia="zh-CN"/>
              </w:rPr>
              <w:t>粉尘</w:t>
            </w:r>
          </w:p>
        </w:tc>
        <w:tc>
          <w:tcPr>
            <w:tcW w:w="2280" w:type="dxa"/>
            <w:vAlign w:val="center"/>
          </w:tcPr>
          <w:p>
            <w:pPr>
              <w:spacing w:line="240" w:lineRule="auto"/>
              <w:jc w:val="center"/>
              <w:rPr>
                <w:rFonts w:hint="eastAsia"/>
                <w:sz w:val="24"/>
                <w:lang w:eastAsia="zh-CN"/>
              </w:rPr>
            </w:pPr>
            <w:r>
              <w:rPr>
                <w:rFonts w:hint="eastAsia"/>
                <w:i w:val="0"/>
                <w:iCs w:val="0"/>
                <w:sz w:val="24"/>
                <w:u w:val="none"/>
                <w:lang w:val="en-US" w:eastAsia="zh-CN"/>
              </w:rPr>
              <w:t>回用于生产线</w:t>
            </w:r>
          </w:p>
        </w:tc>
        <w:tc>
          <w:tcPr>
            <w:tcW w:w="2865" w:type="dxa"/>
            <w:vAlign w:val="center"/>
          </w:tcPr>
          <w:p>
            <w:pPr>
              <w:spacing w:line="240" w:lineRule="auto"/>
              <w:jc w:val="center"/>
              <w:rPr>
                <w:rFonts w:hint="eastAsia"/>
                <w:sz w:val="24"/>
                <w:lang w:eastAsia="zh-CN"/>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267" w:type="dxa"/>
            <w:vMerge w:val="continue"/>
            <w:vAlign w:val="center"/>
          </w:tcPr>
          <w:p>
            <w:pPr>
              <w:spacing w:line="240" w:lineRule="auto"/>
              <w:jc w:val="center"/>
              <w:rPr>
                <w:sz w:val="24"/>
              </w:rPr>
            </w:pPr>
          </w:p>
        </w:tc>
        <w:tc>
          <w:tcPr>
            <w:tcW w:w="1271" w:type="dxa"/>
            <w:vAlign w:val="center"/>
          </w:tcPr>
          <w:p>
            <w:pPr>
              <w:spacing w:line="240" w:lineRule="auto"/>
              <w:jc w:val="center"/>
              <w:rPr>
                <w:rFonts w:hint="eastAsia"/>
                <w:sz w:val="24"/>
                <w:lang w:eastAsia="zh-CN"/>
              </w:rPr>
            </w:pPr>
            <w:r>
              <w:rPr>
                <w:rFonts w:hint="eastAsia"/>
                <w:i w:val="0"/>
                <w:iCs w:val="0"/>
                <w:sz w:val="24"/>
                <w:u w:val="none"/>
                <w:lang w:val="en-US" w:eastAsia="zh-CN"/>
              </w:rPr>
              <w:t>设备维修</w:t>
            </w:r>
          </w:p>
        </w:tc>
        <w:tc>
          <w:tcPr>
            <w:tcW w:w="1388" w:type="dxa"/>
            <w:vAlign w:val="center"/>
          </w:tcPr>
          <w:p>
            <w:pPr>
              <w:spacing w:line="240" w:lineRule="auto"/>
              <w:jc w:val="center"/>
              <w:rPr>
                <w:rFonts w:hint="eastAsia"/>
                <w:sz w:val="24"/>
                <w:lang w:eastAsia="zh-CN"/>
              </w:rPr>
            </w:pPr>
            <w:r>
              <w:rPr>
                <w:rFonts w:hint="default"/>
                <w:i w:val="0"/>
                <w:iCs w:val="0"/>
                <w:sz w:val="24"/>
                <w:u w:val="none"/>
                <w:lang w:val="en-US" w:eastAsia="zh-CN"/>
              </w:rPr>
              <w:t>废机油</w:t>
            </w:r>
          </w:p>
        </w:tc>
        <w:tc>
          <w:tcPr>
            <w:tcW w:w="2280" w:type="dxa"/>
            <w:vMerge w:val="restart"/>
            <w:vAlign w:val="center"/>
          </w:tcPr>
          <w:p>
            <w:pPr>
              <w:spacing w:line="240" w:lineRule="auto"/>
              <w:jc w:val="center"/>
              <w:rPr>
                <w:rFonts w:hint="eastAsia"/>
                <w:sz w:val="24"/>
                <w:lang w:eastAsia="zh-CN"/>
              </w:rPr>
            </w:pPr>
            <w:r>
              <w:rPr>
                <w:rFonts w:hint="default"/>
                <w:i w:val="0"/>
                <w:iCs w:val="0"/>
                <w:sz w:val="24"/>
                <w:u w:val="none"/>
                <w:lang w:val="en-US" w:eastAsia="zh-CN"/>
              </w:rPr>
              <w:t>暂存于危废间，</w:t>
            </w:r>
            <w:r>
              <w:rPr>
                <w:rFonts w:hint="eastAsia"/>
                <w:i w:val="0"/>
                <w:iCs w:val="0"/>
                <w:sz w:val="24"/>
                <w:u w:val="none"/>
                <w:lang w:val="en-US" w:eastAsia="zh-CN"/>
              </w:rPr>
              <w:t>委托有资质的单位定期处置</w:t>
            </w:r>
          </w:p>
        </w:tc>
        <w:tc>
          <w:tcPr>
            <w:tcW w:w="2865" w:type="dxa"/>
            <w:vAlign w:val="center"/>
          </w:tcPr>
          <w:p>
            <w:pPr>
              <w:spacing w:line="240" w:lineRule="auto"/>
              <w:jc w:val="center"/>
              <w:rPr>
                <w:rFonts w:hint="eastAsia"/>
                <w:sz w:val="24"/>
                <w:lang w:eastAsia="zh-CN"/>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dxa"/>
            <w:vMerge w:val="continue"/>
            <w:vAlign w:val="center"/>
          </w:tcPr>
          <w:p>
            <w:pPr>
              <w:spacing w:line="240" w:lineRule="auto"/>
              <w:jc w:val="center"/>
              <w:rPr>
                <w:sz w:val="24"/>
              </w:rPr>
            </w:pPr>
          </w:p>
        </w:tc>
        <w:tc>
          <w:tcPr>
            <w:tcW w:w="1271" w:type="dxa"/>
            <w:vAlign w:val="center"/>
          </w:tcPr>
          <w:p>
            <w:pPr>
              <w:spacing w:line="240" w:lineRule="auto"/>
              <w:jc w:val="center"/>
              <w:rPr>
                <w:rFonts w:hint="eastAsia"/>
                <w:sz w:val="24"/>
                <w:lang w:eastAsia="zh-CN"/>
              </w:rPr>
            </w:pPr>
            <w:r>
              <w:rPr>
                <w:rFonts w:hint="eastAsia"/>
                <w:i w:val="0"/>
                <w:iCs w:val="0"/>
                <w:sz w:val="24"/>
                <w:u w:val="none"/>
                <w:lang w:val="en-US" w:eastAsia="zh-CN"/>
              </w:rPr>
              <w:t>设备维修</w:t>
            </w:r>
          </w:p>
        </w:tc>
        <w:tc>
          <w:tcPr>
            <w:tcW w:w="1388" w:type="dxa"/>
            <w:vAlign w:val="center"/>
          </w:tcPr>
          <w:p>
            <w:pPr>
              <w:spacing w:line="240" w:lineRule="auto"/>
              <w:jc w:val="center"/>
              <w:rPr>
                <w:rFonts w:hint="eastAsia"/>
                <w:sz w:val="24"/>
                <w:lang w:eastAsia="zh-CN"/>
              </w:rPr>
            </w:pPr>
            <w:r>
              <w:rPr>
                <w:rFonts w:hint="default"/>
                <w:i w:val="0"/>
                <w:iCs w:val="0"/>
                <w:sz w:val="24"/>
                <w:u w:val="none"/>
                <w:lang w:val="en-US" w:eastAsia="zh-CN"/>
              </w:rPr>
              <w:t>含油</w:t>
            </w:r>
            <w:r>
              <w:rPr>
                <w:rFonts w:hint="eastAsia"/>
                <w:i w:val="0"/>
                <w:iCs w:val="0"/>
                <w:sz w:val="24"/>
                <w:u w:val="none"/>
                <w:lang w:val="en-US" w:eastAsia="zh-CN"/>
              </w:rPr>
              <w:t>废抹布及</w:t>
            </w:r>
            <w:r>
              <w:rPr>
                <w:rFonts w:hint="default"/>
                <w:i w:val="0"/>
                <w:iCs w:val="0"/>
                <w:sz w:val="24"/>
                <w:u w:val="none"/>
                <w:lang w:val="en-US" w:eastAsia="zh-CN"/>
              </w:rPr>
              <w:t>手套</w:t>
            </w:r>
          </w:p>
        </w:tc>
        <w:tc>
          <w:tcPr>
            <w:tcW w:w="2280" w:type="dxa"/>
            <w:vMerge w:val="continue"/>
            <w:vAlign w:val="center"/>
          </w:tcPr>
          <w:p>
            <w:pPr>
              <w:contextualSpacing/>
              <w:jc w:val="center"/>
              <w:rPr>
                <w:rFonts w:hint="eastAsia"/>
                <w:sz w:val="24"/>
                <w:lang w:eastAsia="zh-CN"/>
              </w:rPr>
            </w:pPr>
          </w:p>
        </w:tc>
        <w:tc>
          <w:tcPr>
            <w:tcW w:w="2865" w:type="dxa"/>
            <w:vAlign w:val="center"/>
          </w:tcPr>
          <w:p>
            <w:pPr>
              <w:spacing w:line="240" w:lineRule="auto"/>
              <w:jc w:val="center"/>
              <w:rPr>
                <w:rFonts w:hint="eastAsia"/>
                <w:sz w:val="24"/>
                <w:lang w:eastAsia="zh-CN"/>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dxa"/>
            <w:vMerge w:val="continue"/>
            <w:vAlign w:val="center"/>
          </w:tcPr>
          <w:p>
            <w:pPr>
              <w:spacing w:line="240" w:lineRule="auto"/>
              <w:jc w:val="center"/>
              <w:rPr>
                <w:sz w:val="24"/>
              </w:rPr>
            </w:pPr>
          </w:p>
        </w:tc>
        <w:tc>
          <w:tcPr>
            <w:tcW w:w="1271" w:type="dxa"/>
            <w:vAlign w:val="center"/>
          </w:tcPr>
          <w:p>
            <w:pPr>
              <w:spacing w:line="240" w:lineRule="auto"/>
              <w:jc w:val="center"/>
              <w:rPr>
                <w:rFonts w:hint="eastAsia"/>
                <w:sz w:val="24"/>
                <w:lang w:eastAsia="zh-CN"/>
              </w:rPr>
            </w:pPr>
            <w:r>
              <w:rPr>
                <w:rFonts w:hint="default"/>
                <w:i w:val="0"/>
                <w:iCs w:val="0"/>
                <w:sz w:val="24"/>
                <w:u w:val="none"/>
                <w:lang w:val="en-US" w:eastAsia="zh-CN"/>
              </w:rPr>
              <w:t>办公生活</w:t>
            </w:r>
          </w:p>
        </w:tc>
        <w:tc>
          <w:tcPr>
            <w:tcW w:w="1388" w:type="dxa"/>
            <w:vAlign w:val="center"/>
          </w:tcPr>
          <w:p>
            <w:pPr>
              <w:spacing w:line="240" w:lineRule="auto"/>
              <w:jc w:val="center"/>
              <w:rPr>
                <w:rFonts w:hint="eastAsia"/>
                <w:sz w:val="24"/>
                <w:lang w:eastAsia="zh-CN"/>
              </w:rPr>
            </w:pPr>
            <w:r>
              <w:rPr>
                <w:rFonts w:hint="default"/>
                <w:i w:val="0"/>
                <w:iCs w:val="0"/>
                <w:sz w:val="24"/>
                <w:u w:val="none"/>
                <w:lang w:val="en-US" w:eastAsia="zh-CN"/>
              </w:rPr>
              <w:t>生活垃圾</w:t>
            </w:r>
          </w:p>
        </w:tc>
        <w:tc>
          <w:tcPr>
            <w:tcW w:w="2280" w:type="dxa"/>
            <w:vAlign w:val="center"/>
          </w:tcPr>
          <w:p>
            <w:pPr>
              <w:spacing w:line="240" w:lineRule="auto"/>
              <w:jc w:val="center"/>
              <w:rPr>
                <w:rFonts w:hint="eastAsia"/>
                <w:sz w:val="24"/>
                <w:lang w:eastAsia="zh-CN"/>
              </w:rPr>
            </w:pPr>
            <w:r>
              <w:rPr>
                <w:rFonts w:hint="default"/>
                <w:i w:val="0"/>
                <w:iCs w:val="0"/>
                <w:sz w:val="24"/>
                <w:u w:val="none"/>
                <w:lang w:val="en-US" w:eastAsia="zh-CN"/>
              </w:rPr>
              <w:t>定点收集，环卫</w:t>
            </w:r>
            <w:r>
              <w:rPr>
                <w:rFonts w:hint="eastAsia"/>
                <w:i w:val="0"/>
                <w:iCs w:val="0"/>
                <w:sz w:val="24"/>
                <w:u w:val="none"/>
                <w:lang w:val="en-US" w:eastAsia="zh-CN"/>
              </w:rPr>
              <w:t>部门</w:t>
            </w:r>
            <w:r>
              <w:rPr>
                <w:rFonts w:hint="default"/>
                <w:i w:val="0"/>
                <w:iCs w:val="0"/>
                <w:sz w:val="24"/>
                <w:u w:val="none"/>
                <w:lang w:val="en-US" w:eastAsia="zh-CN"/>
              </w:rPr>
              <w:t>清运</w:t>
            </w:r>
          </w:p>
        </w:tc>
        <w:tc>
          <w:tcPr>
            <w:tcW w:w="2865" w:type="dxa"/>
            <w:vAlign w:val="center"/>
          </w:tcPr>
          <w:p>
            <w:pPr>
              <w:spacing w:line="240" w:lineRule="auto"/>
              <w:jc w:val="center"/>
              <w:rPr>
                <w:rFonts w:hint="eastAsia"/>
                <w:sz w:val="24"/>
                <w:lang w:eastAsia="zh-CN"/>
              </w:rPr>
            </w:pPr>
            <w:r>
              <w:rPr>
                <w:rFonts w:hint="eastAsia"/>
                <w:sz w:val="24"/>
                <w:lang w:eastAsia="zh-CN"/>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3" w:hRule="atLeast"/>
          <w:jc w:val="center"/>
        </w:trPr>
        <w:tc>
          <w:tcPr>
            <w:tcW w:w="9071" w:type="dxa"/>
            <w:gridSpan w:val="5"/>
            <w:tcBorders>
              <w:bottom w:val="single" w:color="auto" w:sz="12" w:space="0"/>
            </w:tcBorders>
          </w:tcPr>
          <w:p>
            <w:pPr>
              <w:spacing w:line="360" w:lineRule="auto"/>
              <w:rPr>
                <w:b/>
                <w:bCs/>
                <w:sz w:val="24"/>
              </w:rPr>
            </w:pPr>
            <w:r>
              <w:rPr>
                <w:b/>
                <w:bCs/>
                <w:sz w:val="24"/>
              </w:rPr>
              <w:t>生态保护措施及预期效果：</w:t>
            </w:r>
          </w:p>
          <w:p>
            <w:pPr>
              <w:spacing w:line="400" w:lineRule="exact"/>
              <w:ind w:firstLine="480" w:firstLineChars="200"/>
              <w:rPr>
                <w:rFonts w:hint="eastAsia"/>
                <w:i w:val="0"/>
                <w:iCs w:val="0"/>
                <w:sz w:val="24"/>
                <w:u w:val="none"/>
              </w:rPr>
            </w:pPr>
            <w:r>
              <w:rPr>
                <w:rFonts w:hint="default" w:ascii="Times New Roman" w:hAnsi="Times New Roman" w:cs="Times New Roman"/>
                <w:kern w:val="0"/>
                <w:sz w:val="24"/>
                <w:szCs w:val="24"/>
              </w:rPr>
              <w:t>主要是施工期对地表植被的破坏，以及地表开挖造成的水土流失。但这些活动属于不连续的局部影响，在施工时做到科学管理，并结合项目建成后</w:t>
            </w:r>
            <w:r>
              <w:rPr>
                <w:rFonts w:hint="eastAsia" w:ascii="Times New Roman" w:hAnsi="Times New Roman" w:cs="Times New Roman"/>
                <w:kern w:val="0"/>
                <w:sz w:val="24"/>
                <w:szCs w:val="24"/>
                <w:lang w:eastAsia="zh-CN"/>
              </w:rPr>
              <w:t>的绿化建设</w:t>
            </w:r>
            <w:r>
              <w:rPr>
                <w:rFonts w:hint="default" w:ascii="Times New Roman" w:hAnsi="Times New Roman" w:cs="Times New Roman"/>
                <w:kern w:val="0"/>
                <w:sz w:val="24"/>
                <w:szCs w:val="24"/>
              </w:rPr>
              <w:t>，整体上不会对项目拟建场地生态环境系统造成较大影响</w:t>
            </w:r>
            <w:r>
              <w:rPr>
                <w:rFonts w:hint="eastAsia"/>
                <w:i w:val="0"/>
                <w:iCs w:val="0"/>
                <w:sz w:val="24"/>
                <w:u w:val="none"/>
              </w:rPr>
              <w:t>。。</w:t>
            </w: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pStyle w:val="29"/>
              <w:rPr>
                <w:rFonts w:hint="eastAsia"/>
                <w:i w:val="0"/>
                <w:iCs w:val="0"/>
                <w:sz w:val="24"/>
                <w:u w:val="none"/>
              </w:rPr>
            </w:pPr>
          </w:p>
          <w:p>
            <w:pPr>
              <w:spacing w:line="360" w:lineRule="auto"/>
              <w:ind w:firstLine="480" w:firstLineChars="200"/>
              <w:jc w:val="left"/>
              <w:rPr>
                <w:rFonts w:hint="eastAsia" w:eastAsia="宋体"/>
                <w:sz w:val="24"/>
                <w:lang w:val="en-US" w:eastAsia="zh-CN"/>
              </w:rPr>
            </w:pPr>
          </w:p>
        </w:tc>
      </w:tr>
    </w:tbl>
    <w:p>
      <w:pPr>
        <w:spacing w:line="440" w:lineRule="exact"/>
        <w:outlineLvl w:val="0"/>
        <w:rPr>
          <w:rFonts w:hint="eastAsia"/>
          <w:b/>
          <w:sz w:val="32"/>
          <w:szCs w:val="32"/>
          <w:lang w:val="en-US" w:eastAsia="zh-CN"/>
        </w:rPr>
      </w:pPr>
      <w:bookmarkStart w:id="47" w:name="_Toc4093"/>
      <w:bookmarkStart w:id="48" w:name="_Toc4904"/>
      <w:r>
        <w:rPr>
          <w:rFonts w:hint="eastAsia"/>
          <w:b/>
          <w:sz w:val="32"/>
          <w:szCs w:val="32"/>
          <w:lang w:val="en-US" w:eastAsia="zh-CN"/>
        </w:rPr>
        <w:t>9环境风险分析</w:t>
      </w:r>
      <w:bookmarkEnd w:id="47"/>
    </w:p>
    <w:tbl>
      <w:tblPr>
        <w:tblStyle w:val="23"/>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9072" w:type="dxa"/>
          </w:tcPr>
          <w:p>
            <w:pPr>
              <w:spacing w:line="360" w:lineRule="auto"/>
              <w:ind w:firstLine="482"/>
              <w:contextualSpacing/>
              <w:rPr>
                <w:rFonts w:hint="eastAsia"/>
                <w:sz w:val="24"/>
                <w:u w:val="none"/>
                <w:lang w:val="en-US" w:eastAsia="zh-CN"/>
              </w:rPr>
            </w:pPr>
            <w:bookmarkStart w:id="49" w:name="_Toc9952"/>
            <w:bookmarkStart w:id="50" w:name="_Toc21769097"/>
            <w:bookmarkStart w:id="51" w:name="_Toc20965"/>
            <w:bookmarkStart w:id="52" w:name="_Toc298342616"/>
            <w:bookmarkStart w:id="53" w:name="_Toc245656283"/>
            <w:bookmarkStart w:id="54" w:name="_Toc350847108"/>
            <w:bookmarkStart w:id="55" w:name="_Toc294108798"/>
            <w:bookmarkStart w:id="56" w:name="_Toc9405042"/>
            <w:bookmarkStart w:id="57" w:name="_Toc244441747"/>
            <w:r>
              <w:rPr>
                <w:rFonts w:hint="eastAsia"/>
                <w:b/>
                <w:bCs/>
                <w:sz w:val="24"/>
                <w:u w:val="none"/>
                <w:lang w:val="en-US" w:eastAsia="zh-CN"/>
              </w:rPr>
              <w:t>一、评价原则</w:t>
            </w:r>
            <w:bookmarkEnd w:id="49"/>
            <w:bookmarkEnd w:id="50"/>
            <w:bookmarkEnd w:id="51"/>
          </w:p>
          <w:p>
            <w:pPr>
              <w:spacing w:line="360" w:lineRule="auto"/>
              <w:ind w:firstLine="482"/>
              <w:contextualSpacing/>
              <w:rPr>
                <w:rFonts w:hint="eastAsia"/>
                <w:sz w:val="24"/>
                <w:u w:val="none"/>
                <w:lang w:val="en-US" w:eastAsia="zh-CN"/>
              </w:rPr>
            </w:pPr>
            <w:r>
              <w:rPr>
                <w:rFonts w:hint="eastAsia"/>
                <w:sz w:val="24"/>
                <w:u w:val="none"/>
                <w:lang w:val="en-US" w:eastAsia="zh-CN"/>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spacing w:line="360" w:lineRule="auto"/>
              <w:ind w:firstLine="482"/>
              <w:contextualSpacing/>
              <w:rPr>
                <w:rFonts w:hint="eastAsia"/>
                <w:sz w:val="24"/>
                <w:u w:val="none"/>
                <w:lang w:val="en-US" w:eastAsia="zh-CN"/>
              </w:rPr>
            </w:pPr>
            <w:bookmarkStart w:id="58" w:name="_Toc20859"/>
            <w:bookmarkStart w:id="59" w:name="_Toc21769098"/>
            <w:bookmarkStart w:id="60" w:name="_Toc24322"/>
            <w:r>
              <w:rPr>
                <w:rFonts w:hint="eastAsia"/>
                <w:b/>
                <w:bCs/>
                <w:sz w:val="24"/>
                <w:u w:val="none"/>
                <w:lang w:val="en-US" w:eastAsia="zh-CN"/>
              </w:rPr>
              <w:t>二、评价工作程序</w:t>
            </w:r>
            <w:bookmarkEnd w:id="58"/>
            <w:bookmarkEnd w:id="59"/>
            <w:bookmarkEnd w:id="60"/>
          </w:p>
          <w:p>
            <w:pPr>
              <w:spacing w:line="360" w:lineRule="auto"/>
              <w:ind w:firstLine="482"/>
              <w:contextualSpacing/>
              <w:rPr>
                <w:rFonts w:hint="default"/>
                <w:sz w:val="24"/>
                <w:u w:val="none"/>
                <w:lang w:val="en-US" w:eastAsia="zh-CN"/>
              </w:rPr>
            </w:pPr>
            <w:r>
              <w:rPr>
                <w:rFonts w:hint="default"/>
                <w:sz w:val="24"/>
                <w:u w:val="none"/>
                <w:lang w:val="en-US" w:eastAsia="zh-CN"/>
              </w:rPr>
              <w:t>评价工作程序见图</w:t>
            </w:r>
            <w:r>
              <w:rPr>
                <w:rFonts w:hint="eastAsia"/>
                <w:sz w:val="24"/>
                <w:u w:val="none"/>
                <w:lang w:val="en-US" w:eastAsia="zh-CN"/>
              </w:rPr>
              <w:t>9</w:t>
            </w:r>
            <w:r>
              <w:rPr>
                <w:rFonts w:hint="default"/>
                <w:sz w:val="24"/>
                <w:u w:val="none"/>
                <w:lang w:val="en-US" w:eastAsia="zh-CN"/>
              </w:rPr>
              <w:t>-1。</w:t>
            </w:r>
          </w:p>
          <w:p>
            <w:pPr>
              <w:ind w:firstLine="174" w:firstLineChars="83"/>
              <w:jc w:val="center"/>
            </w:pPr>
            <w:r>
              <w:drawing>
                <wp:inline distT="0" distB="0" distL="0" distR="0">
                  <wp:extent cx="5400040" cy="5581015"/>
                  <wp:effectExtent l="0" t="0" r="1016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00040" cy="5581015"/>
                          </a:xfrm>
                          <a:prstGeom prst="rect">
                            <a:avLst/>
                          </a:prstGeom>
                          <a:noFill/>
                          <a:ln>
                            <a:noFill/>
                          </a:ln>
                        </pic:spPr>
                      </pic:pic>
                    </a:graphicData>
                  </a:graphic>
                </wp:inline>
              </w:drawing>
            </w:r>
          </w:p>
          <w:p>
            <w:pPr>
              <w:pStyle w:val="83"/>
              <w:spacing w:line="360" w:lineRule="auto"/>
              <w:ind w:firstLine="482"/>
              <w:jc w:val="center"/>
              <w:rPr>
                <w:rFonts w:hint="default" w:ascii="Times New Roman" w:hAnsi="Times New Roman" w:cs="Times New Roman"/>
                <w:b/>
              </w:rPr>
            </w:pPr>
            <w:r>
              <w:rPr>
                <w:rFonts w:hint="default" w:ascii="Times New Roman" w:hAnsi="Times New Roman" w:cs="Times New Roman"/>
                <w:b/>
              </w:rPr>
              <w:t>图</w:t>
            </w:r>
            <w:r>
              <w:rPr>
                <w:rFonts w:hint="eastAsia" w:cs="Times New Roman"/>
                <w:b/>
                <w:lang w:val="en-US" w:eastAsia="zh-CN"/>
              </w:rPr>
              <w:t>9</w:t>
            </w:r>
            <w:r>
              <w:rPr>
                <w:rFonts w:hint="default" w:ascii="Times New Roman" w:hAnsi="Times New Roman" w:cs="Times New Roman"/>
                <w:b/>
                <w:lang w:val="en-US" w:eastAsia="zh-CN"/>
              </w:rPr>
              <w:t>-1</w:t>
            </w:r>
            <w:r>
              <w:rPr>
                <w:rFonts w:hint="default" w:ascii="Times New Roman" w:hAnsi="Times New Roman" w:cs="Times New Roman"/>
                <w:b/>
              </w:rPr>
              <w:t xml:space="preserve">  评价工作程序</w:t>
            </w:r>
          </w:p>
          <w:bookmarkEnd w:id="52"/>
          <w:bookmarkEnd w:id="53"/>
          <w:bookmarkEnd w:id="54"/>
          <w:bookmarkEnd w:id="55"/>
          <w:bookmarkEnd w:id="56"/>
          <w:bookmarkEnd w:id="57"/>
          <w:p>
            <w:pPr>
              <w:spacing w:line="360" w:lineRule="auto"/>
              <w:ind w:firstLine="482"/>
              <w:contextualSpacing/>
              <w:rPr>
                <w:rFonts w:hint="default"/>
                <w:b/>
                <w:bCs/>
                <w:sz w:val="24"/>
                <w:u w:val="none"/>
                <w:lang w:val="en-US" w:eastAsia="zh-CN"/>
              </w:rPr>
            </w:pPr>
            <w:bookmarkStart w:id="61" w:name="_Toc24403"/>
            <w:r>
              <w:rPr>
                <w:rFonts w:hint="eastAsia"/>
                <w:b/>
                <w:bCs/>
                <w:sz w:val="24"/>
                <w:u w:val="none"/>
                <w:lang w:val="en-US" w:eastAsia="zh-CN"/>
              </w:rPr>
              <w:t>三、</w:t>
            </w:r>
            <w:r>
              <w:rPr>
                <w:rFonts w:hint="default"/>
                <w:b/>
                <w:bCs/>
                <w:sz w:val="24"/>
                <w:u w:val="none"/>
                <w:lang w:val="en-US" w:eastAsia="zh-CN"/>
              </w:rPr>
              <w:t>风险调查</w:t>
            </w:r>
            <w:bookmarkEnd w:id="61"/>
            <w:r>
              <w:rPr>
                <w:rFonts w:hint="default"/>
                <w:b/>
                <w:bCs/>
                <w:sz w:val="24"/>
                <w:u w:val="none"/>
                <w:lang w:val="en-US" w:eastAsia="zh-CN"/>
              </w:rPr>
              <w:t xml:space="preserve"> </w:t>
            </w:r>
          </w:p>
          <w:p>
            <w:pPr>
              <w:spacing w:line="360" w:lineRule="auto"/>
              <w:ind w:firstLine="482"/>
              <w:contextualSpacing/>
              <w:rPr>
                <w:rFonts w:hint="eastAsia"/>
                <w:b/>
                <w:bCs/>
                <w:sz w:val="24"/>
                <w:u w:val="none"/>
                <w:lang w:val="en-US" w:eastAsia="zh-CN"/>
              </w:rPr>
            </w:pPr>
            <w:r>
              <w:rPr>
                <w:rFonts w:hint="default"/>
                <w:b w:val="0"/>
                <w:bCs w:val="0"/>
                <w:sz w:val="24"/>
                <w:u w:val="none"/>
                <w:lang w:val="en-US" w:eastAsia="zh-CN"/>
              </w:rPr>
              <w:t>本项目为</w:t>
            </w:r>
            <w:r>
              <w:rPr>
                <w:rFonts w:hint="eastAsia"/>
                <w:b w:val="0"/>
                <w:bCs w:val="0"/>
                <w:sz w:val="24"/>
                <w:u w:val="none"/>
                <w:lang w:val="en-US" w:eastAsia="zh-CN"/>
              </w:rPr>
              <w:t>饲料</w:t>
            </w:r>
            <w:r>
              <w:rPr>
                <w:rFonts w:hint="default"/>
                <w:b w:val="0"/>
                <w:bCs w:val="0"/>
                <w:sz w:val="24"/>
                <w:u w:val="none"/>
                <w:lang w:val="en-US" w:eastAsia="zh-CN"/>
              </w:rPr>
              <w:t>生产项目，对比《建设项目环境风险评价技术</w:t>
            </w:r>
            <w:r>
              <w:rPr>
                <w:rFonts w:hint="eastAsia"/>
                <w:b w:val="0"/>
                <w:bCs w:val="0"/>
                <w:sz w:val="24"/>
                <w:u w:val="none"/>
                <w:lang w:val="en-US" w:eastAsia="zh-CN"/>
              </w:rPr>
              <w:t>导则》（</w:t>
            </w:r>
            <w:r>
              <w:rPr>
                <w:rFonts w:hint="default"/>
                <w:b w:val="0"/>
                <w:bCs w:val="0"/>
                <w:sz w:val="24"/>
                <w:u w:val="none"/>
                <w:lang w:val="en-US" w:eastAsia="zh-CN"/>
              </w:rPr>
              <w:t>HJ169-2018</w:t>
            </w:r>
            <w:r>
              <w:rPr>
                <w:rFonts w:hint="eastAsia"/>
                <w:b w:val="0"/>
                <w:bCs w:val="0"/>
                <w:sz w:val="24"/>
                <w:u w:val="none"/>
                <w:lang w:val="en-US" w:eastAsia="zh-CN"/>
              </w:rPr>
              <w:t>）附录</w:t>
            </w:r>
            <w:r>
              <w:rPr>
                <w:rFonts w:hint="default"/>
                <w:b w:val="0"/>
                <w:bCs w:val="0"/>
                <w:sz w:val="24"/>
                <w:u w:val="none"/>
                <w:lang w:val="en-US" w:eastAsia="zh-CN"/>
              </w:rPr>
              <w:t>B</w:t>
            </w:r>
            <w:r>
              <w:rPr>
                <w:rFonts w:hint="eastAsia"/>
                <w:b w:val="0"/>
                <w:bCs w:val="0"/>
                <w:sz w:val="24"/>
                <w:u w:val="none"/>
                <w:lang w:val="en-US" w:eastAsia="zh-CN"/>
              </w:rPr>
              <w:t>，项目生产期间涉及的可能引发环境风险的物质主要是废机油、NH</w:t>
            </w:r>
            <w:r>
              <w:rPr>
                <w:rFonts w:hint="eastAsia"/>
                <w:b w:val="0"/>
                <w:bCs w:val="0"/>
                <w:sz w:val="24"/>
                <w:u w:val="none"/>
                <w:vertAlign w:val="subscript"/>
                <w:lang w:val="en-US" w:eastAsia="zh-CN"/>
              </w:rPr>
              <w:t>3</w:t>
            </w:r>
            <w:r>
              <w:rPr>
                <w:rFonts w:hint="eastAsia"/>
                <w:b w:val="0"/>
                <w:bCs w:val="0"/>
                <w:sz w:val="24"/>
                <w:u w:val="none"/>
                <w:lang w:val="en-US" w:eastAsia="zh-CN"/>
              </w:rPr>
              <w:t>、H</w:t>
            </w:r>
            <w:r>
              <w:rPr>
                <w:rFonts w:hint="eastAsia"/>
                <w:b w:val="0"/>
                <w:bCs w:val="0"/>
                <w:sz w:val="24"/>
                <w:u w:val="none"/>
                <w:vertAlign w:val="subscript"/>
                <w:lang w:val="en-US" w:eastAsia="zh-CN"/>
              </w:rPr>
              <w:t>2</w:t>
            </w:r>
            <w:r>
              <w:rPr>
                <w:rFonts w:hint="eastAsia"/>
                <w:b w:val="0"/>
                <w:bCs w:val="0"/>
                <w:sz w:val="24"/>
                <w:u w:val="none"/>
                <w:lang w:val="en-US" w:eastAsia="zh-CN"/>
              </w:rPr>
              <w:t>S，项目涉及的风险物质分布及存放情况见下表所示。</w:t>
            </w:r>
          </w:p>
          <w:p>
            <w:pPr>
              <w:tabs>
                <w:tab w:val="left" w:pos="1925"/>
              </w:tabs>
              <w:bidi w:val="0"/>
              <w:spacing w:line="360" w:lineRule="auto"/>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 xml:space="preserve">-1  </w:t>
            </w:r>
            <w:r>
              <w:rPr>
                <w:rFonts w:hint="default" w:ascii="Times New Roman" w:hAnsi="Times New Roman" w:cs="Times New Roman" w:eastAsiaTheme="minorEastAsia"/>
                <w:b/>
                <w:bCs/>
                <w:kern w:val="2"/>
                <w:sz w:val="21"/>
                <w:szCs w:val="21"/>
                <w:lang w:val="en-US" w:eastAsia="zh-CN" w:bidi="ar-SA"/>
              </w:rPr>
              <w:t>本项目风险物质储存及分布情况一览表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99"/>
              <w:gridCol w:w="1700"/>
              <w:gridCol w:w="1810"/>
              <w:gridCol w:w="1270"/>
              <w:gridCol w:w="26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 w:hRule="atLeast"/>
                <w:jc w:val="center"/>
              </w:trPr>
              <w:tc>
                <w:tcPr>
                  <w:tcW w:w="1199" w:type="dxa"/>
                  <w:tcBorders>
                    <w:tl2br w:val="nil"/>
                    <w:tr2bl w:val="nil"/>
                  </w:tcBorders>
                  <w:vAlign w:val="top"/>
                </w:tcPr>
                <w:p>
                  <w:pPr>
                    <w:spacing w:line="240" w:lineRule="auto"/>
                    <w:ind w:firstLine="0" w:firstLineChars="0"/>
                    <w:jc w:val="center"/>
                    <w:rPr>
                      <w:rFonts w:hint="default"/>
                      <w:b/>
                      <w:bCs/>
                      <w:vertAlign w:val="baseline"/>
                      <w:lang w:val="en-US" w:eastAsia="zh-CN"/>
                    </w:rPr>
                  </w:pPr>
                  <w:r>
                    <w:rPr>
                      <w:rFonts w:hint="default" w:ascii="Times New Roman" w:hAnsi="Times New Roman" w:cs="Times New Roman"/>
                      <w:b/>
                      <w:bCs/>
                      <w:sz w:val="21"/>
                    </w:rPr>
                    <w:t>序号</w:t>
                  </w:r>
                </w:p>
              </w:tc>
              <w:tc>
                <w:tcPr>
                  <w:tcW w:w="1700" w:type="dxa"/>
                  <w:tcBorders>
                    <w:tl2br w:val="nil"/>
                    <w:tr2bl w:val="nil"/>
                  </w:tcBorders>
                  <w:vAlign w:val="top"/>
                </w:tcPr>
                <w:p>
                  <w:pPr>
                    <w:spacing w:line="240" w:lineRule="auto"/>
                    <w:ind w:firstLine="0" w:firstLineChars="0"/>
                    <w:jc w:val="center"/>
                    <w:rPr>
                      <w:rFonts w:hint="default"/>
                      <w:b/>
                      <w:bCs/>
                      <w:vertAlign w:val="baseline"/>
                      <w:lang w:val="en-US" w:eastAsia="zh-CN"/>
                    </w:rPr>
                  </w:pPr>
                  <w:r>
                    <w:rPr>
                      <w:rFonts w:hint="default" w:ascii="Times New Roman" w:hAnsi="Times New Roman" w:cs="Times New Roman"/>
                      <w:b/>
                      <w:bCs/>
                      <w:sz w:val="21"/>
                    </w:rPr>
                    <w:t>原料名称</w:t>
                  </w:r>
                </w:p>
              </w:tc>
              <w:tc>
                <w:tcPr>
                  <w:tcW w:w="1810" w:type="dxa"/>
                  <w:tcBorders>
                    <w:tl2br w:val="nil"/>
                    <w:tr2bl w:val="nil"/>
                  </w:tcBorders>
                  <w:vAlign w:val="top"/>
                </w:tcPr>
                <w:p>
                  <w:pPr>
                    <w:spacing w:line="240" w:lineRule="auto"/>
                    <w:ind w:firstLine="0" w:firstLineChars="0"/>
                    <w:jc w:val="center"/>
                    <w:rPr>
                      <w:rFonts w:hint="default"/>
                      <w:b/>
                      <w:bCs/>
                      <w:vertAlign w:val="baseline"/>
                      <w:lang w:val="en-US" w:eastAsia="zh-CN"/>
                    </w:rPr>
                  </w:pPr>
                  <w:r>
                    <w:rPr>
                      <w:rFonts w:hint="default" w:ascii="Times New Roman" w:hAnsi="Times New Roman" w:cs="Times New Roman"/>
                      <w:b/>
                      <w:bCs/>
                      <w:sz w:val="21"/>
                    </w:rPr>
                    <w:t>存在位置</w:t>
                  </w:r>
                </w:p>
              </w:tc>
              <w:tc>
                <w:tcPr>
                  <w:tcW w:w="1270" w:type="dxa"/>
                  <w:tcBorders>
                    <w:tl2br w:val="nil"/>
                    <w:tr2bl w:val="nil"/>
                  </w:tcBorders>
                  <w:vAlign w:val="top"/>
                </w:tcPr>
                <w:p>
                  <w:pPr>
                    <w:spacing w:line="240" w:lineRule="auto"/>
                    <w:ind w:firstLine="0" w:firstLineChars="0"/>
                    <w:jc w:val="center"/>
                    <w:rPr>
                      <w:rFonts w:hint="default"/>
                      <w:b/>
                      <w:bCs/>
                      <w:vertAlign w:val="baseline"/>
                      <w:lang w:val="en-US" w:eastAsia="zh-CN"/>
                    </w:rPr>
                  </w:pPr>
                  <w:r>
                    <w:rPr>
                      <w:rFonts w:hint="default" w:ascii="Times New Roman" w:hAnsi="Times New Roman" w:cs="Times New Roman"/>
                      <w:b/>
                      <w:bCs/>
                      <w:sz w:val="21"/>
                    </w:rPr>
                    <w:t>储存状态</w:t>
                  </w:r>
                </w:p>
              </w:tc>
              <w:tc>
                <w:tcPr>
                  <w:tcW w:w="2638" w:type="dxa"/>
                  <w:tcBorders>
                    <w:tl2br w:val="nil"/>
                    <w:tr2bl w:val="nil"/>
                  </w:tcBorders>
                  <w:vAlign w:val="top"/>
                </w:tcPr>
                <w:p>
                  <w:pPr>
                    <w:spacing w:line="240" w:lineRule="auto"/>
                    <w:ind w:firstLine="0" w:firstLineChars="0"/>
                    <w:jc w:val="center"/>
                    <w:rPr>
                      <w:rFonts w:hint="default"/>
                      <w:b/>
                      <w:bCs/>
                      <w:vertAlign w:val="baseline"/>
                      <w:lang w:val="en-US" w:eastAsia="zh-CN"/>
                    </w:rPr>
                  </w:pPr>
                  <w:r>
                    <w:rPr>
                      <w:rFonts w:hint="default" w:ascii="Times New Roman" w:hAnsi="Times New Roman" w:cs="Times New Roman"/>
                      <w:b/>
                      <w:bCs/>
                      <w:sz w:val="21"/>
                    </w:rPr>
                    <w:t>最大储存量（t）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99" w:type="dxa"/>
                  <w:tcBorders>
                    <w:tl2br w:val="nil"/>
                    <w:tr2bl w:val="nil"/>
                  </w:tcBorders>
                  <w:vAlign w:val="top"/>
                </w:tcPr>
                <w:p>
                  <w:pPr>
                    <w:spacing w:line="240" w:lineRule="auto"/>
                    <w:ind w:firstLine="0" w:firstLineChars="0"/>
                    <w:jc w:val="center"/>
                    <w:rPr>
                      <w:rFonts w:hint="default" w:ascii="Times New Roman" w:hAnsi="Times New Roman" w:cs="Times New Roman"/>
                      <w:sz w:val="21"/>
                      <w:lang w:val="en-US" w:eastAsia="zh-CN"/>
                    </w:rPr>
                  </w:pPr>
                  <w:r>
                    <w:rPr>
                      <w:rFonts w:hint="eastAsia" w:cs="Times New Roman"/>
                      <w:sz w:val="21"/>
                      <w:lang w:val="en-US" w:eastAsia="zh-CN"/>
                    </w:rPr>
                    <w:t>1</w:t>
                  </w:r>
                </w:p>
              </w:tc>
              <w:tc>
                <w:tcPr>
                  <w:tcW w:w="1700" w:type="dxa"/>
                  <w:tcBorders>
                    <w:tl2br w:val="nil"/>
                    <w:tr2bl w:val="nil"/>
                  </w:tcBorders>
                  <w:vAlign w:val="center"/>
                </w:tcPr>
                <w:p>
                  <w:pPr>
                    <w:adjustRightInd w:val="0"/>
                    <w:snapToGrid w:val="0"/>
                    <w:jc w:val="center"/>
                    <w:rPr>
                      <w:rFonts w:hint="eastAsia" w:ascii="Times New Roman" w:hAnsi="Times New Roman" w:cs="Times New Roman"/>
                      <w:sz w:val="21"/>
                      <w:lang w:eastAsia="zh-CN"/>
                    </w:rPr>
                  </w:pPr>
                  <w:r>
                    <w:rPr>
                      <w:rFonts w:hint="eastAsia" w:ascii="Times New Roman" w:hAnsi="Times New Roman" w:cs="Times New Roman"/>
                      <w:kern w:val="0"/>
                      <w:szCs w:val="21"/>
                      <w:lang w:val="en-US" w:eastAsia="zh-CN"/>
                    </w:rPr>
                    <w:t>废机油</w:t>
                  </w:r>
                </w:p>
              </w:tc>
              <w:tc>
                <w:tcPr>
                  <w:tcW w:w="181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危废暂存间</w:t>
                  </w:r>
                </w:p>
              </w:tc>
              <w:tc>
                <w:tcPr>
                  <w:tcW w:w="127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液态</w:t>
                  </w:r>
                </w:p>
              </w:tc>
              <w:tc>
                <w:tcPr>
                  <w:tcW w:w="2638" w:type="dxa"/>
                  <w:tcBorders>
                    <w:tl2br w:val="nil"/>
                    <w:tr2bl w:val="nil"/>
                  </w:tcBorders>
                  <w:vAlign w:val="center"/>
                </w:tcPr>
                <w:p>
                  <w:pPr>
                    <w:adjustRightInd w:val="0"/>
                    <w:snapToGrid w:val="0"/>
                    <w:jc w:val="center"/>
                    <w:rPr>
                      <w:rFonts w:hint="default" w:ascii="Times New Roman" w:hAnsi="Times New Roman" w:cs="Times New Roman"/>
                      <w:sz w:val="21"/>
                      <w:lang w:val="en-US" w:eastAsia="zh-CN"/>
                    </w:rPr>
                  </w:pPr>
                  <w:r>
                    <w:rPr>
                      <w:rFonts w:hint="eastAsia" w:ascii="Times New Roman" w:hAnsi="Times New Roman" w:cs="Times New Roman"/>
                      <w:kern w:val="0"/>
                      <w:szCs w:val="21"/>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99" w:type="dxa"/>
                  <w:tcBorders>
                    <w:tl2br w:val="nil"/>
                    <w:tr2bl w:val="nil"/>
                  </w:tcBorders>
                  <w:vAlign w:val="top"/>
                </w:tcPr>
                <w:p>
                  <w:pPr>
                    <w:spacing w:line="240" w:lineRule="auto"/>
                    <w:ind w:firstLine="0" w:firstLineChars="0"/>
                    <w:jc w:val="center"/>
                    <w:rPr>
                      <w:rFonts w:hint="default" w:ascii="Times New Roman" w:hAnsi="Times New Roman" w:cs="Times New Roman"/>
                      <w:sz w:val="21"/>
                      <w:lang w:val="en-US" w:eastAsia="zh-CN"/>
                    </w:rPr>
                  </w:pPr>
                  <w:r>
                    <w:rPr>
                      <w:rFonts w:hint="eastAsia" w:cs="Times New Roman"/>
                      <w:sz w:val="21"/>
                      <w:lang w:val="en-US" w:eastAsia="zh-CN"/>
                    </w:rPr>
                    <w:t>2</w:t>
                  </w:r>
                </w:p>
              </w:tc>
              <w:tc>
                <w:tcPr>
                  <w:tcW w:w="1700" w:type="dxa"/>
                  <w:tcBorders>
                    <w:tl2br w:val="nil"/>
                    <w:tr2bl w:val="nil"/>
                  </w:tcBorders>
                  <w:vAlign w:val="center"/>
                </w:tcPr>
                <w:p>
                  <w:pPr>
                    <w:adjustRightInd w:val="0"/>
                    <w:snapToGrid w:val="0"/>
                    <w:jc w:val="center"/>
                    <w:rPr>
                      <w:rFonts w:hint="eastAsia" w:ascii="Times New Roman" w:hAnsi="Times New Roman" w:cs="Times New Roman"/>
                      <w:sz w:val="21"/>
                      <w:lang w:eastAsia="zh-CN"/>
                    </w:rPr>
                  </w:pPr>
                  <w:r>
                    <w:rPr>
                      <w:rFonts w:hint="eastAsia" w:ascii="Times New Roman" w:hAnsi="Times New Roman" w:cs="Times New Roman"/>
                      <w:kern w:val="0"/>
                      <w:szCs w:val="21"/>
                      <w:lang w:val="en-US" w:eastAsia="zh-CN"/>
                    </w:rPr>
                    <w:t>NH</w:t>
                  </w:r>
                  <w:r>
                    <w:rPr>
                      <w:rFonts w:hint="eastAsia" w:ascii="Times New Roman" w:hAnsi="Times New Roman" w:cs="Times New Roman"/>
                      <w:kern w:val="0"/>
                      <w:szCs w:val="21"/>
                      <w:vertAlign w:val="subscript"/>
                      <w:lang w:val="en-US" w:eastAsia="zh-CN"/>
                    </w:rPr>
                    <w:t>3</w:t>
                  </w:r>
                </w:p>
              </w:tc>
              <w:tc>
                <w:tcPr>
                  <w:tcW w:w="1810" w:type="dxa"/>
                  <w:tcBorders>
                    <w:tl2br w:val="nil"/>
                    <w:tr2bl w:val="nil"/>
                  </w:tcBorders>
                  <w:vAlign w:val="top"/>
                </w:tcPr>
                <w:p>
                  <w:pPr>
                    <w:spacing w:line="240" w:lineRule="auto"/>
                    <w:ind w:firstLine="0" w:firstLineChars="0"/>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1#车间</w:t>
                  </w:r>
                </w:p>
              </w:tc>
              <w:tc>
                <w:tcPr>
                  <w:tcW w:w="127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气态</w:t>
                  </w:r>
                </w:p>
              </w:tc>
              <w:tc>
                <w:tcPr>
                  <w:tcW w:w="2638" w:type="dxa"/>
                  <w:tcBorders>
                    <w:tl2br w:val="nil"/>
                    <w:tr2bl w:val="nil"/>
                  </w:tcBorders>
                  <w:vAlign w:val="center"/>
                </w:tcPr>
                <w:p>
                  <w:pPr>
                    <w:adjustRightInd w:val="0"/>
                    <w:snapToGrid w:val="0"/>
                    <w:jc w:val="center"/>
                    <w:rPr>
                      <w:rFonts w:hint="eastAsia" w:ascii="Times New Roman" w:hAnsi="Times New Roman" w:cs="Times New Roman"/>
                      <w:sz w:val="21"/>
                      <w:lang w:val="en-US" w:eastAsia="zh-CN"/>
                    </w:rPr>
                  </w:pPr>
                  <w:r>
                    <w:rPr>
                      <w:rFonts w:hint="eastAsia" w:ascii="Times New Roman" w:hAnsi="Times New Roman" w:cs="Times New Roman"/>
                      <w:kern w:val="0"/>
                      <w:szCs w:val="21"/>
                      <w:lang w:val="en-US" w:eastAsia="zh-CN"/>
                    </w:rPr>
                    <w:t>0.002（每天产生量）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99" w:type="dxa"/>
                  <w:tcBorders>
                    <w:tl2br w:val="nil"/>
                    <w:tr2bl w:val="nil"/>
                  </w:tcBorders>
                  <w:vAlign w:val="top"/>
                </w:tcPr>
                <w:p>
                  <w:pPr>
                    <w:spacing w:line="240" w:lineRule="auto"/>
                    <w:ind w:firstLine="0" w:firstLineChars="0"/>
                    <w:jc w:val="center"/>
                    <w:rPr>
                      <w:rFonts w:hint="default" w:ascii="Times New Roman" w:hAnsi="Times New Roman" w:cs="Times New Roman"/>
                      <w:sz w:val="21"/>
                      <w:lang w:val="en-US" w:eastAsia="zh-CN"/>
                    </w:rPr>
                  </w:pPr>
                  <w:r>
                    <w:rPr>
                      <w:rFonts w:hint="eastAsia" w:cs="Times New Roman"/>
                      <w:sz w:val="21"/>
                      <w:lang w:val="en-US" w:eastAsia="zh-CN"/>
                    </w:rPr>
                    <w:t>3</w:t>
                  </w:r>
                </w:p>
              </w:tc>
              <w:tc>
                <w:tcPr>
                  <w:tcW w:w="1700" w:type="dxa"/>
                  <w:tcBorders>
                    <w:tl2br w:val="nil"/>
                    <w:tr2bl w:val="nil"/>
                  </w:tcBorders>
                  <w:vAlign w:val="center"/>
                </w:tcPr>
                <w:p>
                  <w:pPr>
                    <w:adjustRightInd w:val="0"/>
                    <w:snapToGrid w:val="0"/>
                    <w:jc w:val="center"/>
                    <w:rPr>
                      <w:rFonts w:hint="eastAsia" w:ascii="Times New Roman" w:hAnsi="Times New Roman" w:cs="Times New Roman"/>
                      <w:sz w:val="21"/>
                      <w:lang w:eastAsia="zh-CN"/>
                    </w:rPr>
                  </w:pPr>
                  <w:r>
                    <w:rPr>
                      <w:rFonts w:hint="eastAsia" w:ascii="Times New Roman" w:hAnsi="Times New Roman" w:cs="Times New Roman"/>
                      <w:kern w:val="0"/>
                      <w:szCs w:val="21"/>
                      <w:lang w:val="en-US" w:eastAsia="zh-CN"/>
                    </w:rPr>
                    <w:t>H</w:t>
                  </w:r>
                  <w:r>
                    <w:rPr>
                      <w:rFonts w:hint="eastAsia" w:ascii="Times New Roman" w:hAnsi="Times New Roman" w:cs="Times New Roman"/>
                      <w:kern w:val="0"/>
                      <w:szCs w:val="21"/>
                      <w:vertAlign w:val="subscript"/>
                      <w:lang w:val="en-US" w:eastAsia="zh-CN"/>
                    </w:rPr>
                    <w:t>2</w:t>
                  </w:r>
                  <w:r>
                    <w:rPr>
                      <w:rFonts w:hint="eastAsia" w:ascii="Times New Roman" w:hAnsi="Times New Roman" w:cs="Times New Roman"/>
                      <w:kern w:val="0"/>
                      <w:szCs w:val="21"/>
                      <w:lang w:val="en-US" w:eastAsia="zh-CN"/>
                    </w:rPr>
                    <w:t>S</w:t>
                  </w:r>
                </w:p>
              </w:tc>
              <w:tc>
                <w:tcPr>
                  <w:tcW w:w="181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eastAsia="zh-CN"/>
                    </w:rPr>
                  </w:pPr>
                  <w:r>
                    <w:rPr>
                      <w:rFonts w:hint="eastAsia" w:ascii="Times New Roman" w:hAnsi="Times New Roman" w:cs="Times New Roman"/>
                      <w:sz w:val="21"/>
                      <w:lang w:val="en-US" w:eastAsia="zh-CN"/>
                    </w:rPr>
                    <w:t>1#车间</w:t>
                  </w:r>
                </w:p>
              </w:tc>
              <w:tc>
                <w:tcPr>
                  <w:tcW w:w="127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eastAsia="zh-CN"/>
                    </w:rPr>
                  </w:pPr>
                  <w:r>
                    <w:rPr>
                      <w:rFonts w:hint="eastAsia" w:ascii="Times New Roman" w:hAnsi="Times New Roman" w:cs="Times New Roman"/>
                      <w:sz w:val="21"/>
                      <w:lang w:eastAsia="zh-CN"/>
                    </w:rPr>
                    <w:t>气态</w:t>
                  </w:r>
                </w:p>
              </w:tc>
              <w:tc>
                <w:tcPr>
                  <w:tcW w:w="2638" w:type="dxa"/>
                  <w:tcBorders>
                    <w:tl2br w:val="nil"/>
                    <w:tr2bl w:val="nil"/>
                  </w:tcBorders>
                  <w:vAlign w:val="center"/>
                </w:tcPr>
                <w:p>
                  <w:pPr>
                    <w:adjustRightInd w:val="0"/>
                    <w:snapToGrid w:val="0"/>
                    <w:jc w:val="center"/>
                    <w:rPr>
                      <w:rFonts w:hint="eastAsia" w:ascii="Times New Roman" w:hAnsi="Times New Roman" w:cs="Times New Roman"/>
                      <w:sz w:val="21"/>
                      <w:lang w:val="en-US" w:eastAsia="zh-CN"/>
                    </w:rPr>
                  </w:pPr>
                  <w:r>
                    <w:rPr>
                      <w:rFonts w:hint="eastAsia" w:ascii="Times New Roman" w:hAnsi="Times New Roman" w:cs="Times New Roman"/>
                      <w:kern w:val="0"/>
                      <w:szCs w:val="21"/>
                      <w:lang w:val="en-US" w:eastAsia="zh-CN"/>
                    </w:rPr>
                    <w:t>0.000064（每天产生量）</w:t>
                  </w:r>
                </w:p>
              </w:tc>
            </w:tr>
          </w:tbl>
          <w:p>
            <w:pPr>
              <w:tabs>
                <w:tab w:val="left" w:pos="1925"/>
              </w:tabs>
              <w:bidi w:val="0"/>
              <w:spacing w:line="360" w:lineRule="auto"/>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 xml:space="preserve">-2  </w:t>
            </w:r>
            <w:r>
              <w:rPr>
                <w:rFonts w:hint="default" w:ascii="Times New Roman" w:hAnsi="Times New Roman" w:cs="Times New Roman" w:eastAsiaTheme="minorEastAsia"/>
                <w:b/>
                <w:bCs/>
                <w:kern w:val="2"/>
                <w:sz w:val="21"/>
                <w:szCs w:val="21"/>
                <w:lang w:val="en-US" w:eastAsia="zh-CN" w:bidi="ar-SA"/>
              </w:rPr>
              <w:t>本项目风险物质理化性质一览表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09"/>
              <w:gridCol w:w="1450"/>
              <w:gridCol w:w="1620"/>
              <w:gridCol w:w="3200"/>
              <w:gridCol w:w="11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eastAsia" w:ascii="Times New Roman" w:hAnsi="Times New Roman" w:cs="Times New Roman"/>
                      <w:b/>
                      <w:bCs/>
                      <w:sz w:val="21"/>
                      <w:lang w:val="en-US" w:eastAsia="zh-CN"/>
                    </w:rPr>
                    <w:t>物质名称</w:t>
                  </w:r>
                </w:p>
              </w:tc>
              <w:tc>
                <w:tcPr>
                  <w:tcW w:w="145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eastAsia" w:ascii="Times New Roman" w:hAnsi="Times New Roman" w:cs="Times New Roman"/>
                      <w:b/>
                      <w:bCs/>
                      <w:sz w:val="21"/>
                      <w:lang w:val="en-US" w:eastAsia="zh-CN"/>
                    </w:rPr>
                    <w:t>物理性质</w:t>
                  </w:r>
                </w:p>
              </w:tc>
              <w:tc>
                <w:tcPr>
                  <w:tcW w:w="162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eastAsia" w:ascii="Times New Roman" w:hAnsi="Times New Roman" w:cs="Times New Roman"/>
                      <w:b/>
                      <w:bCs/>
                      <w:sz w:val="21"/>
                      <w:lang w:val="en-US" w:eastAsia="zh-CN"/>
                    </w:rPr>
                    <w:t>毒理性质</w:t>
                  </w:r>
                </w:p>
              </w:tc>
              <w:tc>
                <w:tcPr>
                  <w:tcW w:w="320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eastAsia" w:ascii="Times New Roman" w:hAnsi="Times New Roman" w:cs="Times New Roman"/>
                      <w:b/>
                      <w:bCs/>
                      <w:sz w:val="21"/>
                      <w:lang w:val="en-US" w:eastAsia="zh-CN"/>
                    </w:rPr>
                    <w:t>危险特征</w:t>
                  </w:r>
                </w:p>
              </w:tc>
              <w:tc>
                <w:tcPr>
                  <w:tcW w:w="1138"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eastAsia" w:ascii="Times New Roman" w:hAnsi="Times New Roman" w:cs="Times New Roman"/>
                      <w:b/>
                      <w:bCs/>
                      <w:sz w:val="21"/>
                      <w:lang w:val="en-US" w:eastAsia="zh-CN"/>
                    </w:rPr>
                    <w:t>主要用途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09"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废机油</w:t>
                  </w:r>
                </w:p>
              </w:tc>
              <w:tc>
                <w:tcPr>
                  <w:tcW w:w="1450"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油状液体，淡黄色至褐色，无气味或略带异味。</w:t>
                  </w:r>
                </w:p>
              </w:tc>
              <w:tc>
                <w:tcPr>
                  <w:tcW w:w="162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lang w:val="de-DE"/>
                    </w:rPr>
                  </w:pPr>
                  <w:r>
                    <w:rPr>
                      <w:rFonts w:hint="default" w:ascii="Times New Roman" w:hAnsi="Times New Roman" w:cs="Times New Roman"/>
                      <w:sz w:val="21"/>
                      <w:szCs w:val="21"/>
                      <w:u w:val="none"/>
                      <w:lang w:val="de-DE"/>
                    </w:rPr>
                    <w:t>LD50</w:t>
                  </w:r>
                  <w:r>
                    <w:rPr>
                      <w:rFonts w:hint="default" w:ascii="Times New Roman" w:hAnsi="Times New Roman" w:cs="Times New Roman"/>
                      <w:sz w:val="21"/>
                      <w:szCs w:val="21"/>
                      <w:u w:val="none"/>
                      <w:lang w:val="de-DE" w:eastAsia="zh-CN"/>
                    </w:rPr>
                    <w:t>：</w:t>
                  </w:r>
                  <w:r>
                    <w:rPr>
                      <w:rFonts w:hint="default" w:ascii="Times New Roman" w:hAnsi="Times New Roman" w:cs="Times New Roman"/>
                      <w:sz w:val="21"/>
                      <w:szCs w:val="21"/>
                      <w:u w:val="none"/>
                      <w:lang w:val="de-DE"/>
                    </w:rPr>
                    <w:t>5000mg/kg(大鼠经口) </w:t>
                  </w:r>
                </w:p>
                <w:p>
                  <w:pPr>
                    <w:tabs>
                      <w:tab w:val="left" w:pos="1021"/>
                    </w:tabs>
                    <w:adjustRightInd w:val="0"/>
                    <w:snapToGrid w:val="0"/>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szCs w:val="21"/>
                      <w:u w:val="none"/>
                      <w:lang w:val="de-DE"/>
                    </w:rPr>
                    <w:t xml:space="preserve"> L</w:t>
                  </w:r>
                  <w:r>
                    <w:rPr>
                      <w:rFonts w:hint="default" w:ascii="Times New Roman" w:hAnsi="Times New Roman" w:cs="Times New Roman"/>
                      <w:sz w:val="21"/>
                      <w:szCs w:val="21"/>
                      <w:u w:val="none"/>
                      <w:lang w:val="en-US" w:eastAsia="zh-CN"/>
                    </w:rPr>
                    <w:t>C</w:t>
                  </w:r>
                  <w:r>
                    <w:rPr>
                      <w:rFonts w:hint="default" w:ascii="Times New Roman" w:hAnsi="Times New Roman" w:cs="Times New Roman"/>
                      <w:sz w:val="21"/>
                      <w:szCs w:val="21"/>
                      <w:u w:val="none"/>
                      <w:lang w:val="de-DE"/>
                    </w:rPr>
                    <w:t>50</w:t>
                  </w:r>
                  <w:r>
                    <w:rPr>
                      <w:rFonts w:hint="default" w:ascii="Times New Roman" w:hAnsi="Times New Roman" w:cs="Times New Roman"/>
                      <w:sz w:val="21"/>
                      <w:szCs w:val="21"/>
                      <w:u w:val="none"/>
                      <w:lang w:val="de-DE" w:eastAsia="zh-CN"/>
                    </w:rPr>
                    <w:t>：</w:t>
                  </w:r>
                  <w:r>
                    <w:rPr>
                      <w:rFonts w:hint="default" w:ascii="Times New Roman" w:hAnsi="Times New Roman" w:cs="Times New Roman"/>
                      <w:sz w:val="21"/>
                      <w:szCs w:val="21"/>
                      <w:u w:val="none"/>
                      <w:lang w:val="de-DE"/>
                    </w:rPr>
                    <w:t>2000mg/kg(</w:t>
                  </w:r>
                  <w:r>
                    <w:rPr>
                      <w:rFonts w:hint="default" w:ascii="Times New Roman" w:hAnsi="Times New Roman" w:cs="Times New Roman"/>
                      <w:sz w:val="21"/>
                      <w:szCs w:val="21"/>
                      <w:u w:val="none"/>
                      <w:lang w:val="de-DE" w:eastAsia="zh-CN"/>
                    </w:rPr>
                    <w:t>小鼠</w:t>
                  </w:r>
                  <w:r>
                    <w:rPr>
                      <w:rFonts w:hint="default" w:ascii="Times New Roman" w:hAnsi="Times New Roman" w:cs="Times New Roman"/>
                      <w:sz w:val="21"/>
                      <w:szCs w:val="21"/>
                      <w:u w:val="none"/>
                      <w:lang w:val="de-DE"/>
                    </w:rPr>
                    <w:t>经口)</w:t>
                  </w:r>
                </w:p>
              </w:tc>
              <w:tc>
                <w:tcPr>
                  <w:tcW w:w="3200" w:type="dxa"/>
                  <w:tcBorders>
                    <w:tl2br w:val="nil"/>
                    <w:tr2bl w:val="nil"/>
                  </w:tcBorders>
                  <w:vAlign w:val="center"/>
                </w:tcPr>
                <w:p>
                  <w:pPr>
                    <w:spacing w:line="240" w:lineRule="auto"/>
                    <w:ind w:firstLine="0" w:firstLineChars="0"/>
                    <w:jc w:val="center"/>
                    <w:rPr>
                      <w:rFonts w:hint="eastAsia" w:ascii="Times New Roman" w:hAnsi="Times New Roman" w:cs="Times New Roman"/>
                      <w:lang w:val="en-US" w:eastAsia="zh-CN"/>
                    </w:rPr>
                  </w:pPr>
                  <w:r>
                    <w:rPr>
                      <w:rFonts w:hint="default" w:ascii="Times New Roman" w:hAnsi="Times New Roman" w:cs="Times New Roman"/>
                      <w:color w:val="000000"/>
                      <w:sz w:val="21"/>
                      <w:szCs w:val="21"/>
                      <w:u w:val="none"/>
                      <w:shd w:val="clear" w:color="auto" w:fill="FFFFFF"/>
                      <w:lang w:eastAsia="zh-CN"/>
                    </w:rPr>
                    <w:t>急性吸入，可出现乏力、头晕、头痛、恶心，严重者可引起油脂性肺炎。慢接触者，暴露部位可发生油性痤疮和接触性皮炎。可引起神经衰弱综合征，呼吸道和眼刺激症状及慢性油脂性肺炎。</w:t>
                  </w:r>
                </w:p>
              </w:tc>
              <w:tc>
                <w:tcPr>
                  <w:tcW w:w="1138"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w:t>
                  </w:r>
                </w:p>
              </w:tc>
            </w:tr>
          </w:tbl>
          <w:p>
            <w:pPr>
              <w:spacing w:line="360" w:lineRule="auto"/>
              <w:ind w:firstLine="482"/>
              <w:contextualSpacing/>
              <w:rPr>
                <w:rFonts w:hint="eastAsia"/>
                <w:b/>
                <w:bCs/>
                <w:sz w:val="24"/>
                <w:u w:val="none"/>
                <w:lang w:val="en-US" w:eastAsia="zh-CN"/>
              </w:rPr>
            </w:pPr>
            <w:bookmarkStart w:id="62" w:name="_Toc6843"/>
            <w:r>
              <w:rPr>
                <w:rFonts w:hint="eastAsia"/>
                <w:b/>
                <w:bCs/>
                <w:sz w:val="24"/>
                <w:u w:val="none"/>
                <w:lang w:val="en-US" w:eastAsia="zh-CN"/>
              </w:rPr>
              <w:t>四、环境风险潜势初判</w:t>
            </w:r>
            <w:bookmarkEnd w:id="62"/>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根据《建设项目环境风险评价技术导则》（HJ169-2018）中的内容，将环境风险潜势划分为 I、II、III、IV/IV</w:t>
            </w:r>
            <w:r>
              <w:rPr>
                <w:rFonts w:hint="eastAsia"/>
                <w:b w:val="0"/>
                <w:bCs w:val="0"/>
                <w:sz w:val="24"/>
                <w:u w:val="none"/>
                <w:vertAlign w:val="superscript"/>
                <w:lang w:val="en-US" w:eastAsia="zh-CN"/>
              </w:rPr>
              <w:t>+</w:t>
            </w:r>
            <w:r>
              <w:rPr>
                <w:rFonts w:hint="eastAsia"/>
                <w:b w:val="0"/>
                <w:bCs w:val="0"/>
                <w:sz w:val="24"/>
                <w:u w:val="none"/>
                <w:lang w:val="en-US" w:eastAsia="zh-CN"/>
              </w:rPr>
              <w:t>级，根据建设项目涉及的物质和工艺系统的危险性及其所在地的环境敏感程度，结合事故情形下环境影响途径，对建设项目潜在环境危害程度进行概化分析，其划分标准见下表。</w:t>
            </w:r>
          </w:p>
          <w:p>
            <w:pPr>
              <w:tabs>
                <w:tab w:val="left" w:pos="1925"/>
              </w:tabs>
              <w:bidi w:val="0"/>
              <w:spacing w:line="360" w:lineRule="auto"/>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 xml:space="preserve">-3  </w:t>
            </w:r>
            <w:r>
              <w:rPr>
                <w:rFonts w:hint="default" w:ascii="Times New Roman" w:hAnsi="Times New Roman" w:cs="Times New Roman" w:eastAsiaTheme="minorEastAsia"/>
                <w:b/>
                <w:bCs/>
                <w:kern w:val="2"/>
                <w:sz w:val="21"/>
                <w:szCs w:val="21"/>
                <w:lang w:val="en-US" w:eastAsia="zh-CN" w:bidi="ar-SA"/>
              </w:rPr>
              <w:t>建设项目环境风险潜势划分标准</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85"/>
              <w:gridCol w:w="1648"/>
              <w:gridCol w:w="1560"/>
              <w:gridCol w:w="1550"/>
              <w:gridCol w:w="157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3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环境敏感程度（E）</w:t>
                  </w:r>
                </w:p>
              </w:tc>
              <w:tc>
                <w:tcPr>
                  <w:tcW w:w="6415"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危险物质及工艺系统危险性（P）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3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极高危害（P1）</w:t>
                  </w:r>
                </w:p>
              </w:tc>
              <w:tc>
                <w:tcPr>
                  <w:tcW w:w="158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高度危害（P2）</w:t>
                  </w:r>
                </w:p>
              </w:tc>
              <w:tc>
                <w:tcPr>
                  <w:tcW w:w="1570"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中度危害（P3）</w:t>
                  </w:r>
                </w:p>
              </w:tc>
              <w:tc>
                <w:tcPr>
                  <w:tcW w:w="1595"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轻度危害（P4）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316"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环境高度敏感区（E1）</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Ⅳ</w:t>
                  </w:r>
                  <w:r>
                    <w:rPr>
                      <w:rFonts w:hint="default" w:ascii="Times New Roman" w:hAnsi="Times New Roman" w:cs="Times New Roman"/>
                      <w:sz w:val="21"/>
                      <w:vertAlign w:val="superscript"/>
                      <w:lang w:val="en-US" w:eastAsia="zh-CN"/>
                    </w:rPr>
                    <w:t>+</w:t>
                  </w:r>
                </w:p>
              </w:tc>
              <w:tc>
                <w:tcPr>
                  <w:tcW w:w="158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Ⅳ</w:t>
                  </w:r>
                </w:p>
              </w:tc>
              <w:tc>
                <w:tcPr>
                  <w:tcW w:w="157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Ⅲ</w:t>
                  </w:r>
                </w:p>
              </w:tc>
              <w:tc>
                <w:tcPr>
                  <w:tcW w:w="1595"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316"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环境中度敏感区（E2）</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Ⅳ</w:t>
                  </w:r>
                </w:p>
              </w:tc>
              <w:tc>
                <w:tcPr>
                  <w:tcW w:w="158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Ⅲ</w:t>
                  </w:r>
                </w:p>
              </w:tc>
              <w:tc>
                <w:tcPr>
                  <w:tcW w:w="157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Ⅲ</w:t>
                  </w:r>
                </w:p>
              </w:tc>
              <w:tc>
                <w:tcPr>
                  <w:tcW w:w="1595"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316" w:type="dxa"/>
                  <w:tcBorders>
                    <w:tl2br w:val="nil"/>
                    <w:tr2bl w:val="nil"/>
                  </w:tcBorders>
                  <w:vAlign w:val="center"/>
                </w:tcPr>
                <w:p>
                  <w:pPr>
                    <w:spacing w:line="240" w:lineRule="auto"/>
                    <w:ind w:firstLine="0" w:firstLineChars="0"/>
                    <w:jc w:val="center"/>
                    <w:rPr>
                      <w:rFonts w:hint="default" w:ascii="Times New Roman" w:hAnsi="Times New Roman" w:cs="Times New Roman"/>
                      <w:b/>
                      <w:bCs/>
                      <w:sz w:val="21"/>
                      <w:lang w:val="en-US" w:eastAsia="zh-CN"/>
                    </w:rPr>
                  </w:pPr>
                  <w:r>
                    <w:rPr>
                      <w:rFonts w:hint="default" w:ascii="Times New Roman" w:hAnsi="Times New Roman" w:cs="Times New Roman"/>
                      <w:b/>
                      <w:bCs/>
                      <w:sz w:val="21"/>
                      <w:lang w:val="en-US" w:eastAsia="zh-CN"/>
                    </w:rPr>
                    <w:t>环境低度敏感区（E3）</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Ⅲ</w:t>
                  </w:r>
                </w:p>
              </w:tc>
              <w:tc>
                <w:tcPr>
                  <w:tcW w:w="158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Ⅲ</w:t>
                  </w:r>
                </w:p>
              </w:tc>
              <w:tc>
                <w:tcPr>
                  <w:tcW w:w="1570"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Ⅱ</w:t>
                  </w:r>
                </w:p>
              </w:tc>
              <w:tc>
                <w:tcPr>
                  <w:tcW w:w="1595" w:type="dxa"/>
                  <w:tcBorders>
                    <w:tl2br w:val="nil"/>
                    <w:tr2bl w:val="nil"/>
                  </w:tcBorders>
                  <w:vAlign w:val="center"/>
                </w:tcPr>
                <w:p>
                  <w:pPr>
                    <w:spacing w:line="240" w:lineRule="auto"/>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31" w:type="dxa"/>
                  <w:gridSpan w:val="5"/>
                  <w:tcBorders>
                    <w:tl2br w:val="nil"/>
                    <w:tr2bl w:val="nil"/>
                  </w:tcBorders>
                  <w:vAlign w:val="center"/>
                </w:tcPr>
                <w:p>
                  <w:pPr>
                    <w:spacing w:line="240" w:lineRule="auto"/>
                    <w:ind w:firstLine="0" w:firstLineChars="0"/>
                    <w:jc w:val="both"/>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注：Ⅳ</w:t>
                  </w:r>
                  <w:r>
                    <w:rPr>
                      <w:rFonts w:hint="default" w:ascii="Times New Roman" w:hAnsi="Times New Roman" w:cs="Times New Roman"/>
                      <w:sz w:val="21"/>
                      <w:vertAlign w:val="superscript"/>
                      <w:lang w:val="en-US" w:eastAsia="zh-CN"/>
                    </w:rPr>
                    <w:t>+</w:t>
                  </w:r>
                  <w:r>
                    <w:rPr>
                      <w:rFonts w:hint="default" w:ascii="Times New Roman" w:hAnsi="Times New Roman" w:cs="Times New Roman"/>
                      <w:sz w:val="21"/>
                      <w:lang w:val="en-US" w:eastAsia="zh-CN"/>
                    </w:rPr>
                    <w:t>为极高环境风险。</w:t>
                  </w:r>
                </w:p>
              </w:tc>
            </w:tr>
          </w:tbl>
          <w:p>
            <w:pPr>
              <w:spacing w:line="360" w:lineRule="auto"/>
              <w:ind w:firstLine="482"/>
              <w:contextualSpacing/>
              <w:rPr>
                <w:rFonts w:hint="eastAsia"/>
                <w:b w:val="0"/>
                <w:bCs w:val="0"/>
                <w:sz w:val="24"/>
                <w:u w:val="none"/>
                <w:lang w:val="en-US" w:eastAsia="zh-CN"/>
              </w:rPr>
            </w:pPr>
            <w:r>
              <w:rPr>
                <w:rFonts w:hint="eastAsia" w:cs="Times New Roman"/>
                <w:b w:val="0"/>
                <w:bCs w:val="0"/>
                <w:sz w:val="24"/>
                <w:szCs w:val="24"/>
                <w:lang w:val="en-US" w:eastAsia="zh-CN"/>
              </w:rPr>
              <w:t>1、</w:t>
            </w:r>
            <w:r>
              <w:rPr>
                <w:rFonts w:hint="eastAsia"/>
                <w:b w:val="0"/>
                <w:bCs w:val="0"/>
                <w:sz w:val="24"/>
                <w:u w:val="none"/>
                <w:lang w:val="en-US" w:eastAsia="zh-CN"/>
              </w:rPr>
              <w:t xml:space="preserve">危险物质及工艺系统危险性（P）的分级确定 </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根据《建设项目环境风险评价技术导则》（HJ169-2018）附录C中的要求，建设项目危险物质及工艺系统危险性等级（P）由环境风险评价根据危险物质数量与临界量比值（Q）和行业及生产工艺系数（M）确定，具体见下表。</w:t>
            </w:r>
          </w:p>
          <w:p>
            <w:pPr>
              <w:spacing w:line="360" w:lineRule="auto"/>
              <w:contextualSpacing/>
              <w:jc w:val="center"/>
              <w:rPr>
                <w:rFonts w:hint="eastAsia" w:ascii="Times New Roman" w:hAnsi="Times New Roman" w:cs="Times New Roman"/>
                <w:b/>
                <w:bCs/>
                <w:kern w:val="2"/>
                <w:sz w:val="21"/>
                <w:szCs w:val="21"/>
                <w:lang w:val="en-US" w:eastAsia="zh-CN" w:bidi="ar-SA"/>
              </w:rPr>
            </w:pPr>
            <w:r>
              <w:rPr>
                <w:rFonts w:hint="eastAsia" w:ascii="Times New Roman" w:hAnsi="Times New Roman" w:cs="Times New Roman"/>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-4  危险物质及工艺系数危险性等级判定（P）标准</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47"/>
              <w:gridCol w:w="1707"/>
              <w:gridCol w:w="1609"/>
              <w:gridCol w:w="1629"/>
              <w:gridCol w:w="15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76" w:type="dxa"/>
                  <w:vMerge w:val="restart"/>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危险物质数量与临界量比值（Q）</w:t>
                  </w:r>
                </w:p>
              </w:tc>
              <w:tc>
                <w:tcPr>
                  <w:tcW w:w="6555" w:type="dxa"/>
                  <w:gridSpan w:val="4"/>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行业及生产工艺（M）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76" w:type="dxa"/>
                  <w:vMerge w:val="continue"/>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p>
              </w:tc>
              <w:tc>
                <w:tcPr>
                  <w:tcW w:w="1730"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M1</w:t>
                  </w:r>
                </w:p>
              </w:tc>
              <w:tc>
                <w:tcPr>
                  <w:tcW w:w="1630"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M2</w:t>
                  </w:r>
                </w:p>
              </w:tc>
              <w:tc>
                <w:tcPr>
                  <w:tcW w:w="1650"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M3</w:t>
                  </w:r>
                </w:p>
              </w:tc>
              <w:tc>
                <w:tcPr>
                  <w:tcW w:w="1545"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M4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76"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Q≥100</w:t>
                  </w:r>
                </w:p>
              </w:tc>
              <w:tc>
                <w:tcPr>
                  <w:tcW w:w="173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P1</w:t>
                  </w:r>
                </w:p>
              </w:tc>
              <w:tc>
                <w:tcPr>
                  <w:tcW w:w="163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P1</w:t>
                  </w:r>
                </w:p>
              </w:tc>
              <w:tc>
                <w:tcPr>
                  <w:tcW w:w="165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P2</w:t>
                  </w:r>
                </w:p>
              </w:tc>
              <w:tc>
                <w:tcPr>
                  <w:tcW w:w="1545"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76"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10≥Q＜100</w:t>
                  </w:r>
                </w:p>
              </w:tc>
              <w:tc>
                <w:tcPr>
                  <w:tcW w:w="173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P1</w:t>
                  </w:r>
                </w:p>
              </w:tc>
              <w:tc>
                <w:tcPr>
                  <w:tcW w:w="163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P2</w:t>
                  </w:r>
                </w:p>
              </w:tc>
              <w:tc>
                <w:tcPr>
                  <w:tcW w:w="165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P3</w:t>
                  </w:r>
                </w:p>
              </w:tc>
              <w:tc>
                <w:tcPr>
                  <w:tcW w:w="1545"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76" w:type="dxa"/>
                  <w:tcBorders>
                    <w:tl2br w:val="nil"/>
                    <w:tr2bl w:val="nil"/>
                  </w:tcBorders>
                  <w:vAlign w:val="top"/>
                </w:tcPr>
                <w:p>
                  <w:pPr>
                    <w:spacing w:line="240" w:lineRule="auto"/>
                    <w:ind w:firstLine="0" w:firstLineChars="0"/>
                    <w:jc w:val="center"/>
                    <w:rPr>
                      <w:rFonts w:hint="eastAsia" w:ascii="Times New Roman" w:hAnsi="Times New Roman" w:cs="Times New Roman"/>
                      <w:b/>
                      <w:bCs/>
                      <w:sz w:val="21"/>
                      <w:lang w:val="en-US" w:eastAsia="zh-CN"/>
                    </w:rPr>
                  </w:pPr>
                  <w:r>
                    <w:rPr>
                      <w:rFonts w:hint="default" w:ascii="Times New Roman" w:hAnsi="Times New Roman" w:cs="Times New Roman"/>
                      <w:b/>
                      <w:bCs/>
                      <w:sz w:val="21"/>
                      <w:lang w:val="en-US" w:eastAsia="zh-CN"/>
                    </w:rPr>
                    <w:t>1≥Q＜10</w:t>
                  </w:r>
                </w:p>
              </w:tc>
              <w:tc>
                <w:tcPr>
                  <w:tcW w:w="173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P2</w:t>
                  </w:r>
                </w:p>
              </w:tc>
              <w:tc>
                <w:tcPr>
                  <w:tcW w:w="163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P3</w:t>
                  </w:r>
                </w:p>
              </w:tc>
              <w:tc>
                <w:tcPr>
                  <w:tcW w:w="1650"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P4</w:t>
                  </w:r>
                </w:p>
              </w:tc>
              <w:tc>
                <w:tcPr>
                  <w:tcW w:w="1545" w:type="dxa"/>
                  <w:tcBorders>
                    <w:tl2br w:val="nil"/>
                    <w:tr2bl w:val="nil"/>
                  </w:tcBorders>
                  <w:vAlign w:val="top"/>
                </w:tcPr>
                <w:p>
                  <w:pPr>
                    <w:spacing w:line="240" w:lineRule="auto"/>
                    <w:ind w:firstLine="0" w:firstLineChars="0"/>
                    <w:jc w:val="center"/>
                    <w:rPr>
                      <w:rFonts w:hint="eastAsia" w:ascii="Times New Roman" w:hAnsi="Times New Roman" w:cs="Times New Roman"/>
                      <w:sz w:val="21"/>
                      <w:lang w:val="en-US" w:eastAsia="zh-CN"/>
                    </w:rPr>
                  </w:pPr>
                  <w:r>
                    <w:rPr>
                      <w:rFonts w:hint="default" w:ascii="Times New Roman" w:hAnsi="Times New Roman" w:cs="Times New Roman"/>
                      <w:sz w:val="21"/>
                      <w:lang w:val="en-US" w:eastAsia="zh-CN"/>
                    </w:rPr>
                    <w:t>P4</w:t>
                  </w:r>
                </w:p>
              </w:tc>
            </w:tr>
          </w:tbl>
          <w:p>
            <w:pPr>
              <w:spacing w:line="360" w:lineRule="auto"/>
              <w:ind w:firstLine="480" w:firstLineChars="200"/>
              <w:rPr>
                <w:rFonts w:hint="eastAsia" w:ascii="Times New Roman" w:hAnsi="Times New Roman" w:cs="Times New Roman"/>
                <w:sz w:val="24"/>
                <w:szCs w:val="22"/>
                <w:lang w:val="en-US" w:eastAsia="zh-CN"/>
              </w:rPr>
            </w:pPr>
            <w:r>
              <w:rPr>
                <w:rFonts w:hint="eastAsia" w:cs="Times New Roman"/>
                <w:sz w:val="24"/>
                <w:szCs w:val="22"/>
                <w:lang w:val="en-US" w:eastAsia="zh-CN"/>
              </w:rPr>
              <w:t>（1）</w:t>
            </w:r>
            <w:r>
              <w:rPr>
                <w:rFonts w:hint="eastAsia" w:ascii="Times New Roman" w:hAnsi="Times New Roman" w:cs="Times New Roman"/>
                <w:sz w:val="24"/>
                <w:szCs w:val="22"/>
                <w:lang w:val="en-US" w:eastAsia="zh-CN"/>
              </w:rPr>
              <w:t>项目</w:t>
            </w:r>
            <w:r>
              <w:rPr>
                <w:rFonts w:hint="default" w:ascii="Times New Roman" w:hAnsi="Times New Roman" w:cs="Times New Roman"/>
                <w:sz w:val="24"/>
                <w:szCs w:val="22"/>
                <w:lang w:val="en-US" w:eastAsia="zh-CN"/>
              </w:rPr>
              <w:t>Q</w:t>
            </w:r>
            <w:r>
              <w:rPr>
                <w:rFonts w:hint="eastAsia" w:ascii="Times New Roman" w:hAnsi="Times New Roman" w:cs="Times New Roman"/>
                <w:sz w:val="24"/>
                <w:szCs w:val="22"/>
                <w:lang w:val="en-US" w:eastAsia="zh-CN"/>
              </w:rPr>
              <w:t>值</w:t>
            </w:r>
          </w:p>
          <w:p>
            <w:pPr>
              <w:spacing w:line="360" w:lineRule="auto"/>
              <w:ind w:firstLine="480" w:firstLineChars="200"/>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计算所涉及的每种危险物质在厂界内的最大存在总量与其在《建设项目环境风险评价技术导则》（</w:t>
            </w:r>
            <w:r>
              <w:rPr>
                <w:rFonts w:hint="default" w:ascii="Times New Roman" w:hAnsi="Times New Roman" w:cs="Times New Roman"/>
                <w:sz w:val="24"/>
                <w:szCs w:val="22"/>
                <w:lang w:val="en-US" w:eastAsia="zh-CN"/>
              </w:rPr>
              <w:t>HJ169-2018</w:t>
            </w:r>
            <w:r>
              <w:rPr>
                <w:rFonts w:hint="eastAsia" w:ascii="Times New Roman" w:hAnsi="Times New Roman" w:cs="Times New Roman"/>
                <w:sz w:val="24"/>
                <w:szCs w:val="22"/>
                <w:lang w:val="en-US" w:eastAsia="zh-CN"/>
              </w:rPr>
              <w:t>）附录</w:t>
            </w:r>
            <w:r>
              <w:rPr>
                <w:rFonts w:hint="default" w:ascii="Times New Roman" w:hAnsi="Times New Roman" w:cs="Times New Roman"/>
                <w:sz w:val="24"/>
                <w:szCs w:val="22"/>
                <w:lang w:val="en-US" w:eastAsia="zh-CN"/>
              </w:rPr>
              <w:t>B</w:t>
            </w:r>
            <w:r>
              <w:rPr>
                <w:rFonts w:hint="eastAsia" w:ascii="Times New Roman" w:hAnsi="Times New Roman" w:cs="Times New Roman"/>
                <w:sz w:val="24"/>
                <w:szCs w:val="22"/>
                <w:lang w:val="en-US" w:eastAsia="zh-CN"/>
              </w:rPr>
              <w:t>中对应临界量的比值</w:t>
            </w:r>
            <w:r>
              <w:rPr>
                <w:rFonts w:hint="default" w:ascii="Times New Roman" w:hAnsi="Times New Roman" w:cs="Times New Roman"/>
                <w:sz w:val="24"/>
                <w:szCs w:val="22"/>
                <w:lang w:val="en-US" w:eastAsia="zh-CN"/>
              </w:rPr>
              <w:t>Q</w:t>
            </w:r>
            <w:r>
              <w:rPr>
                <w:rFonts w:hint="eastAsia" w:ascii="Times New Roman" w:hAnsi="Times New Roman" w:cs="Times New Roman"/>
                <w:sz w:val="24"/>
                <w:szCs w:val="22"/>
                <w:lang w:val="en-US" w:eastAsia="zh-CN"/>
              </w:rPr>
              <w:t>。当只涉及一种危险物质时，计算该物质的总量与其临界量的比值，即为</w:t>
            </w:r>
            <w:r>
              <w:rPr>
                <w:rFonts w:hint="default" w:ascii="Times New Roman" w:hAnsi="Times New Roman" w:cs="Times New Roman"/>
                <w:sz w:val="24"/>
                <w:szCs w:val="22"/>
                <w:lang w:val="en-US" w:eastAsia="zh-CN"/>
              </w:rPr>
              <w:t>Q</w:t>
            </w:r>
            <w:r>
              <w:rPr>
                <w:rFonts w:hint="eastAsia" w:ascii="Times New Roman" w:hAnsi="Times New Roman" w:cs="Times New Roman"/>
                <w:sz w:val="24"/>
                <w:szCs w:val="22"/>
                <w:lang w:val="en-US" w:eastAsia="zh-CN"/>
              </w:rPr>
              <w:t>；当存在多重危险物质时，则按下式计算物质总量与其临界量比值</w:t>
            </w:r>
            <w:r>
              <w:rPr>
                <w:rFonts w:hint="default" w:ascii="Times New Roman" w:hAnsi="Times New Roman" w:cs="Times New Roman"/>
                <w:sz w:val="24"/>
                <w:szCs w:val="22"/>
                <w:lang w:val="en-US" w:eastAsia="zh-CN"/>
              </w:rPr>
              <w:t>Q</w:t>
            </w:r>
            <w:r>
              <w:rPr>
                <w:rFonts w:hint="eastAsia" w:ascii="Times New Roman" w:hAnsi="Times New Roman" w:cs="Times New Roman"/>
                <w:sz w:val="24"/>
                <w:szCs w:val="22"/>
                <w:lang w:val="en-US" w:eastAsia="zh-CN"/>
              </w:rPr>
              <w:t>：</w:t>
            </w:r>
          </w:p>
          <w:p>
            <w:pPr>
              <w:spacing w:line="360" w:lineRule="auto"/>
              <w:ind w:firstLine="480" w:firstLineChars="200"/>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Q=q</w:t>
            </w:r>
            <w:r>
              <w:rPr>
                <w:rFonts w:hint="default" w:ascii="Times New Roman" w:hAnsi="Times New Roman" w:cs="Times New Roman"/>
                <w:sz w:val="24"/>
                <w:szCs w:val="22"/>
                <w:vertAlign w:val="subscript"/>
                <w:lang w:val="en-US" w:eastAsia="zh-CN"/>
              </w:rPr>
              <w:t>1</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1</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2</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2</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n</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n</w:t>
            </w:r>
          </w:p>
          <w:p>
            <w:pPr>
              <w:spacing w:line="360" w:lineRule="auto"/>
              <w:ind w:firstLine="480" w:firstLineChars="200"/>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式中：</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1</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2</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n</w:t>
            </w:r>
            <w:r>
              <w:rPr>
                <w:rFonts w:hint="default" w:ascii="Times New Roman" w:hAnsi="Times New Roman" w:cs="Times New Roman"/>
                <w:sz w:val="24"/>
                <w:szCs w:val="22"/>
                <w:lang w:val="en-US" w:eastAsia="zh-CN"/>
              </w:rPr>
              <w:t>-------</w:t>
            </w:r>
            <w:r>
              <w:rPr>
                <w:rFonts w:hint="eastAsia" w:ascii="Times New Roman" w:hAnsi="Times New Roman" w:cs="Times New Roman"/>
                <w:sz w:val="24"/>
                <w:szCs w:val="22"/>
                <w:lang w:val="en-US" w:eastAsia="zh-CN"/>
              </w:rPr>
              <w:t>每种危险物质的最大存在总量，</w:t>
            </w:r>
            <w:r>
              <w:rPr>
                <w:rFonts w:hint="default" w:ascii="Times New Roman" w:hAnsi="Times New Roman" w:cs="Times New Roman"/>
                <w:sz w:val="24"/>
                <w:szCs w:val="22"/>
                <w:lang w:val="en-US" w:eastAsia="zh-CN"/>
              </w:rPr>
              <w:t>t</w:t>
            </w:r>
            <w:r>
              <w:rPr>
                <w:rFonts w:hint="eastAsia" w:ascii="Times New Roman" w:hAnsi="Times New Roman" w:cs="Times New Roman"/>
                <w:sz w:val="24"/>
                <w:szCs w:val="22"/>
                <w:lang w:val="en-US" w:eastAsia="zh-CN"/>
              </w:rPr>
              <w:t>；</w:t>
            </w:r>
          </w:p>
          <w:p>
            <w:pPr>
              <w:spacing w:line="360" w:lineRule="auto"/>
              <w:ind w:firstLine="1200" w:firstLineChars="500"/>
              <w:rPr>
                <w:rFonts w:hint="eastAsia" w:ascii="Times New Roman" w:hAnsi="Times New Roman" w:cs="Times New Roman"/>
                <w:sz w:val="24"/>
                <w:szCs w:val="22"/>
                <w:lang w:val="en-US" w:eastAsia="zh-CN"/>
              </w:rPr>
            </w:pP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1</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2</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Q</w:t>
            </w:r>
            <w:r>
              <w:rPr>
                <w:rFonts w:hint="default" w:ascii="Times New Roman" w:hAnsi="Times New Roman" w:cs="Times New Roman"/>
                <w:sz w:val="24"/>
                <w:szCs w:val="22"/>
                <w:vertAlign w:val="subscript"/>
                <w:lang w:val="en-US" w:eastAsia="zh-CN"/>
              </w:rPr>
              <w:t>n</w:t>
            </w:r>
            <w:r>
              <w:rPr>
                <w:rFonts w:hint="default" w:ascii="Times New Roman" w:hAnsi="Times New Roman" w:cs="Times New Roman"/>
                <w:sz w:val="24"/>
                <w:szCs w:val="22"/>
                <w:lang w:val="en-US" w:eastAsia="zh-CN"/>
              </w:rPr>
              <w:t>-------</w:t>
            </w:r>
            <w:r>
              <w:rPr>
                <w:rFonts w:hint="eastAsia" w:ascii="Times New Roman" w:hAnsi="Times New Roman" w:cs="Times New Roman"/>
                <w:sz w:val="24"/>
                <w:szCs w:val="22"/>
                <w:lang w:val="en-US" w:eastAsia="zh-CN"/>
              </w:rPr>
              <w:t>每种危险物质的临界量，</w:t>
            </w:r>
            <w:r>
              <w:rPr>
                <w:rFonts w:hint="default" w:ascii="Times New Roman" w:hAnsi="Times New Roman" w:cs="Times New Roman"/>
                <w:sz w:val="24"/>
                <w:szCs w:val="22"/>
                <w:lang w:val="en-US" w:eastAsia="zh-CN"/>
              </w:rPr>
              <w:t>t</w:t>
            </w:r>
            <w:r>
              <w:rPr>
                <w:rFonts w:hint="eastAsia" w:ascii="Times New Roman" w:hAnsi="Times New Roman" w:cs="Times New Roman"/>
                <w:sz w:val="24"/>
                <w:szCs w:val="22"/>
                <w:lang w:val="en-US" w:eastAsia="zh-CN"/>
              </w:rPr>
              <w:t>。</w:t>
            </w:r>
          </w:p>
          <w:p>
            <w:pPr>
              <w:spacing w:line="360" w:lineRule="auto"/>
              <w:ind w:firstLine="480" w:firstLineChars="200"/>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当</w:t>
            </w:r>
            <w:r>
              <w:rPr>
                <w:rFonts w:hint="default" w:ascii="Times New Roman" w:hAnsi="Times New Roman" w:cs="Times New Roman"/>
                <w:sz w:val="24"/>
                <w:szCs w:val="22"/>
                <w:lang w:val="en-US" w:eastAsia="zh-CN"/>
              </w:rPr>
              <w:t>Q</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 xml:space="preserve">1 </w:t>
            </w:r>
            <w:r>
              <w:rPr>
                <w:rFonts w:hint="eastAsia" w:ascii="Times New Roman" w:hAnsi="Times New Roman" w:cs="Times New Roman"/>
                <w:sz w:val="24"/>
                <w:szCs w:val="22"/>
                <w:lang w:val="en-US" w:eastAsia="zh-CN"/>
              </w:rPr>
              <w:t>时，该项目环境风险潜势为</w:t>
            </w:r>
            <w:r>
              <w:rPr>
                <w:rFonts w:hint="default" w:ascii="Times New Roman" w:hAnsi="Times New Roman" w:cs="Times New Roman"/>
                <w:sz w:val="24"/>
                <w:szCs w:val="22"/>
                <w:lang w:val="en-US" w:eastAsia="zh-CN"/>
              </w:rPr>
              <w:t>Ⅰ</w:t>
            </w:r>
            <w:r>
              <w:rPr>
                <w:rFonts w:hint="eastAsia" w:ascii="Times New Roman" w:hAnsi="Times New Roman" w:cs="Times New Roman"/>
                <w:sz w:val="24"/>
                <w:szCs w:val="22"/>
                <w:lang w:val="en-US" w:eastAsia="zh-CN"/>
              </w:rPr>
              <w:t>。</w:t>
            </w:r>
          </w:p>
          <w:p>
            <w:pPr>
              <w:spacing w:line="360" w:lineRule="auto"/>
              <w:ind w:firstLine="480" w:firstLineChars="200"/>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当</w:t>
            </w:r>
            <w:r>
              <w:rPr>
                <w:rFonts w:hint="default" w:ascii="Times New Roman" w:hAnsi="Times New Roman" w:cs="Times New Roman"/>
                <w:sz w:val="24"/>
                <w:szCs w:val="22"/>
                <w:lang w:val="en-US" w:eastAsia="zh-CN"/>
              </w:rPr>
              <w:t xml:space="preserve">Q≥1 </w:t>
            </w:r>
            <w:r>
              <w:rPr>
                <w:rFonts w:hint="eastAsia" w:ascii="Times New Roman" w:hAnsi="Times New Roman" w:cs="Times New Roman"/>
                <w:sz w:val="24"/>
                <w:szCs w:val="22"/>
                <w:lang w:val="en-US" w:eastAsia="zh-CN"/>
              </w:rPr>
              <w:t>时，将</w:t>
            </w:r>
            <w:r>
              <w:rPr>
                <w:rFonts w:hint="default" w:ascii="Times New Roman" w:hAnsi="Times New Roman" w:cs="Times New Roman"/>
                <w:sz w:val="24"/>
                <w:szCs w:val="22"/>
                <w:lang w:val="en-US" w:eastAsia="zh-CN"/>
              </w:rPr>
              <w:t>Q</w:t>
            </w:r>
            <w:r>
              <w:rPr>
                <w:rFonts w:hint="eastAsia" w:ascii="Times New Roman" w:hAnsi="Times New Roman" w:cs="Times New Roman"/>
                <w:sz w:val="24"/>
                <w:szCs w:val="22"/>
                <w:lang w:val="en-US" w:eastAsia="zh-CN"/>
              </w:rPr>
              <w:t>值划分为：</w:t>
            </w:r>
            <w:r>
              <w:rPr>
                <w:rFonts w:hint="default" w:ascii="Times New Roman" w:hAnsi="Times New Roman" w:cs="Times New Roman"/>
                <w:sz w:val="24"/>
                <w:szCs w:val="22"/>
                <w:lang w:val="en-US" w:eastAsia="zh-CN"/>
              </w:rPr>
              <w:t>(1)1≤Q</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10</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(2)10≤Q</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100</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(3)Q≥100</w:t>
            </w:r>
            <w:r>
              <w:rPr>
                <w:rFonts w:hint="eastAsia" w:ascii="Times New Roman" w:hAnsi="Times New Roman" w:cs="Times New Roman"/>
                <w:sz w:val="24"/>
                <w:szCs w:val="22"/>
                <w:lang w:val="en-US" w:eastAsia="zh-CN"/>
              </w:rPr>
              <w:t>。根据调查，本项目危险物质在厂界内的存贮情况见下表：</w:t>
            </w:r>
          </w:p>
          <w:p>
            <w:pPr>
              <w:tabs>
                <w:tab w:val="left" w:pos="1925"/>
              </w:tabs>
              <w:bidi w:val="0"/>
              <w:spacing w:line="360" w:lineRule="auto"/>
              <w:jc w:val="center"/>
              <w:rPr>
                <w:rFonts w:hint="eastAsia" w:ascii="Times New Roman" w:hAnsi="Times New Roman" w:cs="Times New Roman"/>
                <w:b/>
                <w:bCs/>
                <w:kern w:val="2"/>
                <w:sz w:val="21"/>
                <w:szCs w:val="21"/>
                <w:lang w:val="en-US" w:eastAsia="zh-CN" w:bidi="ar-SA"/>
              </w:rPr>
            </w:pPr>
            <w:r>
              <w:rPr>
                <w:rFonts w:hint="eastAsia" w:ascii="Times New Roman" w:hAnsi="Times New Roman" w:cs="Times New Roman"/>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-5  本项目危险物质存贮及临界量一览表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0"/>
              <w:gridCol w:w="1747"/>
              <w:gridCol w:w="1704"/>
              <w:gridCol w:w="2602"/>
              <w:gridCol w:w="17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0"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序号</w:t>
                  </w:r>
                </w:p>
              </w:tc>
              <w:tc>
                <w:tcPr>
                  <w:tcW w:w="1747"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物料名称</w:t>
                  </w:r>
                </w:p>
              </w:tc>
              <w:tc>
                <w:tcPr>
                  <w:tcW w:w="1704"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临界量Q</w:t>
                  </w:r>
                </w:p>
              </w:tc>
              <w:tc>
                <w:tcPr>
                  <w:tcW w:w="2602"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实际存放量q</w:t>
                  </w:r>
                </w:p>
              </w:tc>
              <w:tc>
                <w:tcPr>
                  <w:tcW w:w="1724" w:type="dxa"/>
                  <w:tcBorders>
                    <w:tl2br w:val="nil"/>
                    <w:tr2bl w:val="nil"/>
                  </w:tcBorders>
                  <w:vAlign w:val="center"/>
                </w:tcPr>
                <w:p>
                  <w:pPr>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q</w:t>
                  </w:r>
                  <w:r>
                    <w:rPr>
                      <w:rFonts w:hint="default" w:ascii="Times New Roman" w:hAnsi="Times New Roman" w:cs="Times New Roman"/>
                      <w:b/>
                      <w:bCs/>
                      <w:kern w:val="0"/>
                      <w:szCs w:val="21"/>
                      <w:vertAlign w:val="subscript"/>
                    </w:rPr>
                    <w:t>n</w:t>
                  </w:r>
                  <w:r>
                    <w:rPr>
                      <w:rFonts w:hint="default" w:ascii="Times New Roman" w:hAnsi="Times New Roman" w:cs="Times New Roman"/>
                      <w:b/>
                      <w:bCs/>
                      <w:kern w:val="0"/>
                      <w:szCs w:val="21"/>
                    </w:rPr>
                    <w:t>/Q</w:t>
                  </w:r>
                  <w:r>
                    <w:rPr>
                      <w:rFonts w:hint="default" w:ascii="Times New Roman" w:hAnsi="Times New Roman" w:cs="Times New Roman"/>
                      <w:b/>
                      <w:bCs/>
                      <w:kern w:val="0"/>
                      <w:szCs w:val="21"/>
                      <w:vertAlign w:val="subscript"/>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0"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1</w:t>
                  </w:r>
                </w:p>
              </w:tc>
              <w:tc>
                <w:tcPr>
                  <w:tcW w:w="1747"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废机油</w:t>
                  </w:r>
                </w:p>
              </w:tc>
              <w:tc>
                <w:tcPr>
                  <w:tcW w:w="170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2500</w:t>
                  </w:r>
                </w:p>
              </w:tc>
              <w:tc>
                <w:tcPr>
                  <w:tcW w:w="2602"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0.5</w:t>
                  </w:r>
                </w:p>
              </w:tc>
              <w:tc>
                <w:tcPr>
                  <w:tcW w:w="172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5" w:hRule="atLeast"/>
                <w:jc w:val="center"/>
              </w:trPr>
              <w:tc>
                <w:tcPr>
                  <w:tcW w:w="840"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2</w:t>
                  </w:r>
                </w:p>
              </w:tc>
              <w:tc>
                <w:tcPr>
                  <w:tcW w:w="174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NH</w:t>
                  </w:r>
                  <w:r>
                    <w:rPr>
                      <w:rFonts w:hint="eastAsia" w:ascii="Times New Roman" w:hAnsi="Times New Roman" w:cs="Times New Roman"/>
                      <w:kern w:val="0"/>
                      <w:szCs w:val="21"/>
                      <w:vertAlign w:val="subscript"/>
                      <w:lang w:val="en-US" w:eastAsia="zh-CN"/>
                    </w:rPr>
                    <w:t>3</w:t>
                  </w:r>
                </w:p>
              </w:tc>
              <w:tc>
                <w:tcPr>
                  <w:tcW w:w="170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w:t>
                  </w:r>
                </w:p>
              </w:tc>
              <w:tc>
                <w:tcPr>
                  <w:tcW w:w="2602"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0.002（每天产生量）</w:t>
                  </w:r>
                </w:p>
              </w:tc>
              <w:tc>
                <w:tcPr>
                  <w:tcW w:w="172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0"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3</w:t>
                  </w:r>
                </w:p>
              </w:tc>
              <w:tc>
                <w:tcPr>
                  <w:tcW w:w="1747"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H</w:t>
                  </w:r>
                  <w:r>
                    <w:rPr>
                      <w:rFonts w:hint="eastAsia" w:ascii="Times New Roman" w:hAnsi="Times New Roman" w:cs="Times New Roman"/>
                      <w:kern w:val="0"/>
                      <w:szCs w:val="21"/>
                      <w:vertAlign w:val="subscript"/>
                      <w:lang w:val="en-US" w:eastAsia="zh-CN"/>
                    </w:rPr>
                    <w:t>2</w:t>
                  </w:r>
                  <w:r>
                    <w:rPr>
                      <w:rFonts w:hint="eastAsia" w:ascii="Times New Roman" w:hAnsi="Times New Roman" w:cs="Times New Roman"/>
                      <w:kern w:val="0"/>
                      <w:szCs w:val="21"/>
                      <w:lang w:val="en-US" w:eastAsia="zh-CN"/>
                    </w:rPr>
                    <w:t>S</w:t>
                  </w:r>
                </w:p>
              </w:tc>
              <w:tc>
                <w:tcPr>
                  <w:tcW w:w="170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2.5</w:t>
                  </w:r>
                </w:p>
              </w:tc>
              <w:tc>
                <w:tcPr>
                  <w:tcW w:w="2602"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0.000064（每天产生量）</w:t>
                  </w:r>
                </w:p>
              </w:tc>
              <w:tc>
                <w:tcPr>
                  <w:tcW w:w="172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40"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cs="Times New Roman"/>
                      <w:kern w:val="0"/>
                      <w:szCs w:val="21"/>
                      <w:lang w:val="en-US" w:eastAsia="zh-CN"/>
                    </w:rPr>
                    <w:t>4</w:t>
                  </w:r>
                </w:p>
              </w:tc>
              <w:tc>
                <w:tcPr>
                  <w:tcW w:w="1747" w:type="dxa"/>
                  <w:tcBorders>
                    <w:tl2br w:val="nil"/>
                    <w:tr2bl w:val="nil"/>
                  </w:tcBorders>
                  <w:vAlign w:val="center"/>
                </w:tcPr>
                <w:p>
                  <w:pPr>
                    <w:adjustRightInd w:val="0"/>
                    <w:snapToGrid w:val="0"/>
                    <w:jc w:val="center"/>
                    <w:rPr>
                      <w:rFonts w:hint="eastAsia" w:ascii="Times New Roman" w:hAnsi="Times New Roman" w:cs="Times New Roman"/>
                      <w:kern w:val="0"/>
                      <w:szCs w:val="21"/>
                    </w:rPr>
                  </w:pPr>
                  <w:r>
                    <w:rPr>
                      <w:rFonts w:hint="eastAsia" w:ascii="Times New Roman" w:hAnsi="Times New Roman" w:cs="Times New Roman"/>
                      <w:kern w:val="0"/>
                      <w:szCs w:val="21"/>
                    </w:rPr>
                    <w:t>合计</w:t>
                  </w:r>
                  <w:r>
                    <w:rPr>
                      <w:rFonts w:hint="default" w:ascii="Times New Roman" w:hAnsi="Times New Roman" w:cs="Times New Roman"/>
                      <w:kern w:val="0"/>
                      <w:szCs w:val="21"/>
                    </w:rPr>
                    <w:t>ΣQ</w:t>
                  </w:r>
                </w:p>
              </w:tc>
              <w:tc>
                <w:tcPr>
                  <w:tcW w:w="1704"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2602" w:type="dxa"/>
                  <w:tcBorders>
                    <w:tl2br w:val="nil"/>
                    <w:tr2bl w:val="nil"/>
                  </w:tcBorders>
                  <w:vAlign w:val="center"/>
                </w:tcPr>
                <w:p>
                  <w:pPr>
                    <w:adjustRightInd w:val="0"/>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c>
                <w:tcPr>
                  <w:tcW w:w="1724" w:type="dxa"/>
                  <w:tcBorders>
                    <w:tl2br w:val="nil"/>
                    <w:tr2bl w:val="nil"/>
                  </w:tcBorders>
                  <w:vAlign w:val="center"/>
                </w:tcPr>
                <w:p>
                  <w:pPr>
                    <w:adjustRightInd w:val="0"/>
                    <w:snapToGrid w:val="0"/>
                    <w:jc w:val="center"/>
                    <w:rPr>
                      <w:rFonts w:hint="default" w:ascii="Times New Roman" w:hAnsi="Times New Roman" w:cs="Times New Roman"/>
                      <w:kern w:val="0"/>
                      <w:szCs w:val="21"/>
                      <w:lang w:val="en-US" w:eastAsia="zh-CN"/>
                    </w:rPr>
                  </w:pPr>
                  <w:r>
                    <w:rPr>
                      <w:rFonts w:hint="eastAsia" w:cs="Times New Roman"/>
                      <w:kern w:val="0"/>
                      <w:szCs w:val="21"/>
                      <w:lang w:val="en-US" w:eastAsia="zh-CN"/>
                    </w:rPr>
                    <w:t>0.00063</w:t>
                  </w:r>
                </w:p>
              </w:tc>
            </w:tr>
          </w:tbl>
          <w:p>
            <w:pPr>
              <w:spacing w:line="360" w:lineRule="auto"/>
              <w:ind w:firstLine="480" w:firstLineChars="200"/>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由上表可知，本项目Q值为</w:t>
            </w:r>
            <w:r>
              <w:rPr>
                <w:rFonts w:hint="eastAsia" w:ascii="Times New Roman" w:hAnsi="Times New Roman" w:cs="Times New Roman"/>
                <w:sz w:val="24"/>
                <w:szCs w:val="22"/>
                <w:lang w:val="en-US" w:eastAsia="zh-CN"/>
              </w:rPr>
              <w:t>0.00063</w:t>
            </w:r>
            <w:r>
              <w:rPr>
                <w:rFonts w:hint="default" w:ascii="Times New Roman" w:hAnsi="Times New Roman" w:cs="Times New Roman"/>
                <w:sz w:val="24"/>
                <w:szCs w:val="22"/>
                <w:lang w:val="en-US" w:eastAsia="zh-CN"/>
              </w:rPr>
              <w:t>，小于1，故环境风险潜势为Ⅰ。</w:t>
            </w:r>
          </w:p>
          <w:p>
            <w:pPr>
              <w:spacing w:line="360" w:lineRule="auto"/>
              <w:ind w:firstLine="480" w:firstLineChars="200"/>
              <w:rPr>
                <w:rFonts w:hint="default" w:ascii="Times New Roman" w:hAnsi="Times New Roman" w:cs="Times New Roman"/>
                <w:sz w:val="24"/>
                <w:szCs w:val="22"/>
                <w:lang w:val="en-US" w:eastAsia="zh-CN"/>
              </w:rPr>
            </w:pPr>
            <w:r>
              <w:rPr>
                <w:rFonts w:hint="eastAsia" w:cs="Times New Roman"/>
                <w:sz w:val="24"/>
                <w:szCs w:val="22"/>
                <w:lang w:val="en-US" w:eastAsia="zh-CN"/>
              </w:rPr>
              <w:t>2、</w:t>
            </w:r>
            <w:r>
              <w:rPr>
                <w:rFonts w:hint="eastAsia" w:ascii="Times New Roman" w:hAnsi="Times New Roman" w:cs="Times New Roman"/>
                <w:sz w:val="24"/>
                <w:szCs w:val="22"/>
                <w:lang w:val="en-US" w:eastAsia="zh-CN"/>
              </w:rPr>
              <w:t>评价等级</w:t>
            </w:r>
          </w:p>
          <w:p>
            <w:pPr>
              <w:spacing w:line="360" w:lineRule="auto"/>
              <w:ind w:firstLine="480" w:firstLineChars="200"/>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根据《建设项目环境风险评价技术导则》（HJ169-2018）内容，环境风险评价工作等级划分为一级、二级、三级。根据建设项目环境风险潜势，确定其评价等级，具体见下表。</w:t>
            </w:r>
          </w:p>
          <w:p>
            <w:pPr>
              <w:tabs>
                <w:tab w:val="left" w:pos="1925"/>
              </w:tabs>
              <w:bidi w:val="0"/>
              <w:spacing w:line="360" w:lineRule="auto"/>
              <w:jc w:val="center"/>
              <w:rPr>
                <w:rFonts w:hint="default" w:ascii="Times New Roman" w:hAnsi="Times New Roman" w:cs="Times New Roman"/>
                <w:b/>
                <w:bCs/>
                <w:kern w:val="2"/>
                <w:sz w:val="21"/>
                <w:szCs w:val="21"/>
                <w:lang w:val="en-US" w:eastAsia="zh-CN" w:bidi="ar-SA"/>
              </w:rPr>
            </w:pPr>
            <w:r>
              <w:rPr>
                <w:rFonts w:hint="default" w:ascii="Times New Roman" w:hAnsi="Times New Roman" w:cs="Times New Roman"/>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 xml:space="preserve">-6  </w:t>
            </w:r>
            <w:r>
              <w:rPr>
                <w:rFonts w:hint="default" w:ascii="Times New Roman" w:hAnsi="Times New Roman" w:cs="Times New Roman"/>
                <w:b/>
                <w:bCs/>
                <w:kern w:val="2"/>
                <w:sz w:val="21"/>
                <w:szCs w:val="21"/>
                <w:lang w:val="en-US" w:eastAsia="zh-CN" w:bidi="ar-SA"/>
              </w:rPr>
              <w:t>评价工作等级划分</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23"/>
              <w:gridCol w:w="1723"/>
              <w:gridCol w:w="1723"/>
              <w:gridCol w:w="1723"/>
              <w:gridCol w:w="17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46" w:type="dxa"/>
                  <w:tcBorders>
                    <w:tl2br w:val="nil"/>
                    <w:tr2bl w:val="nil"/>
                  </w:tcBorders>
                  <w:vAlign w:val="top"/>
                </w:tcPr>
                <w:p>
                  <w:pPr>
                    <w:pStyle w:val="65"/>
                    <w:spacing w:line="265" w:lineRule="exact"/>
                    <w:ind w:right="5" w:rightChars="0"/>
                    <w:jc w:val="center"/>
                    <w:rPr>
                      <w:rFonts w:hint="default" w:ascii="Times New Roman" w:hAnsi="Times New Roman" w:cs="Times New Roman"/>
                      <w:vertAlign w:val="baseline"/>
                      <w:lang w:val="en-US" w:eastAsia="zh-CN"/>
                    </w:rPr>
                  </w:pPr>
                  <w:r>
                    <w:rPr>
                      <w:rFonts w:hint="default" w:ascii="Times New Roman" w:hAnsi="Times New Roman" w:eastAsia="宋体" w:cs="Times New Roman"/>
                      <w:b/>
                      <w:bCs/>
                      <w:sz w:val="21"/>
                      <w:szCs w:val="21"/>
                    </w:rPr>
                    <w:t>环境风险潜势</w:t>
                  </w:r>
                </w:p>
              </w:tc>
              <w:tc>
                <w:tcPr>
                  <w:tcW w:w="1746" w:type="dxa"/>
                  <w:tcBorders>
                    <w:tl2br w:val="nil"/>
                    <w:tr2bl w:val="nil"/>
                  </w:tcBorders>
                  <w:vAlign w:val="top"/>
                </w:tcPr>
                <w:p>
                  <w:pPr>
                    <w:pStyle w:val="65"/>
                    <w:spacing w:line="281"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eastAsia="Times New Roman" w:cs="Times New Roman"/>
                      <w:b/>
                      <w:bCs/>
                      <w:w w:val="105"/>
                      <w:sz w:val="21"/>
                      <w:szCs w:val="21"/>
                    </w:rPr>
                    <w:t>Ⅳ</w:t>
                  </w:r>
                  <w:r>
                    <w:rPr>
                      <w:rFonts w:hint="default" w:ascii="Times New Roman" w:hAnsi="Times New Roman" w:eastAsia="宋体" w:cs="Times New Roman"/>
                      <w:b/>
                      <w:bCs/>
                      <w:w w:val="105"/>
                      <w:sz w:val="21"/>
                      <w:szCs w:val="21"/>
                    </w:rPr>
                    <w:t>、</w:t>
                  </w:r>
                  <w:r>
                    <w:rPr>
                      <w:rFonts w:hint="default" w:ascii="Times New Roman" w:hAnsi="Times New Roman" w:eastAsia="Times New Roman" w:cs="Times New Roman"/>
                      <w:b/>
                      <w:bCs/>
                      <w:w w:val="105"/>
                      <w:sz w:val="21"/>
                      <w:szCs w:val="21"/>
                    </w:rPr>
                    <w:t>Ⅳ</w:t>
                  </w:r>
                  <w:r>
                    <w:rPr>
                      <w:rFonts w:hint="default" w:ascii="Times New Roman" w:hAnsi="Times New Roman" w:eastAsia="Times New Roman" w:cs="Times New Roman"/>
                      <w:b/>
                      <w:bCs/>
                      <w:w w:val="105"/>
                      <w:position w:val="10"/>
                      <w:sz w:val="14"/>
                      <w:szCs w:val="14"/>
                    </w:rPr>
                    <w:t>+</w:t>
                  </w:r>
                </w:p>
              </w:tc>
              <w:tc>
                <w:tcPr>
                  <w:tcW w:w="1746" w:type="dxa"/>
                  <w:tcBorders>
                    <w:tl2br w:val="nil"/>
                    <w:tr2bl w:val="nil"/>
                  </w:tcBorders>
                  <w:vAlign w:val="top"/>
                </w:tcPr>
                <w:p>
                  <w:pPr>
                    <w:pStyle w:val="65"/>
                    <w:spacing w:before="39" w:line="240" w:lineRule="auto"/>
                    <w:ind w:right="340" w:rightChars="0"/>
                    <w:jc w:val="right"/>
                    <w:rPr>
                      <w:rFonts w:hint="default" w:ascii="Times New Roman" w:hAnsi="Times New Roman" w:cs="Times New Roman"/>
                      <w:vertAlign w:val="baseline"/>
                      <w:lang w:val="en-US" w:eastAsia="zh-CN"/>
                    </w:rPr>
                  </w:pPr>
                  <w:r>
                    <w:rPr>
                      <w:rFonts w:hint="default" w:ascii="Times New Roman" w:hAnsi="Times New Roman" w:eastAsia="Times New Roman" w:cs="Times New Roman"/>
                      <w:b/>
                      <w:bCs/>
                      <w:w w:val="110"/>
                      <w:sz w:val="21"/>
                      <w:szCs w:val="21"/>
                    </w:rPr>
                    <w:t>Ⅲ</w:t>
                  </w:r>
                </w:p>
              </w:tc>
              <w:tc>
                <w:tcPr>
                  <w:tcW w:w="1746" w:type="dxa"/>
                  <w:tcBorders>
                    <w:tl2br w:val="nil"/>
                    <w:tr2bl w:val="nil"/>
                  </w:tcBorders>
                  <w:vAlign w:val="top"/>
                </w:tcPr>
                <w:p>
                  <w:pPr>
                    <w:pStyle w:val="65"/>
                    <w:spacing w:before="39" w:line="240" w:lineRule="auto"/>
                    <w:ind w:right="2" w:rightChars="0"/>
                    <w:jc w:val="center"/>
                    <w:rPr>
                      <w:rFonts w:hint="default" w:ascii="Times New Roman" w:hAnsi="Times New Roman" w:cs="Times New Roman"/>
                      <w:vertAlign w:val="baseline"/>
                      <w:lang w:val="en-US" w:eastAsia="zh-CN"/>
                    </w:rPr>
                  </w:pPr>
                  <w:r>
                    <w:rPr>
                      <w:rFonts w:hint="default" w:ascii="Times New Roman" w:hAnsi="Times New Roman" w:eastAsia="Times New Roman" w:cs="Times New Roman"/>
                      <w:b/>
                      <w:bCs/>
                      <w:w w:val="85"/>
                      <w:sz w:val="21"/>
                      <w:szCs w:val="21"/>
                    </w:rPr>
                    <w:t>Ⅱ</w:t>
                  </w:r>
                </w:p>
              </w:tc>
              <w:tc>
                <w:tcPr>
                  <w:tcW w:w="1747" w:type="dxa"/>
                  <w:tcBorders>
                    <w:tl2br w:val="nil"/>
                    <w:tr2bl w:val="nil"/>
                  </w:tcBorders>
                  <w:vAlign w:val="top"/>
                </w:tcPr>
                <w:p>
                  <w:pPr>
                    <w:pStyle w:val="65"/>
                    <w:spacing w:before="39" w:line="240" w:lineRule="auto"/>
                    <w:ind w:left="7" w:leftChars="0" w:right="0" w:rightChars="0"/>
                    <w:jc w:val="center"/>
                    <w:rPr>
                      <w:rFonts w:hint="default" w:ascii="Times New Roman" w:hAnsi="Times New Roman" w:cs="Times New Roman"/>
                      <w:vertAlign w:val="baseline"/>
                      <w:lang w:val="en-US" w:eastAsia="zh-CN"/>
                    </w:rPr>
                  </w:pPr>
                  <w:r>
                    <w:rPr>
                      <w:rFonts w:hint="default" w:ascii="Times New Roman" w:hAnsi="Times New Roman" w:eastAsia="Times New Roman" w:cs="Times New Roman"/>
                      <w:b/>
                      <w:bCs/>
                      <w:w w:val="50"/>
                      <w:sz w:val="21"/>
                      <w:szCs w:val="21"/>
                    </w:rPr>
                    <w:t>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46" w:type="dxa"/>
                  <w:tcBorders>
                    <w:tl2br w:val="nil"/>
                    <w:tr2bl w:val="nil"/>
                  </w:tcBorders>
                  <w:vAlign w:val="top"/>
                </w:tcPr>
                <w:p>
                  <w:pPr>
                    <w:pStyle w:val="65"/>
                    <w:spacing w:line="262" w:lineRule="exact"/>
                    <w:ind w:right="5" w:rightChars="0"/>
                    <w:jc w:val="center"/>
                    <w:rPr>
                      <w:rFonts w:hint="default" w:ascii="Times New Roman" w:hAnsi="Times New Roman" w:cs="Times New Roman"/>
                      <w:vertAlign w:val="baseline"/>
                      <w:lang w:val="en-US" w:eastAsia="zh-CN"/>
                    </w:rPr>
                  </w:pPr>
                  <w:r>
                    <w:rPr>
                      <w:rFonts w:hint="default" w:ascii="Times New Roman" w:hAnsi="Times New Roman" w:eastAsia="宋体" w:cs="Times New Roman"/>
                      <w:b/>
                      <w:bCs/>
                      <w:sz w:val="21"/>
                      <w:szCs w:val="21"/>
                    </w:rPr>
                    <w:t>评价工作等级</w:t>
                  </w:r>
                </w:p>
              </w:tc>
              <w:tc>
                <w:tcPr>
                  <w:tcW w:w="1746" w:type="dxa"/>
                  <w:tcBorders>
                    <w:tl2br w:val="nil"/>
                    <w:tr2bl w:val="nil"/>
                  </w:tcBorders>
                  <w:vAlign w:val="top"/>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eastAsia="宋体" w:cs="Times New Roman"/>
                      <w:sz w:val="21"/>
                      <w:szCs w:val="21"/>
                    </w:rPr>
                    <w:t>一</w:t>
                  </w:r>
                </w:p>
              </w:tc>
              <w:tc>
                <w:tcPr>
                  <w:tcW w:w="1746" w:type="dxa"/>
                  <w:tcBorders>
                    <w:tl2br w:val="nil"/>
                    <w:tr2bl w:val="nil"/>
                  </w:tcBorders>
                  <w:vAlign w:val="top"/>
                </w:tcPr>
                <w:p>
                  <w:pPr>
                    <w:pStyle w:val="65"/>
                    <w:spacing w:line="262" w:lineRule="exact"/>
                    <w:ind w:right="357" w:rightChars="0"/>
                    <w:jc w:val="right"/>
                    <w:rPr>
                      <w:rFonts w:hint="default" w:ascii="Times New Roman" w:hAnsi="Times New Roman" w:cs="Times New Roman"/>
                      <w:vertAlign w:val="baseline"/>
                      <w:lang w:val="en-US" w:eastAsia="zh-CN"/>
                    </w:rPr>
                  </w:pPr>
                  <w:r>
                    <w:rPr>
                      <w:rFonts w:hint="default" w:ascii="Times New Roman" w:hAnsi="Times New Roman" w:eastAsia="宋体" w:cs="Times New Roman"/>
                      <w:sz w:val="21"/>
                      <w:szCs w:val="21"/>
                    </w:rPr>
                    <w:t>二</w:t>
                  </w:r>
                </w:p>
              </w:tc>
              <w:tc>
                <w:tcPr>
                  <w:tcW w:w="1746" w:type="dxa"/>
                  <w:tcBorders>
                    <w:tl2br w:val="nil"/>
                    <w:tr2bl w:val="nil"/>
                  </w:tcBorders>
                  <w:vAlign w:val="top"/>
                </w:tcPr>
                <w:p>
                  <w:pPr>
                    <w:pStyle w:val="65"/>
                    <w:spacing w:line="262" w:lineRule="exact"/>
                    <w:ind w:right="5" w:rightChars="0"/>
                    <w:jc w:val="center"/>
                    <w:rPr>
                      <w:rFonts w:hint="default" w:ascii="Times New Roman" w:hAnsi="Times New Roman" w:cs="Times New Roman"/>
                      <w:vertAlign w:val="baseline"/>
                      <w:lang w:val="en-US" w:eastAsia="zh-CN"/>
                    </w:rPr>
                  </w:pPr>
                  <w:r>
                    <w:rPr>
                      <w:rFonts w:hint="default" w:ascii="Times New Roman" w:hAnsi="Times New Roman" w:eastAsia="宋体" w:cs="Times New Roman"/>
                      <w:sz w:val="21"/>
                      <w:szCs w:val="21"/>
                    </w:rPr>
                    <w:t>三</w:t>
                  </w:r>
                </w:p>
              </w:tc>
              <w:tc>
                <w:tcPr>
                  <w:tcW w:w="1747" w:type="dxa"/>
                  <w:tcBorders>
                    <w:tl2br w:val="nil"/>
                    <w:tr2bl w:val="nil"/>
                  </w:tcBorders>
                  <w:vAlign w:val="top"/>
                </w:tcPr>
                <w:p>
                  <w:pPr>
                    <w:pStyle w:val="65"/>
                    <w:spacing w:line="278" w:lineRule="exact"/>
                    <w:ind w:left="9" w:leftChars="0" w:right="0" w:rightChars="0"/>
                    <w:jc w:val="center"/>
                    <w:rPr>
                      <w:rFonts w:hint="default" w:ascii="Times New Roman" w:hAnsi="Times New Roman" w:cs="Times New Roman"/>
                      <w:vertAlign w:val="baseline"/>
                      <w:lang w:val="en-US" w:eastAsia="zh-CN"/>
                    </w:rPr>
                  </w:pPr>
                  <w:r>
                    <w:rPr>
                      <w:rFonts w:hint="default" w:ascii="Times New Roman" w:hAnsi="Times New Roman" w:eastAsia="宋体" w:cs="Times New Roman"/>
                      <w:sz w:val="21"/>
                      <w:szCs w:val="21"/>
                    </w:rPr>
                    <w:t>简单分析</w:t>
                  </w:r>
                  <w:r>
                    <w:rPr>
                      <w:rFonts w:hint="default" w:ascii="Times New Roman" w:hAnsi="Times New Roman" w:eastAsia="Times New Roman" w:cs="Times New Roman"/>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31" w:type="dxa"/>
                  <w:gridSpan w:val="5"/>
                  <w:tcBorders>
                    <w:tl2br w:val="nil"/>
                    <w:tr2bl w:val="nil"/>
                  </w:tcBorders>
                  <w:vAlign w:val="top"/>
                </w:tcPr>
                <w:p>
                  <w:pPr>
                    <w:pStyle w:val="65"/>
                    <w:spacing w:line="256" w:lineRule="auto"/>
                    <w:ind w:left="93" w:leftChars="0" w:right="87" w:rightChars="0"/>
                    <w:jc w:val="left"/>
                    <w:rPr>
                      <w:rFonts w:hint="default" w:ascii="Times New Roman" w:hAnsi="Times New Roman" w:cs="Times New Roman"/>
                      <w:vertAlign w:val="baseline"/>
                      <w:lang w:val="en-US" w:eastAsia="zh-CN"/>
                    </w:rPr>
                  </w:pPr>
                  <w:r>
                    <w:rPr>
                      <w:rFonts w:hint="default" w:ascii="Times New Roman" w:hAnsi="Times New Roman" w:eastAsia="Times New Roman" w:cs="Times New Roman"/>
                      <w:spacing w:val="-1"/>
                      <w:sz w:val="21"/>
                      <w:szCs w:val="21"/>
                    </w:rPr>
                    <w:t>*</w:t>
                  </w:r>
                  <w:r>
                    <w:rPr>
                      <w:rFonts w:hint="default" w:ascii="Times New Roman" w:hAnsi="Times New Roman" w:eastAsia="宋体" w:cs="Times New Roman"/>
                      <w:spacing w:val="-1"/>
                      <w:sz w:val="21"/>
                      <w:szCs w:val="21"/>
                    </w:rPr>
                    <w:t>：是相对详细评价工作内容而言，在描述危险物质、环境影响途径、环境危害后果、风险</w:t>
                  </w:r>
                  <w:r>
                    <w:rPr>
                      <w:rFonts w:hint="default" w:ascii="Times New Roman" w:hAnsi="Times New Roman" w:eastAsia="宋体" w:cs="Times New Roman"/>
                      <w:sz w:val="21"/>
                      <w:szCs w:val="21"/>
                    </w:rPr>
                    <w:t>防范措施等方面给出定性说明。</w:t>
                  </w:r>
                </w:p>
              </w:tc>
            </w:tr>
          </w:tbl>
          <w:p>
            <w:pPr>
              <w:spacing w:line="360" w:lineRule="auto"/>
              <w:ind w:firstLine="480" w:firstLineChars="200"/>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根据上述分析，本项目环境风险潜势为Ⅰ，需对本项目建成后的环境风险进行简单分析。</w:t>
            </w:r>
          </w:p>
          <w:p>
            <w:pPr>
              <w:spacing w:line="360" w:lineRule="auto"/>
              <w:ind w:firstLine="482"/>
              <w:contextualSpacing/>
              <w:rPr>
                <w:rFonts w:hint="default"/>
                <w:b/>
                <w:bCs/>
                <w:sz w:val="24"/>
                <w:u w:val="none"/>
                <w:lang w:val="en-US" w:eastAsia="zh-CN"/>
              </w:rPr>
            </w:pPr>
            <w:bookmarkStart w:id="63" w:name="_Toc20453"/>
            <w:r>
              <w:rPr>
                <w:rFonts w:hint="eastAsia"/>
                <w:b/>
                <w:bCs/>
                <w:sz w:val="24"/>
                <w:u w:val="none"/>
                <w:lang w:val="en-US" w:eastAsia="zh-CN"/>
              </w:rPr>
              <w:t>五、</w:t>
            </w:r>
            <w:r>
              <w:rPr>
                <w:rFonts w:hint="default"/>
                <w:b/>
                <w:bCs/>
                <w:sz w:val="24"/>
                <w:u w:val="none"/>
                <w:lang w:val="en-US" w:eastAsia="zh-CN"/>
              </w:rPr>
              <w:t>环境敏感目标概况</w:t>
            </w:r>
            <w:bookmarkEnd w:id="63"/>
            <w:r>
              <w:rPr>
                <w:rFonts w:hint="default"/>
                <w:b/>
                <w:bCs/>
                <w:sz w:val="24"/>
                <w:u w:val="none"/>
                <w:lang w:val="en-US" w:eastAsia="zh-CN"/>
              </w:rPr>
              <w:t xml:space="preserve"> </w:t>
            </w:r>
          </w:p>
          <w:p>
            <w:pPr>
              <w:spacing w:line="360" w:lineRule="auto"/>
              <w:ind w:firstLine="482"/>
              <w:contextualSpacing/>
              <w:rPr>
                <w:rFonts w:hint="default"/>
                <w:b w:val="0"/>
                <w:bCs w:val="0"/>
                <w:sz w:val="24"/>
                <w:u w:val="none"/>
                <w:lang w:val="en-US" w:eastAsia="zh-CN"/>
              </w:rPr>
            </w:pPr>
            <w:r>
              <w:rPr>
                <w:rFonts w:hint="default"/>
                <w:b w:val="0"/>
                <w:bCs w:val="0"/>
                <w:sz w:val="24"/>
                <w:u w:val="none"/>
                <w:lang w:val="en-US" w:eastAsia="zh-CN"/>
              </w:rPr>
              <w:t>本项目建成后，周边环境敏感目标分布情况见表</w:t>
            </w:r>
            <w:r>
              <w:rPr>
                <w:rFonts w:hint="eastAsia"/>
                <w:b w:val="0"/>
                <w:bCs w:val="0"/>
                <w:sz w:val="24"/>
                <w:u w:val="none"/>
                <w:lang w:val="en-US" w:eastAsia="zh-CN"/>
              </w:rPr>
              <w:t>3-11及3-12</w:t>
            </w:r>
            <w:r>
              <w:rPr>
                <w:rFonts w:hint="default"/>
                <w:b w:val="0"/>
                <w:bCs w:val="0"/>
                <w:sz w:val="24"/>
                <w:u w:val="none"/>
                <w:lang w:val="en-US" w:eastAsia="zh-CN"/>
              </w:rPr>
              <w:t>。</w:t>
            </w:r>
          </w:p>
          <w:p>
            <w:pPr>
              <w:spacing w:line="360" w:lineRule="auto"/>
              <w:ind w:firstLine="482"/>
              <w:contextualSpacing/>
              <w:rPr>
                <w:rFonts w:hint="default"/>
                <w:b/>
                <w:bCs/>
                <w:sz w:val="24"/>
                <w:u w:val="none"/>
                <w:lang w:val="en-US" w:eastAsia="zh-CN"/>
              </w:rPr>
            </w:pPr>
            <w:bookmarkStart w:id="64" w:name="_Toc30647"/>
            <w:r>
              <w:rPr>
                <w:rFonts w:hint="eastAsia"/>
                <w:b/>
                <w:bCs/>
                <w:sz w:val="24"/>
                <w:u w:val="none"/>
                <w:lang w:val="en-US" w:eastAsia="zh-CN"/>
              </w:rPr>
              <w:t>六、</w:t>
            </w:r>
            <w:r>
              <w:rPr>
                <w:rFonts w:hint="default"/>
                <w:b/>
                <w:bCs/>
                <w:sz w:val="24"/>
                <w:u w:val="none"/>
                <w:lang w:val="en-US" w:eastAsia="zh-CN"/>
              </w:rPr>
              <w:t>风险识别</w:t>
            </w:r>
            <w:bookmarkEnd w:id="64"/>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1、生产设施风险识别</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环境风险设施主要为营运过程中使用、储存环境风险物质的各类设施、设备以及环保治理设施等。</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（1）发酵料生产线：本项目建设1条发酵料生产线，发酵过程中会产生NH3及H2S，通过采用生产区封闭及负压风机抽排至室外。如风机发生故障会导致车间内短时间恶臭气体浓度过高，对人体健康具有一定危害。</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（2）危险废物暂存间：危险废物暂存间内储存有废机油，如运输及转移过程中操作与管理不当，导致环境风险物质泄漏，对周边土壤环境造成不利影响。</w:t>
            </w:r>
          </w:p>
          <w:p>
            <w:pPr>
              <w:spacing w:line="360" w:lineRule="auto"/>
              <w:ind w:firstLine="482"/>
              <w:contextualSpacing/>
              <w:rPr>
                <w:rFonts w:hint="eastAsia"/>
                <w:b w:val="0"/>
                <w:bCs w:val="0"/>
                <w:sz w:val="24"/>
                <w:u w:val="none"/>
                <w:lang w:val="en-US" w:eastAsia="zh-CN"/>
              </w:rPr>
            </w:pPr>
            <w:bookmarkStart w:id="65" w:name="_Toc29189"/>
            <w:r>
              <w:rPr>
                <w:rFonts w:hint="eastAsia"/>
                <w:b w:val="0"/>
                <w:bCs w:val="0"/>
                <w:sz w:val="24"/>
                <w:u w:val="none"/>
                <w:lang w:val="en-US" w:eastAsia="zh-CN"/>
              </w:rPr>
              <w:t>2、环境风险事故识别</w:t>
            </w:r>
          </w:p>
          <w:p>
            <w:pPr>
              <w:spacing w:line="360" w:lineRule="auto"/>
              <w:ind w:firstLine="482"/>
              <w:contextualSpacing/>
              <w:rPr>
                <w:rFonts w:hint="default" w:ascii="Times New Roman" w:hAnsi="Times New Roman" w:cs="Times New Roman"/>
                <w:sz w:val="24"/>
                <w:szCs w:val="22"/>
                <w:lang w:val="en-US" w:eastAsia="zh-CN"/>
              </w:rPr>
            </w:pPr>
            <w:r>
              <w:rPr>
                <w:rFonts w:hint="eastAsia"/>
                <w:b w:val="0"/>
                <w:bCs w:val="0"/>
                <w:sz w:val="24"/>
                <w:u w:val="none"/>
                <w:lang w:val="en-US" w:eastAsia="zh-CN"/>
              </w:rPr>
              <w:t xml:space="preserve">最大可信事故是指在所有预测的概率不为零的事故中，对环境（或健康）危害最严重的重大事故。本项目最大可信事故为废机油泄漏及恶臭气体未经处理事故排放。 </w:t>
            </w:r>
          </w:p>
          <w:p>
            <w:pPr>
              <w:spacing w:line="360" w:lineRule="auto"/>
              <w:ind w:firstLine="482"/>
              <w:contextualSpacing/>
              <w:rPr>
                <w:rFonts w:hint="default"/>
                <w:b w:val="0"/>
                <w:bCs w:val="0"/>
                <w:sz w:val="24"/>
                <w:u w:val="none"/>
                <w:lang w:val="en-US" w:eastAsia="zh-CN"/>
              </w:rPr>
            </w:pPr>
            <w:r>
              <w:rPr>
                <w:rFonts w:hint="eastAsia"/>
                <w:b/>
                <w:bCs/>
                <w:sz w:val="24"/>
                <w:u w:val="none"/>
                <w:lang w:val="en-US" w:eastAsia="zh-CN"/>
              </w:rPr>
              <w:t>七、环境</w:t>
            </w:r>
            <w:r>
              <w:rPr>
                <w:rFonts w:hint="default"/>
                <w:b/>
                <w:bCs/>
                <w:sz w:val="24"/>
                <w:u w:val="none"/>
                <w:lang w:val="en-US" w:eastAsia="zh-CN"/>
              </w:rPr>
              <w:t>风险</w:t>
            </w:r>
            <w:r>
              <w:rPr>
                <w:rFonts w:hint="eastAsia"/>
                <w:b/>
                <w:bCs/>
                <w:sz w:val="24"/>
                <w:u w:val="none"/>
                <w:lang w:val="en-US" w:eastAsia="zh-CN"/>
              </w:rPr>
              <w:t>事故</w:t>
            </w:r>
            <w:r>
              <w:rPr>
                <w:rFonts w:hint="default"/>
                <w:b/>
                <w:bCs/>
                <w:sz w:val="24"/>
                <w:u w:val="none"/>
                <w:lang w:val="en-US" w:eastAsia="zh-CN"/>
              </w:rPr>
              <w:t>分析</w:t>
            </w:r>
            <w:bookmarkEnd w:id="65"/>
            <w:r>
              <w:rPr>
                <w:rFonts w:hint="default"/>
                <w:b/>
                <w:bCs/>
                <w:sz w:val="24"/>
                <w:u w:val="none"/>
                <w:lang w:val="en-US" w:eastAsia="zh-CN"/>
              </w:rPr>
              <w:t xml:space="preserve"> </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1、液态环境风险物质泄漏环境风险事故分析</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企业液态环境风险物质为废机油，危险废物暂存间内设置有围堰，废机油泄漏后不会进入外环境，不会造成周边土壤、地下水污染。</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2、恶臭气体未经处理事故排放</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本项目恶臭气体产生量较小，恶臭气体在未经处理直接排放的情况下对环境影响较小。</w:t>
            </w:r>
          </w:p>
          <w:p>
            <w:pPr>
              <w:spacing w:line="360" w:lineRule="auto"/>
              <w:ind w:firstLine="482"/>
              <w:contextualSpacing/>
              <w:rPr>
                <w:rFonts w:hint="default"/>
                <w:b/>
                <w:bCs/>
                <w:sz w:val="24"/>
                <w:u w:val="none"/>
                <w:lang w:val="en-US" w:eastAsia="zh-CN"/>
              </w:rPr>
            </w:pPr>
            <w:bookmarkStart w:id="66" w:name="_Toc5818"/>
            <w:r>
              <w:rPr>
                <w:rFonts w:hint="eastAsia"/>
                <w:b/>
                <w:bCs/>
                <w:sz w:val="24"/>
                <w:u w:val="none"/>
                <w:lang w:val="en-US" w:eastAsia="zh-CN"/>
              </w:rPr>
              <w:t>八、</w:t>
            </w:r>
            <w:r>
              <w:rPr>
                <w:rFonts w:hint="default"/>
                <w:b/>
                <w:bCs/>
                <w:sz w:val="24"/>
                <w:u w:val="none"/>
                <w:lang w:val="en-US" w:eastAsia="zh-CN"/>
              </w:rPr>
              <w:t>风险防范措施及应急</w:t>
            </w:r>
            <w:r>
              <w:rPr>
                <w:rFonts w:hint="eastAsia"/>
                <w:b/>
                <w:bCs/>
                <w:sz w:val="24"/>
                <w:u w:val="none"/>
                <w:lang w:val="en-US" w:eastAsia="zh-CN"/>
              </w:rPr>
              <w:t>预案</w:t>
            </w:r>
            <w:bookmarkEnd w:id="66"/>
            <w:r>
              <w:rPr>
                <w:rFonts w:hint="default"/>
                <w:b/>
                <w:bCs/>
                <w:sz w:val="24"/>
                <w:u w:val="none"/>
                <w:lang w:val="en-US" w:eastAsia="zh-CN"/>
              </w:rPr>
              <w:t xml:space="preserve"> </w:t>
            </w:r>
          </w:p>
          <w:p>
            <w:pPr>
              <w:spacing w:line="360" w:lineRule="auto"/>
              <w:ind w:firstLine="482"/>
              <w:contextualSpacing/>
              <w:rPr>
                <w:rFonts w:hint="default"/>
                <w:b w:val="0"/>
                <w:bCs w:val="0"/>
                <w:sz w:val="24"/>
                <w:u w:val="none"/>
                <w:lang w:val="en-US" w:eastAsia="zh-CN"/>
              </w:rPr>
            </w:pPr>
            <w:r>
              <w:rPr>
                <w:rFonts w:hint="default"/>
                <w:b w:val="0"/>
                <w:bCs w:val="0"/>
                <w:sz w:val="24"/>
                <w:u w:val="none"/>
                <w:lang w:val="en-US" w:eastAsia="zh-CN"/>
              </w:rPr>
              <w:t>本项目存在一定程度的火灾爆炸和</w:t>
            </w:r>
            <w:r>
              <w:rPr>
                <w:rFonts w:hint="eastAsia"/>
                <w:b w:val="0"/>
                <w:bCs w:val="0"/>
                <w:sz w:val="24"/>
                <w:u w:val="none"/>
                <w:lang w:val="en-US" w:eastAsia="zh-CN"/>
              </w:rPr>
              <w:t>生产人员伤害</w:t>
            </w:r>
            <w:r>
              <w:rPr>
                <w:rFonts w:hint="default"/>
                <w:b w:val="0"/>
                <w:bCs w:val="0"/>
                <w:sz w:val="24"/>
                <w:u w:val="none"/>
                <w:lang w:val="en-US" w:eastAsia="zh-CN"/>
              </w:rPr>
              <w:t>风险，需要采取相应的风险防范措施，以降低各类风险事故发生的概率。</w:t>
            </w:r>
          </w:p>
          <w:p>
            <w:pPr>
              <w:tabs>
                <w:tab w:val="left" w:pos="1925"/>
              </w:tabs>
              <w:bidi w:val="0"/>
              <w:spacing w:line="360" w:lineRule="auto"/>
              <w:jc w:val="center"/>
              <w:rPr>
                <w:rFonts w:hint="default" w:ascii="Times New Roman" w:hAnsi="Times New Roman" w:cs="Times New Roman"/>
                <w:b/>
                <w:bCs/>
                <w:kern w:val="2"/>
                <w:sz w:val="21"/>
                <w:szCs w:val="21"/>
                <w:lang w:val="en-US" w:eastAsia="zh-CN" w:bidi="ar-SA"/>
              </w:rPr>
            </w:pPr>
            <w:r>
              <w:rPr>
                <w:rFonts w:hint="default" w:ascii="Times New Roman" w:hAnsi="Times New Roman" w:cs="Times New Roman"/>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 xml:space="preserve">-7  </w:t>
            </w:r>
            <w:r>
              <w:rPr>
                <w:rFonts w:hint="default" w:ascii="Times New Roman" w:hAnsi="Times New Roman" w:cs="Times New Roman"/>
                <w:b/>
                <w:bCs/>
                <w:kern w:val="2"/>
                <w:sz w:val="21"/>
                <w:szCs w:val="21"/>
                <w:lang w:val="en-US" w:eastAsia="zh-CN" w:bidi="ar-SA"/>
              </w:rPr>
              <w:t>事故风险防范措施</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43"/>
              <w:gridCol w:w="772"/>
              <w:gridCol w:w="74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26" w:type="dxa"/>
                  <w:gridSpan w:val="2"/>
                  <w:tcBorders>
                    <w:tl2br w:val="nil"/>
                    <w:tr2bl w:val="nil"/>
                  </w:tcBorders>
                  <w:vAlign w:val="center"/>
                </w:tcPr>
                <w:p>
                  <w:pPr>
                    <w:pStyle w:val="65"/>
                    <w:spacing w:line="262" w:lineRule="exact"/>
                    <w:ind w:right="0" w:rightChars="0"/>
                    <w:jc w:val="center"/>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防范要求</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措施内容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26" w:type="dxa"/>
                  <w:gridSpan w:val="2"/>
                  <w:vMerge w:val="restart"/>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加强教育 强化管理</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必须将“安全第一，预防为主”作为公司经营的基本原则。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26" w:type="dxa"/>
                  <w:gridSpan w:val="2"/>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必须进行广泛系统的培训，使所有操作人员熟悉自己的岗位，树立严谨规范的操作作风，并且在任何紧急状况下都能随时对工艺装置进行控制并及时、独立、正确地实施相关应急措施。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6" w:hRule="atLeast"/>
                <w:jc w:val="center"/>
              </w:trPr>
              <w:tc>
                <w:tcPr>
                  <w:tcW w:w="1226" w:type="dxa"/>
                  <w:gridSpan w:val="2"/>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对公司职工进行事故演练，当事故发生后能在最短时间内集合，在佩戴上相应的防护设备后，随同厂内技术人员进去泄漏地点。当情况比较严重时，应在组织自救的同时，通知城市救援中心和厂外消防队，启动外界应急救援计划</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26" w:type="dxa"/>
                  <w:gridSpan w:val="2"/>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加强员工的安全意识</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26" w:type="dxa"/>
                  <w:gridSpan w:val="2"/>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安排专人负责全厂的安全管理，设置专职或兼职安全员。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26" w:type="dxa"/>
                  <w:gridSpan w:val="2"/>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按照《劳动法》或其他有关规定，为职工提供劳动安全卫生条件和劳动防护用品</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restart"/>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储存 过程</w:t>
                  </w: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场所</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严格遵守有关贮存的安全规定。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管理人员</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必须经过专业知识培训，熟悉物品的特性、事故处理办法和防护知识必须配备有关的个人防护用品</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标识</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必须是有明显的标识，并按照国家有关规定标准控制厂区内的最大储存限量</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布置</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仓库各风险物质储存场所必须满足相关标准要求</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restart"/>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生产 过程</w:t>
                  </w: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设备检修</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企业在生产和安全管理中要密切注意泄漏易发工段，确保设备运行监督检查与维修保养，防患于未然。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员工培训</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公司应组织员工认真学习贯彻，并将国家要求和安全技术规范转化为各自岗位的安全操作规程，并悬挂在岗位醒目位置，规范岗位操作，降低事故概率</w:t>
                  </w:r>
                  <w:r>
                    <w:rPr>
                      <w:rFonts w:hint="eastAsia"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p>
              </w:tc>
              <w:tc>
                <w:tcPr>
                  <w:tcW w:w="7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巡回检查</w:t>
                  </w:r>
                </w:p>
              </w:tc>
              <w:tc>
                <w:tcPr>
                  <w:tcW w:w="750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必须组织专门人员定期进行周期行巡回检查，对发现的安全问题及时检修，必要时按照“安全第一”的原则，停产检修，严禁故障或不正常运行</w:t>
                  </w:r>
                  <w:r>
                    <w:rPr>
                      <w:rFonts w:hint="eastAsia" w:ascii="Times New Roman" w:hAnsi="Times New Roman" w:cs="Times New Roman"/>
                      <w:vertAlign w:val="baseline"/>
                      <w:lang w:val="en-US" w:eastAsia="zh-CN"/>
                    </w:rPr>
                    <w:t>。</w:t>
                  </w:r>
                </w:p>
              </w:tc>
            </w:tr>
          </w:tbl>
          <w:p>
            <w:pPr>
              <w:tabs>
                <w:tab w:val="left" w:pos="1925"/>
              </w:tabs>
              <w:bidi w:val="0"/>
              <w:spacing w:line="360" w:lineRule="auto"/>
              <w:jc w:val="center"/>
              <w:rPr>
                <w:rFonts w:hint="eastAsia" w:ascii="Times New Roman" w:hAnsi="Times New Roman" w:cs="Times New Roman"/>
                <w:b/>
                <w:bCs/>
                <w:kern w:val="2"/>
                <w:sz w:val="21"/>
                <w:szCs w:val="21"/>
                <w:lang w:val="en-US" w:eastAsia="zh-CN" w:bidi="ar-SA"/>
              </w:rPr>
            </w:pPr>
            <w:r>
              <w:rPr>
                <w:rFonts w:hint="eastAsia" w:ascii="Times New Roman" w:hAnsi="Times New Roman" w:cs="Times New Roman"/>
                <w:b/>
                <w:bCs/>
                <w:kern w:val="2"/>
                <w:sz w:val="21"/>
                <w:szCs w:val="21"/>
                <w:lang w:val="en-US" w:eastAsia="zh-CN" w:bidi="ar-SA"/>
              </w:rPr>
              <w:t>表9-8  环境风险应急预案主要内容及要求</w:t>
            </w:r>
          </w:p>
          <w:tbl>
            <w:tblPr>
              <w:tblStyle w:val="23"/>
              <w:tblpPr w:leftFromText="180" w:rightFromText="180" w:vertAnchor="text" w:tblpXSpec="center" w:tblpY="1"/>
              <w:tblOverlap w:val="never"/>
              <w:tblW w:w="86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92"/>
              <w:gridCol w:w="1933"/>
              <w:gridCol w:w="60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cs="Times New Roman"/>
                      <w:b/>
                      <w:bCs/>
                      <w:kern w:val="0"/>
                      <w:sz w:val="21"/>
                      <w:szCs w:val="21"/>
                      <w:u w:val="none"/>
                    </w:rPr>
                  </w:pPr>
                  <w:bookmarkStart w:id="67" w:name="_Toc29422"/>
                  <w:r>
                    <w:rPr>
                      <w:rFonts w:hint="default" w:ascii="Times New Roman" w:hAnsi="Times New Roman" w:cs="Times New Roman"/>
                      <w:b/>
                      <w:bCs/>
                      <w:kern w:val="0"/>
                      <w:sz w:val="21"/>
                      <w:szCs w:val="21"/>
                      <w:u w:val="none"/>
                    </w:rPr>
                    <w:t>序号</w:t>
                  </w:r>
                </w:p>
              </w:tc>
              <w:tc>
                <w:tcPr>
                  <w:tcW w:w="1933" w:type="dxa"/>
                  <w:tcBorders>
                    <w:tl2br w:val="nil"/>
                    <w:tr2bl w:val="nil"/>
                  </w:tcBorders>
                  <w:vAlign w:val="center"/>
                </w:tcPr>
                <w:p>
                  <w:pPr>
                    <w:snapToGrid/>
                    <w:spacing w:line="240" w:lineRule="exact"/>
                    <w:jc w:val="center"/>
                    <w:rPr>
                      <w:rFonts w:hint="default" w:ascii="Times New Roman" w:hAnsi="Times New Roman" w:cs="Times New Roman"/>
                      <w:b/>
                      <w:bCs/>
                      <w:kern w:val="0"/>
                      <w:sz w:val="21"/>
                      <w:szCs w:val="21"/>
                      <w:u w:val="none"/>
                    </w:rPr>
                  </w:pPr>
                  <w:r>
                    <w:rPr>
                      <w:rFonts w:hint="default" w:ascii="Times New Roman" w:hAnsi="Times New Roman" w:cs="Times New Roman"/>
                      <w:b/>
                      <w:bCs/>
                      <w:kern w:val="0"/>
                      <w:sz w:val="21"/>
                      <w:szCs w:val="21"/>
                      <w:u w:val="none"/>
                    </w:rPr>
                    <w:t>项目</w:t>
                  </w:r>
                </w:p>
              </w:tc>
              <w:tc>
                <w:tcPr>
                  <w:tcW w:w="6031" w:type="dxa"/>
                  <w:tcBorders>
                    <w:tl2br w:val="nil"/>
                    <w:tr2bl w:val="nil"/>
                  </w:tcBorders>
                  <w:vAlign w:val="center"/>
                </w:tcPr>
                <w:p>
                  <w:pPr>
                    <w:snapToGrid/>
                    <w:spacing w:line="240" w:lineRule="exact"/>
                    <w:jc w:val="center"/>
                    <w:rPr>
                      <w:rFonts w:hint="default" w:ascii="Times New Roman" w:hAnsi="Times New Roman" w:cs="Times New Roman"/>
                      <w:b/>
                      <w:bCs/>
                      <w:kern w:val="0"/>
                      <w:sz w:val="21"/>
                      <w:szCs w:val="21"/>
                      <w:u w:val="none"/>
                    </w:rPr>
                  </w:pPr>
                  <w:r>
                    <w:rPr>
                      <w:rFonts w:hint="default" w:ascii="Times New Roman" w:hAnsi="Times New Roman" w:cs="Times New Roman"/>
                      <w:b/>
                      <w:bCs/>
                      <w:kern w:val="0"/>
                      <w:sz w:val="21"/>
                      <w:szCs w:val="21"/>
                      <w:u w:val="none"/>
                    </w:rPr>
                    <w:t>重点内容及要求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rPr>
                  </w:pPr>
                  <w:r>
                    <w:rPr>
                      <w:rFonts w:hint="default" w:ascii="Times New Roman" w:hAnsi="Times New Roman" w:cs="Times New Roman"/>
                      <w:kern w:val="0"/>
                      <w:sz w:val="21"/>
                      <w:szCs w:val="21"/>
                      <w:u w:val="none"/>
                    </w:rPr>
                    <w:t>1</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t>企业基本情况</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default" w:ascii="Times New Roman" w:hAnsi="Times New Roman" w:cs="Times New Roman"/>
                      <w:kern w:val="0"/>
                      <w:sz w:val="21"/>
                      <w:szCs w:val="21"/>
                      <w:u w:val="none"/>
                    </w:rPr>
                    <w:t>地理位置，企业人数，上级部门，产品与原辅材料规模，周边区域单位和社区情况，重要基础设施、道路等情况，危险化学品运输单位、车辆及主要的运输产品、运量、运地、行车路线等</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rPr>
                  </w:pPr>
                  <w:r>
                    <w:rPr>
                      <w:rFonts w:hint="default" w:ascii="Times New Roman" w:hAnsi="Times New Roman" w:cs="Times New Roman"/>
                      <w:kern w:val="0"/>
                      <w:sz w:val="21"/>
                      <w:szCs w:val="21"/>
                      <w:u w:val="none"/>
                    </w:rPr>
                    <w:t>2</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t>确定危险目标及其危险对周围的影响</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根据事故类别、综合分析的危害程度，确定危险目标</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根据确定的危险目标，明确其危险特性及对周边的影响</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3</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设备、器材</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default" w:ascii="Times New Roman" w:hAnsi="Times New Roman" w:cs="Times New Roman"/>
                      <w:kern w:val="0"/>
                      <w:sz w:val="21"/>
                      <w:szCs w:val="21"/>
                      <w:u w:val="none"/>
                    </w:rPr>
                    <w:t>危险目标周围可利用的安全、消防、个体防护的设备、器材及其分布</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4</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t>组织机构、组成人 员和职责划分</w:t>
                  </w:r>
                </w:p>
              </w:tc>
              <w:tc>
                <w:tcPr>
                  <w:tcW w:w="6031" w:type="dxa"/>
                  <w:tcBorders>
                    <w:tl2br w:val="nil"/>
                    <w:tr2bl w:val="nil"/>
                  </w:tcBorders>
                  <w:vAlign w:val="center"/>
                </w:tcPr>
                <w:p>
                  <w:pPr>
                    <w:snapToGrid/>
                    <w:spacing w:line="240" w:lineRule="exact"/>
                    <w:jc w:val="both"/>
                    <w:rPr>
                      <w:rFonts w:hint="default" w:ascii="Times New Roman" w:hAnsi="Times New Roman" w:cs="Times New Roman"/>
                      <w:kern w:val="0"/>
                      <w:sz w:val="21"/>
                      <w:szCs w:val="21"/>
                      <w:u w:val="none"/>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依据危险品事故危害程度的级别，设置分级应急救援组织机构。</w:t>
                  </w:r>
                </w:p>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组成人员和主要职责，确定负责人、资源配置、应急队伍的调动</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3</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组织制订危险化学品事故应急救援预案</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4</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确定事故现场协调方案，预案启动与终止的批准，事故信息的上报，保护现场及相关数据采集，接受指令和调动</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5</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报警、通讯联络方式</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default" w:ascii="Times New Roman" w:hAnsi="Times New Roman" w:cs="Times New Roman"/>
                      <w:kern w:val="0"/>
                      <w:sz w:val="21"/>
                      <w:szCs w:val="21"/>
                      <w:u w:val="none"/>
                    </w:rPr>
                    <w:t>设置</w:t>
                  </w:r>
                  <w:r>
                    <w:rPr>
                      <w:rFonts w:hint="default" w:ascii="Times New Roman" w:hAnsi="Times New Roman" w:eastAsia="Times New Roman" w:cs="Times New Roman"/>
                      <w:kern w:val="0"/>
                      <w:sz w:val="21"/>
                      <w:szCs w:val="21"/>
                      <w:u w:val="none"/>
                    </w:rPr>
                    <w:t>24</w:t>
                  </w:r>
                  <w:r>
                    <w:rPr>
                      <w:rFonts w:hint="default" w:ascii="Times New Roman" w:hAnsi="Times New Roman" w:cs="Times New Roman"/>
                      <w:kern w:val="0"/>
                      <w:sz w:val="21"/>
                      <w:szCs w:val="21"/>
                      <w:u w:val="none"/>
                    </w:rPr>
                    <w:t>小时有效报警装置，确定内外部通讯联络手段，包括危险化学品驾驶员、押运员报警及与单位、生产厂、托运方联系的方式方法</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6</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处理措施</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根据工艺、操作规程技术要求，确定采取紧急处理措施</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根据安全运输、本单位、相关厂家、托运方信息采取的应急措施</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7</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人员紧急疏散、撤离</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default" w:ascii="Times New Roman" w:hAnsi="Times New Roman" w:cs="Times New Roman"/>
                      <w:kern w:val="0"/>
                      <w:sz w:val="21"/>
                      <w:szCs w:val="21"/>
                      <w:u w:val="none"/>
                    </w:rPr>
                    <w:t>事故现场人员清点与撤离、非事故现场人员紧急疏散、周边区域单位和社区人员疏散的方式方法。抢救人员在撤离前、撤离后的报告</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8</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危险区的隔离</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default" w:ascii="Times New Roman" w:hAnsi="Times New Roman" w:cs="Times New Roman"/>
                      <w:kern w:val="0"/>
                      <w:sz w:val="21"/>
                      <w:szCs w:val="21"/>
                      <w:u w:val="none"/>
                    </w:rPr>
                    <w:t>设定危险区、事故现场隔离区的划定方式方法和事故现场隔离方法，事故现场周边区域的道路隔离或交通疏导办法</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9</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t>监测、抢险、救援 及控制措施</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制定事故快速环境监测方法及监测人员防护监护措施</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抢险救援方式方法及人员的防护监护措施</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3</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现场实时监测及异常情况下抢险人员的撤离条件和方法</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4</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控制事故扩大的措施和事故可能扩大后的应急措施</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10</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t>受伤人员现场救 护、救治及医院救 治</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接触人群检伤分类方案及执行人员；进行分类现场紧急抢救方案</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接触者医学观察方案；转运及转运中的救治方案；患者治疗方案</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3</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入院前和医院救治机构确定及处置方案</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4</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信息、药物、器材的储备</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11</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现场保护与现场洗消</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事故现场的保护措施</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明确事故现场洗消工作的负责人和专业队伍</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12</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应急救援保障</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内部保障包括</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a</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确定应急队伍；</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b</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消防设施配置图、工艺流程图、现场平面布置图和周围地区图、气象资料、危险品安全技术说明书、互救信息等存放地点、保管人；</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c</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应急通信系统；</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d</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应急电源、照明；</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e</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应急救援装备、物资、药 品等；</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f</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危险化学品运输车辆的安全、消防设备、器材及人员防护装备；</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g</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保障制度目录</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外部救援包括</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a</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单位互助的方式；</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b</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请求政府协调应急救援力量；</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c</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应急救援信息咨询；</w:t>
                  </w:r>
                  <w:r>
                    <w:rPr>
                      <w:rFonts w:hint="eastAsia" w:ascii="Times New Roman" w:hAnsi="Times New Roman" w:cs="Times New Roman"/>
                      <w:kern w:val="0"/>
                      <w:sz w:val="21"/>
                      <w:szCs w:val="21"/>
                      <w:u w:val="none"/>
                      <w:lang w:eastAsia="zh-CN"/>
                    </w:rPr>
                    <w:t>（</w:t>
                  </w:r>
                  <w:r>
                    <w:rPr>
                      <w:rFonts w:hint="default" w:ascii="Times New Roman" w:hAnsi="Times New Roman" w:eastAsia="Times New Roman" w:cs="Times New Roman"/>
                      <w:kern w:val="0"/>
                      <w:sz w:val="21"/>
                      <w:szCs w:val="21"/>
                      <w:u w:val="none"/>
                    </w:rPr>
                    <w:t>d</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专家信息</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13</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预案分级响应条件</w:t>
                  </w:r>
                </w:p>
              </w:tc>
              <w:tc>
                <w:tcPr>
                  <w:tcW w:w="6031" w:type="dxa"/>
                  <w:tcBorders>
                    <w:tl2br w:val="nil"/>
                    <w:tr2bl w:val="nil"/>
                  </w:tcBorders>
                  <w:vAlign w:val="center"/>
                </w:tcPr>
                <w:p>
                  <w:pPr>
                    <w:snapToGrid/>
                    <w:spacing w:line="240" w:lineRule="exact"/>
                    <w:rPr>
                      <w:rFonts w:hint="eastAsia" w:ascii="Times New Roman" w:hAnsi="Times New Roman" w:cs="Times New Roman" w:eastAsiaTheme="minorEastAsia"/>
                      <w:kern w:val="0"/>
                      <w:sz w:val="21"/>
                      <w:szCs w:val="21"/>
                      <w:u w:val="none"/>
                      <w:lang w:eastAsia="zh-CN"/>
                    </w:rPr>
                  </w:pPr>
                  <w:r>
                    <w:rPr>
                      <w:rFonts w:hint="default" w:ascii="Times New Roman" w:hAnsi="Times New Roman" w:cs="Times New Roman"/>
                      <w:kern w:val="0"/>
                      <w:sz w:val="21"/>
                      <w:szCs w:val="21"/>
                      <w:u w:val="none"/>
                    </w:rPr>
                    <w:t>依据危险品事故类别、危害程度和现场评估结果，设定预案启动条件</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14</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t>事故应急救援终止程序</w:t>
                  </w:r>
                </w:p>
              </w:tc>
              <w:tc>
                <w:tcPr>
                  <w:tcW w:w="6031" w:type="dxa"/>
                  <w:tcBorders>
                    <w:tl2br w:val="nil"/>
                    <w:tr2bl w:val="nil"/>
                  </w:tcBorders>
                  <w:vAlign w:val="center"/>
                </w:tcPr>
                <w:p>
                  <w:pPr>
                    <w:snapToGrid/>
                    <w:spacing w:line="240" w:lineRule="exact"/>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确定事故应急救援工作结束</w:t>
                  </w:r>
                  <w:r>
                    <w:rPr>
                      <w:rFonts w:hint="eastAsia" w:ascii="Times New Roman" w:hAnsi="Times New Roman" w:cs="Times New Roman"/>
                      <w:kern w:val="0"/>
                      <w:sz w:val="21"/>
                      <w:szCs w:val="21"/>
                      <w:u w:val="none"/>
                      <w:lang w:eastAsia="zh-CN"/>
                    </w:rPr>
                    <w:t>。</w:t>
                  </w:r>
                </w:p>
                <w:p>
                  <w:pPr>
                    <w:snapToGrid/>
                    <w:spacing w:line="240" w:lineRule="exact"/>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通知本单位相关部门、周边社区及人员事故危险解除</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15</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应急培训及演练</w:t>
                  </w:r>
                </w:p>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计划</w:t>
                  </w:r>
                </w:p>
              </w:tc>
              <w:tc>
                <w:tcPr>
                  <w:tcW w:w="6031" w:type="dxa"/>
                  <w:tcBorders>
                    <w:tl2br w:val="nil"/>
                    <w:tr2bl w:val="nil"/>
                  </w:tcBorders>
                  <w:vAlign w:val="center"/>
                </w:tcPr>
                <w:p>
                  <w:pPr>
                    <w:snapToGrid/>
                    <w:spacing w:line="240" w:lineRule="exact"/>
                    <w:rPr>
                      <w:rFonts w:hint="eastAsia" w:ascii="Times New Roman" w:hAnsi="Times New Roman" w:cs="Times New Roman" w:eastAsiaTheme="minorEastAsia"/>
                      <w:kern w:val="0"/>
                      <w:sz w:val="21"/>
                      <w:szCs w:val="21"/>
                      <w:u w:val="none"/>
                      <w:lang w:eastAsia="zh-CN"/>
                    </w:rPr>
                  </w:pPr>
                  <w:r>
                    <w:rPr>
                      <w:rFonts w:hint="default" w:ascii="Times New Roman" w:hAnsi="Times New Roman" w:cs="Times New Roman"/>
                      <w:kern w:val="0"/>
                      <w:sz w:val="21"/>
                      <w:szCs w:val="21"/>
                      <w:u w:val="none"/>
                    </w:rPr>
                    <w:t>依据对从业人员能力评估和周边社区人员素质分析结果，确定培训和演练内容</w:t>
                  </w:r>
                  <w:r>
                    <w:rPr>
                      <w:rFonts w:hint="eastAsia" w:ascii="Times New Roman" w:hAnsi="Times New Roman" w:cs="Times New Roman"/>
                      <w:kern w:val="0"/>
                      <w:sz w:val="21"/>
                      <w:szCs w:val="21"/>
                      <w:u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92" w:type="dxa"/>
                  <w:tcBorders>
                    <w:tl2br w:val="nil"/>
                    <w:tr2bl w:val="nil"/>
                  </w:tcBorders>
                  <w:vAlign w:val="center"/>
                </w:tcPr>
                <w:p>
                  <w:pPr>
                    <w:snapToGrid/>
                    <w:spacing w:line="240" w:lineRule="exact"/>
                    <w:jc w:val="center"/>
                    <w:rPr>
                      <w:rFonts w:hint="default" w:ascii="Times New Roman" w:hAnsi="Times New Roman" w:eastAsia="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16</w:t>
                  </w:r>
                </w:p>
              </w:tc>
              <w:tc>
                <w:tcPr>
                  <w:tcW w:w="1933" w:type="dxa"/>
                  <w:tcBorders>
                    <w:tl2br w:val="nil"/>
                    <w:tr2bl w:val="nil"/>
                  </w:tcBorders>
                  <w:vAlign w:val="center"/>
                </w:tcPr>
                <w:p>
                  <w:pPr>
                    <w:snapToGrid/>
                    <w:spacing w:line="240" w:lineRule="exact"/>
                    <w:jc w:val="center"/>
                    <w:rPr>
                      <w:rFonts w:hint="default" w:ascii="Times New Roman" w:hAnsi="Times New Roman" w:cs="Times New Roman"/>
                      <w:kern w:val="0"/>
                      <w:sz w:val="21"/>
                      <w:szCs w:val="21"/>
                      <w:u w:val="none"/>
                      <w:lang w:eastAsia="en-US"/>
                    </w:rPr>
                  </w:pPr>
                  <w:r>
                    <w:rPr>
                      <w:rFonts w:hint="default" w:ascii="Times New Roman" w:hAnsi="Times New Roman" w:cs="Times New Roman"/>
                      <w:kern w:val="0"/>
                      <w:sz w:val="21"/>
                      <w:szCs w:val="21"/>
                      <w:u w:val="none"/>
                      <w:lang w:eastAsia="en-US"/>
                    </w:rPr>
                    <w:t>附件</w:t>
                  </w:r>
                </w:p>
              </w:tc>
              <w:tc>
                <w:tcPr>
                  <w:tcW w:w="6031" w:type="dxa"/>
                  <w:tcBorders>
                    <w:tl2br w:val="nil"/>
                    <w:tr2bl w:val="nil"/>
                  </w:tcBorders>
                  <w:vAlign w:val="center"/>
                </w:tcPr>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1</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组织机构名单</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2</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值班联系、组织应急救援有关人员、危险品生产单位应急咨询服务、外部救援单位、供水和供电单位、周边区域单位和社区、政府有关部门联系电话</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3</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单位平面布置图、消防设施配置图、周边区域道路交通示意图和疏散路线、交通管制示意图、周边区域的单位、社区、重要基础设施分布图</w:t>
                  </w:r>
                  <w:r>
                    <w:rPr>
                      <w:rFonts w:hint="eastAsia" w:ascii="Times New Roman" w:hAnsi="Times New Roman" w:cs="Times New Roman"/>
                      <w:kern w:val="0"/>
                      <w:sz w:val="21"/>
                      <w:szCs w:val="21"/>
                      <w:u w:val="none"/>
                      <w:lang w:eastAsia="zh-CN"/>
                    </w:rPr>
                    <w:t>。</w:t>
                  </w:r>
                </w:p>
                <w:p>
                  <w:pPr>
                    <w:snapToGrid/>
                    <w:spacing w:line="240" w:lineRule="exact"/>
                    <w:jc w:val="both"/>
                    <w:rPr>
                      <w:rFonts w:hint="eastAsia" w:ascii="Times New Roman" w:hAnsi="Times New Roman" w:cs="Times New Roman" w:eastAsiaTheme="minorEastAsia"/>
                      <w:kern w:val="0"/>
                      <w:sz w:val="21"/>
                      <w:szCs w:val="21"/>
                      <w:u w:val="none"/>
                      <w:lang w:val="en-US" w:eastAsia="zh-CN"/>
                    </w:rPr>
                  </w:pPr>
                  <w:r>
                    <w:rPr>
                      <w:rFonts w:hint="eastAsia" w:ascii="Times New Roman" w:hAnsi="Times New Roman" w:cs="Times New Roman"/>
                      <w:kern w:val="0"/>
                      <w:sz w:val="21"/>
                      <w:szCs w:val="21"/>
                      <w:u w:val="none"/>
                      <w:lang w:eastAsia="zh-CN"/>
                    </w:rPr>
                    <w:t>（</w:t>
                  </w:r>
                  <w:r>
                    <w:rPr>
                      <w:rFonts w:hint="eastAsia" w:ascii="Times New Roman" w:hAnsi="Times New Roman" w:cs="Times New Roman"/>
                      <w:kern w:val="0"/>
                      <w:sz w:val="21"/>
                      <w:szCs w:val="21"/>
                      <w:u w:val="none"/>
                      <w:lang w:val="en-US" w:eastAsia="zh-CN"/>
                    </w:rPr>
                    <w:t>4</w:t>
                  </w:r>
                  <w:r>
                    <w:rPr>
                      <w:rFonts w:hint="eastAsia" w:ascii="Times New Roman" w:hAnsi="Times New Roman" w:cs="Times New Roman"/>
                      <w:kern w:val="0"/>
                      <w:sz w:val="21"/>
                      <w:szCs w:val="21"/>
                      <w:u w:val="none"/>
                      <w:lang w:eastAsia="zh-CN"/>
                    </w:rPr>
                    <w:t>）</w:t>
                  </w:r>
                  <w:r>
                    <w:rPr>
                      <w:rFonts w:hint="default" w:ascii="Times New Roman" w:hAnsi="Times New Roman" w:cs="Times New Roman"/>
                      <w:kern w:val="0"/>
                      <w:sz w:val="21"/>
                      <w:szCs w:val="21"/>
                      <w:u w:val="none"/>
                    </w:rPr>
                    <w:t>标准化格式文本、应急物资储备清单</w:t>
                  </w:r>
                  <w:r>
                    <w:rPr>
                      <w:rFonts w:hint="eastAsia" w:ascii="Times New Roman" w:hAnsi="Times New Roman" w:cs="Times New Roman"/>
                      <w:kern w:val="0"/>
                      <w:sz w:val="21"/>
                      <w:szCs w:val="21"/>
                      <w:u w:val="none"/>
                      <w:lang w:eastAsia="zh-CN"/>
                    </w:rPr>
                    <w:t>。</w:t>
                  </w:r>
                </w:p>
              </w:tc>
            </w:tr>
          </w:tbl>
          <w:p>
            <w:pPr>
              <w:spacing w:line="360" w:lineRule="auto"/>
              <w:ind w:firstLine="482" w:firstLineChars="200"/>
              <w:outlineLvl w:val="1"/>
              <w:rPr>
                <w:rFonts w:hint="default" w:ascii="Times New Roman" w:hAnsi="Times New Roman" w:cs="Times New Roman"/>
                <w:sz w:val="24"/>
                <w:szCs w:val="22"/>
                <w:lang w:val="en-US" w:eastAsia="zh-CN"/>
              </w:rPr>
            </w:pPr>
            <w:r>
              <w:rPr>
                <w:rFonts w:hint="eastAsia"/>
                <w:b/>
                <w:bCs/>
                <w:sz w:val="24"/>
                <w:u w:val="none"/>
                <w:lang w:val="en-US" w:eastAsia="zh-CN"/>
              </w:rPr>
              <w:t>九、</w:t>
            </w:r>
            <w:r>
              <w:rPr>
                <w:rFonts w:hint="default"/>
                <w:b/>
                <w:bCs/>
                <w:sz w:val="24"/>
                <w:u w:val="none"/>
                <w:lang w:val="en-US" w:eastAsia="zh-CN"/>
              </w:rPr>
              <w:t>风险结论</w:t>
            </w:r>
            <w:bookmarkEnd w:id="67"/>
            <w:r>
              <w:rPr>
                <w:rFonts w:hint="default"/>
                <w:b/>
                <w:bCs/>
                <w:sz w:val="24"/>
                <w:u w:val="none"/>
                <w:lang w:val="en-US" w:eastAsia="zh-CN"/>
              </w:rPr>
              <w:t xml:space="preserve"> </w:t>
            </w:r>
          </w:p>
          <w:p>
            <w:pPr>
              <w:spacing w:line="360" w:lineRule="auto"/>
              <w:ind w:firstLine="482"/>
              <w:contextualSpacing/>
              <w:rPr>
                <w:rFonts w:hint="default"/>
                <w:b w:val="0"/>
                <w:bCs w:val="0"/>
                <w:sz w:val="24"/>
                <w:u w:val="none"/>
                <w:lang w:val="en-US" w:eastAsia="zh-CN"/>
              </w:rPr>
            </w:pPr>
            <w:r>
              <w:rPr>
                <w:rFonts w:hint="default"/>
                <w:b w:val="0"/>
                <w:bCs w:val="0"/>
                <w:sz w:val="24"/>
                <w:u w:val="none"/>
                <w:lang w:val="en-US" w:eastAsia="zh-CN"/>
              </w:rPr>
              <w:t>本项目风险事故主要为</w:t>
            </w:r>
            <w:r>
              <w:rPr>
                <w:rFonts w:hint="eastAsia"/>
                <w:b w:val="0"/>
                <w:bCs w:val="0"/>
                <w:sz w:val="24"/>
                <w:u w:val="none"/>
                <w:lang w:val="en-US" w:eastAsia="zh-CN"/>
              </w:rPr>
              <w:t>天然气</w:t>
            </w:r>
            <w:r>
              <w:rPr>
                <w:rFonts w:hint="default"/>
                <w:b w:val="0"/>
                <w:bCs w:val="0"/>
                <w:sz w:val="24"/>
                <w:u w:val="none"/>
                <w:lang w:val="en-US" w:eastAsia="zh-CN"/>
              </w:rPr>
              <w:t>在生产过程中发生的火灾、爆炸、</w:t>
            </w:r>
            <w:r>
              <w:rPr>
                <w:rFonts w:hint="eastAsia"/>
                <w:b w:val="0"/>
                <w:bCs w:val="0"/>
                <w:sz w:val="24"/>
                <w:u w:val="none"/>
                <w:lang w:val="en-US" w:eastAsia="zh-CN"/>
              </w:rPr>
              <w:t>人员伤害</w:t>
            </w:r>
            <w:r>
              <w:rPr>
                <w:rFonts w:hint="default"/>
                <w:b w:val="0"/>
                <w:bCs w:val="0"/>
                <w:sz w:val="24"/>
                <w:u w:val="none"/>
                <w:lang w:val="en-US" w:eastAsia="zh-CN"/>
              </w:rPr>
              <w:t>事故，对人身安全和环境造成一定的影响。</w:t>
            </w:r>
          </w:p>
          <w:p>
            <w:pPr>
              <w:spacing w:line="360" w:lineRule="auto"/>
              <w:ind w:firstLine="482"/>
              <w:contextualSpacing/>
              <w:rPr>
                <w:rFonts w:hint="eastAsia"/>
                <w:b w:val="0"/>
                <w:bCs w:val="0"/>
                <w:sz w:val="24"/>
                <w:u w:val="none"/>
                <w:lang w:val="en-US" w:eastAsia="zh-CN"/>
              </w:rPr>
            </w:pPr>
            <w:r>
              <w:rPr>
                <w:rFonts w:hint="eastAsia"/>
                <w:b w:val="0"/>
                <w:bCs w:val="0"/>
                <w:sz w:val="24"/>
                <w:u w:val="none"/>
                <w:lang w:val="en-US" w:eastAsia="zh-CN"/>
              </w:rPr>
              <w:t>本项目环境风险简单分析内容见下表：</w:t>
            </w:r>
          </w:p>
          <w:p>
            <w:pPr>
              <w:spacing w:line="360" w:lineRule="auto"/>
              <w:jc w:val="center"/>
              <w:rPr>
                <w:rFonts w:hint="default" w:ascii="Times New Roman" w:hAnsi="Times New Roman" w:cs="Times New Roman"/>
                <w:b/>
                <w:bCs/>
                <w:kern w:val="2"/>
                <w:sz w:val="21"/>
                <w:szCs w:val="21"/>
                <w:lang w:val="en-US" w:eastAsia="zh-CN" w:bidi="ar-SA"/>
              </w:rPr>
            </w:pPr>
            <w:r>
              <w:rPr>
                <w:rFonts w:hint="default" w:ascii="Times New Roman" w:hAnsi="Times New Roman" w:cs="Times New Roman"/>
                <w:b/>
                <w:bCs/>
                <w:kern w:val="2"/>
                <w:sz w:val="21"/>
                <w:szCs w:val="21"/>
                <w:lang w:val="en-US" w:eastAsia="zh-CN" w:bidi="ar-SA"/>
              </w:rPr>
              <w:t>表</w:t>
            </w:r>
            <w:r>
              <w:rPr>
                <w:rFonts w:hint="eastAsia" w:cs="Times New Roman"/>
                <w:b/>
                <w:bCs/>
                <w:kern w:val="2"/>
                <w:sz w:val="21"/>
                <w:szCs w:val="21"/>
                <w:lang w:val="en-US" w:eastAsia="zh-CN" w:bidi="ar-SA"/>
              </w:rPr>
              <w:t>9</w:t>
            </w:r>
            <w:r>
              <w:rPr>
                <w:rFonts w:hint="eastAsia" w:ascii="Times New Roman" w:hAnsi="Times New Roman" w:cs="Times New Roman"/>
                <w:b/>
                <w:bCs/>
                <w:kern w:val="2"/>
                <w:sz w:val="21"/>
                <w:szCs w:val="21"/>
                <w:lang w:val="en-US" w:eastAsia="zh-CN" w:bidi="ar-SA"/>
              </w:rPr>
              <w:t xml:space="preserve">-9  </w:t>
            </w:r>
            <w:r>
              <w:rPr>
                <w:rFonts w:hint="default" w:ascii="Times New Roman" w:hAnsi="Times New Roman" w:cs="Times New Roman"/>
                <w:b/>
                <w:bCs/>
                <w:kern w:val="2"/>
                <w:sz w:val="21"/>
                <w:szCs w:val="21"/>
                <w:lang w:val="en-US" w:eastAsia="zh-CN" w:bidi="ar-SA"/>
              </w:rPr>
              <w:t>本项目环境风险简单分析内容表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18"/>
              <w:gridCol w:w="1264"/>
              <w:gridCol w:w="1205"/>
              <w:gridCol w:w="801"/>
              <w:gridCol w:w="1214"/>
              <w:gridCol w:w="21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6" w:type="dxa"/>
                  <w:tcBorders>
                    <w:tl2br w:val="nil"/>
                    <w:tr2bl w:val="nil"/>
                  </w:tcBorders>
                  <w:vAlign w:val="center"/>
                </w:tcPr>
                <w:p>
                  <w:pPr>
                    <w:pStyle w:val="65"/>
                    <w:spacing w:line="262" w:lineRule="exact"/>
                    <w:ind w:right="0" w:rightChars="0"/>
                    <w:jc w:val="center"/>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建设项目</w:t>
                  </w:r>
                </w:p>
              </w:tc>
              <w:tc>
                <w:tcPr>
                  <w:tcW w:w="6685" w:type="dxa"/>
                  <w:gridSpan w:val="5"/>
                  <w:tcBorders>
                    <w:tl2br w:val="nil"/>
                    <w:tr2bl w:val="nil"/>
                  </w:tcBorders>
                  <w:vAlign w:val="center"/>
                </w:tcPr>
                <w:p>
                  <w:pPr>
                    <w:pStyle w:val="65"/>
                    <w:spacing w:line="262" w:lineRule="exact"/>
                    <w:ind w:right="0" w:rightChars="0"/>
                    <w:jc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常德市汇海饲料有限公司年产23万吨环保型配合饲料项目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2046"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建设地点</w:t>
                  </w:r>
                </w:p>
              </w:tc>
              <w:tc>
                <w:tcPr>
                  <w:tcW w:w="12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湖南</w:t>
                  </w:r>
                  <w:r>
                    <w:rPr>
                      <w:rFonts w:hint="default" w:ascii="Times New Roman" w:hAnsi="Times New Roman" w:cs="Times New Roman"/>
                      <w:vertAlign w:val="baseline"/>
                      <w:lang w:val="en-US" w:eastAsia="zh-CN"/>
                    </w:rPr>
                    <w:t>）省</w:t>
                  </w:r>
                </w:p>
              </w:tc>
              <w:tc>
                <w:tcPr>
                  <w:tcW w:w="122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常德</w:t>
                  </w:r>
                  <w:r>
                    <w:rPr>
                      <w:rFonts w:hint="default" w:ascii="Times New Roman" w:hAnsi="Times New Roman" w:cs="Times New Roman"/>
                      <w:vertAlign w:val="baseline"/>
                      <w:lang w:val="en-US" w:eastAsia="zh-CN"/>
                    </w:rPr>
                    <w:t>）市</w:t>
                  </w:r>
                </w:p>
              </w:tc>
              <w:tc>
                <w:tcPr>
                  <w:tcW w:w="81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（/）区</w:t>
                  </w:r>
                </w:p>
              </w:tc>
              <w:tc>
                <w:tcPr>
                  <w:tcW w:w="123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津市市</w:t>
                  </w:r>
                  <w:r>
                    <w:rPr>
                      <w:rFonts w:hint="default" w:ascii="Times New Roman" w:hAnsi="Times New Roman" w:cs="Times New Roman"/>
                      <w:vertAlign w:val="baseline"/>
                      <w:lang w:val="en-US" w:eastAsia="zh-CN"/>
                    </w:rPr>
                    <w:t>）县</w:t>
                  </w:r>
                </w:p>
              </w:tc>
              <w:tc>
                <w:tcPr>
                  <w:tcW w:w="214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津市高新区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6"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地理坐标</w:t>
                  </w:r>
                </w:p>
              </w:tc>
              <w:tc>
                <w:tcPr>
                  <w:tcW w:w="128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经度</w:t>
                  </w:r>
                </w:p>
              </w:tc>
              <w:tc>
                <w:tcPr>
                  <w:tcW w:w="2030" w:type="dxa"/>
                  <w:gridSpan w:val="2"/>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111.857158E</w:t>
                  </w:r>
                </w:p>
              </w:tc>
              <w:tc>
                <w:tcPr>
                  <w:tcW w:w="1230"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纬度</w:t>
                  </w:r>
                </w:p>
              </w:tc>
              <w:tc>
                <w:tcPr>
                  <w:tcW w:w="2145"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29.569122N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6"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主要危险物质及分布</w:t>
                  </w:r>
                </w:p>
              </w:tc>
              <w:tc>
                <w:tcPr>
                  <w:tcW w:w="6685" w:type="dxa"/>
                  <w:gridSpan w:val="5"/>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eastAsia" w:ascii="Times New Roman" w:hAnsi="Times New Roman" w:cs="Times New Roman"/>
                      <w:sz w:val="21"/>
                      <w:szCs w:val="21"/>
                      <w:lang w:eastAsia="zh-CN"/>
                    </w:rPr>
                    <w:t>废机油、</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r>
                    <w:rPr>
                      <w:rFonts w:hint="default" w:ascii="Times New Roman" w:hAnsi="Times New Roman" w:cs="Times New Roman"/>
                      <w:vertAlign w:val="baseline"/>
                      <w:lang w:val="en-US" w:eastAsia="zh-CN"/>
                    </w:rPr>
                    <w:t>，主要分布于</w:t>
                  </w:r>
                  <w:r>
                    <w:rPr>
                      <w:rFonts w:hint="eastAsia" w:ascii="Times New Roman" w:hAnsi="Times New Roman" w:cs="Times New Roman"/>
                      <w:vertAlign w:val="baseline"/>
                      <w:lang w:val="en-US" w:eastAsia="zh-CN"/>
                    </w:rPr>
                    <w:t>危险废物暂存间、</w:t>
                  </w:r>
                  <w:r>
                    <w:rPr>
                      <w:rFonts w:hint="eastAsia" w:cs="Times New Roman"/>
                      <w:vertAlign w:val="baseline"/>
                      <w:lang w:val="en-US" w:eastAsia="zh-CN"/>
                    </w:rPr>
                    <w:t>2</w:t>
                  </w:r>
                  <w:r>
                    <w:rPr>
                      <w:rFonts w:hint="eastAsia" w:ascii="Times New Roman" w:hAnsi="Times New Roman" w:cs="Times New Roman"/>
                      <w:vertAlign w:val="baseline"/>
                      <w:lang w:val="en-US" w:eastAsia="zh-CN"/>
                    </w:rPr>
                    <w:t>#车间</w:t>
                  </w:r>
                  <w:r>
                    <w:rPr>
                      <w:rFonts w:hint="default" w:ascii="Times New Roman" w:hAnsi="Times New Roman" w:cs="Times New Roman"/>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6"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环境影响途径及危害后果</w:t>
                  </w:r>
                  <w:r>
                    <w:rPr>
                      <w:rFonts w:hint="eastAsia" w:ascii="Times New Roman" w:hAnsi="Times New Roman" w:cs="Times New Roman"/>
                      <w:vertAlign w:val="baseline"/>
                      <w:lang w:val="en-US" w:eastAsia="zh-CN"/>
                    </w:rPr>
                    <w:t>（</w:t>
                  </w:r>
                  <w:r>
                    <w:rPr>
                      <w:rFonts w:hint="default" w:ascii="Times New Roman" w:hAnsi="Times New Roman" w:cs="Times New Roman"/>
                      <w:vertAlign w:val="baseline"/>
                      <w:lang w:val="en-US" w:eastAsia="zh-CN"/>
                    </w:rPr>
                    <w:t>大气、地表水、地下水等</w:t>
                  </w:r>
                  <w:r>
                    <w:rPr>
                      <w:rFonts w:hint="eastAsia" w:ascii="Times New Roman" w:hAnsi="Times New Roman" w:cs="Times New Roman"/>
                      <w:vertAlign w:val="baseline"/>
                      <w:lang w:val="en-US" w:eastAsia="zh-CN"/>
                    </w:rPr>
                    <w:t>）</w:t>
                  </w:r>
                </w:p>
              </w:tc>
              <w:tc>
                <w:tcPr>
                  <w:tcW w:w="6685" w:type="dxa"/>
                  <w:gridSpan w:val="5"/>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具体见―风险识别内容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6" w:type="dxa"/>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风险防范措施要求</w:t>
                  </w:r>
                </w:p>
              </w:tc>
              <w:tc>
                <w:tcPr>
                  <w:tcW w:w="6685" w:type="dxa"/>
                  <w:gridSpan w:val="5"/>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具体见表</w:t>
                  </w:r>
                  <w:r>
                    <w:rPr>
                      <w:rFonts w:hint="eastAsia" w:cs="Times New Roman"/>
                      <w:vertAlign w:val="baseline"/>
                      <w:lang w:val="en-US" w:eastAsia="zh-CN"/>
                    </w:rPr>
                    <w:t>9</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31" w:type="dxa"/>
                  <w:gridSpan w:val="6"/>
                  <w:tcBorders>
                    <w:tl2br w:val="nil"/>
                    <w:tr2bl w:val="nil"/>
                  </w:tcBorders>
                  <w:vAlign w:val="center"/>
                </w:tcPr>
                <w:p>
                  <w:pPr>
                    <w:pStyle w:val="65"/>
                    <w:spacing w:line="262" w:lineRule="exact"/>
                    <w:ind w:right="0" w:rightChars="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填表说明（列出项目相关信息及评价说明）</w:t>
                  </w:r>
                </w:p>
              </w:tc>
            </w:tr>
          </w:tbl>
          <w:p>
            <w:pPr>
              <w:spacing w:line="360" w:lineRule="auto"/>
              <w:ind w:firstLine="482"/>
              <w:contextualSpacing/>
            </w:pPr>
            <w:r>
              <w:rPr>
                <w:rFonts w:hint="default"/>
                <w:b w:val="0"/>
                <w:bCs w:val="0"/>
                <w:sz w:val="24"/>
                <w:u w:val="none"/>
                <w:lang w:val="en-US" w:eastAsia="zh-CN"/>
              </w:rPr>
              <w:t>本项目通过制定风险防范措施，制定安全生产规范，通过加强员工的安全、环保知识和风险事故安全教育，提高职工的风险意识，掌握本职工作所需要的安全知识和技能，严格遵守安全规章制度和操作规程，了解其作业场所和工作存在的危险有害因素以及企业所采取的防范措施和环境突发事故应急措施，以减少风险发生的概率。因此，本项目通过落实上述风险防范措施，</w:t>
            </w:r>
            <w:r>
              <w:rPr>
                <w:rFonts w:hint="eastAsia"/>
                <w:b w:val="0"/>
                <w:bCs w:val="0"/>
                <w:sz w:val="24"/>
                <w:u w:val="none"/>
                <w:lang w:val="en-US" w:eastAsia="zh-CN"/>
              </w:rPr>
              <w:t>环境风险</w:t>
            </w:r>
            <w:r>
              <w:rPr>
                <w:rFonts w:hint="default"/>
                <w:b w:val="0"/>
                <w:bCs w:val="0"/>
                <w:sz w:val="24"/>
                <w:u w:val="none"/>
                <w:lang w:val="en-US" w:eastAsia="zh-CN"/>
              </w:rPr>
              <w:t>事故发生概率可进一步降低，其影响可以进一步减轻，环境风险是可以承受的。</w:t>
            </w:r>
          </w:p>
          <w:p/>
          <w:p>
            <w:pPr>
              <w:widowControl/>
              <w:adjustRightInd w:val="0"/>
              <w:snapToGrid w:val="0"/>
              <w:spacing w:line="360" w:lineRule="auto"/>
              <w:jc w:val="left"/>
            </w:pPr>
          </w:p>
        </w:tc>
      </w:tr>
    </w:tbl>
    <w:p>
      <w:pPr>
        <w:spacing w:line="440" w:lineRule="exact"/>
        <w:outlineLvl w:val="0"/>
        <w:rPr>
          <w:b/>
          <w:sz w:val="32"/>
          <w:szCs w:val="32"/>
        </w:rPr>
      </w:pPr>
      <w:r>
        <w:rPr>
          <w:rFonts w:hint="eastAsia"/>
          <w:b/>
          <w:sz w:val="32"/>
          <w:szCs w:val="32"/>
          <w:lang w:val="en-US" w:eastAsia="zh-CN"/>
        </w:rPr>
        <w:t>10项目可行性分析</w:t>
      </w:r>
      <w:bookmarkEnd w:id="48"/>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spacing w:before="0" w:after="0" w:line="360" w:lineRule="auto"/>
              <w:ind w:firstLine="482" w:firstLineChars="200"/>
              <w:jc w:val="left"/>
              <w:outlineLvl w:val="9"/>
              <w:rPr>
                <w:rFonts w:hint="eastAsia" w:cs="Times New Roman"/>
                <w:b/>
                <w:bCs/>
                <w:color w:val="000000"/>
                <w:sz w:val="24"/>
                <w:lang w:val="en-US" w:eastAsia="zh-CN"/>
              </w:rPr>
            </w:pPr>
            <w:bookmarkStart w:id="68" w:name="_Toc531688893"/>
            <w:r>
              <w:rPr>
                <w:rFonts w:hint="eastAsia" w:cs="Times New Roman"/>
                <w:b/>
                <w:bCs/>
                <w:color w:val="000000"/>
                <w:sz w:val="24"/>
                <w:lang w:val="en-US" w:eastAsia="zh-CN"/>
              </w:rPr>
              <w:t>一、产业政策符合性分析</w:t>
            </w:r>
          </w:p>
          <w:p>
            <w:pPr>
              <w:pStyle w:val="7"/>
              <w:spacing w:line="360" w:lineRule="auto"/>
              <w:ind w:firstLine="480" w:firstLineChars="200"/>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根据《产业结构调整指导目录（2019年本）》，本项目不属于《产业结构调整指导目录（2019年本）》中鼓励类、限制类和淘汰类，为允许类建设项目，符合国家产业政策。</w:t>
            </w:r>
            <w:bookmarkEnd w:id="68"/>
            <w:bookmarkStart w:id="69" w:name="_Toc15109"/>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imes New Roman" w:hAnsi="Times New Roman" w:cs="Times New Roman"/>
                <w:b w:val="0"/>
                <w:bCs/>
                <w:sz w:val="24"/>
                <w:szCs w:val="24"/>
                <w:vertAlign w:val="baseline"/>
                <w:lang w:val="en-US" w:eastAsia="zh-CN"/>
              </w:rPr>
            </w:pPr>
            <w:r>
              <w:rPr>
                <w:rFonts w:hint="eastAsia" w:cs="Times New Roman"/>
                <w:b/>
                <w:bCs/>
                <w:color w:val="000000"/>
                <w:sz w:val="24"/>
                <w:lang w:val="en-US" w:eastAsia="zh-CN"/>
              </w:rPr>
              <w:t>二、与《湖南省环境保护条例》符合性分析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cs="Times New Roman"/>
                <w:b w:val="0"/>
                <w:bCs/>
                <w:sz w:val="24"/>
                <w:szCs w:val="24"/>
                <w:vertAlign w:val="baseline"/>
                <w:lang w:val="en-US" w:eastAsia="zh-CN"/>
              </w:rPr>
            </w:pPr>
            <w:r>
              <w:rPr>
                <w:rFonts w:hint="eastAsia" w:ascii="Times New Roman" w:hAnsi="Times New Roman" w:cs="Times New Roman"/>
                <w:b w:val="0"/>
                <w:bCs/>
                <w:sz w:val="24"/>
                <w:szCs w:val="24"/>
                <w:vertAlign w:val="baseline"/>
                <w:lang w:val="en-US" w:eastAsia="zh-CN"/>
              </w:rPr>
              <w:t>根据《湖南省环境保护条例》第二十二条相关规定：县级以上人民政府及其有关部门、园区管理机构，应当依法规划和建设园区污水处理设施及其配套管网、固体废物收集处置设施以及其他环境基础设施，建立环境基础设施运行、维护制度，保障设施正常运行；引导和规范危险废物综合利用和安全处置。除在安全或者产业布局等方面有特殊要求的以外，新建有污染物排放的工业项目，应当按照规定进入工业园区或者工业集聚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cs="Times New Roman"/>
                <w:b w:val="0"/>
                <w:bCs/>
                <w:sz w:val="24"/>
                <w:szCs w:val="24"/>
                <w:vertAlign w:val="baseline"/>
                <w:lang w:val="en-US" w:eastAsia="zh-CN"/>
              </w:rPr>
            </w:pPr>
            <w:r>
              <w:rPr>
                <w:rFonts w:hint="eastAsia" w:ascii="Times New Roman" w:hAnsi="Times New Roman" w:cs="Times New Roman"/>
                <w:b w:val="0"/>
                <w:bCs/>
                <w:sz w:val="24"/>
                <w:szCs w:val="24"/>
                <w:vertAlign w:val="baseline"/>
                <w:lang w:val="en-US" w:eastAsia="zh-CN"/>
              </w:rPr>
              <w:t>本项目位于津市高新区，且园区已配套建设污水处理厂及污水收集管网，建设单位在运营期将采取废气、废水、噪声及固废处置措施，根据上述规定，本项目选址位于工业集中区，符合相关规定。</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imes New Roman" w:hAnsi="Times New Roman" w:cs="Times New Roman"/>
                <w:b w:val="0"/>
                <w:bCs/>
                <w:sz w:val="24"/>
                <w:szCs w:val="24"/>
                <w:vertAlign w:val="baseline"/>
                <w:lang w:val="en-US" w:eastAsia="zh-CN"/>
              </w:rPr>
            </w:pPr>
            <w:r>
              <w:rPr>
                <w:rFonts w:hint="eastAsia" w:cs="Times New Roman"/>
                <w:b/>
                <w:bCs w:val="0"/>
                <w:sz w:val="24"/>
                <w:szCs w:val="24"/>
                <w:vertAlign w:val="baseline"/>
                <w:lang w:val="en-US" w:eastAsia="zh-CN"/>
              </w:rPr>
              <w:t>三、</w:t>
            </w:r>
            <w:r>
              <w:rPr>
                <w:rFonts w:hint="eastAsia" w:ascii="Times New Roman" w:hAnsi="Times New Roman" w:cs="Times New Roman"/>
                <w:b/>
                <w:bCs w:val="0"/>
                <w:sz w:val="24"/>
                <w:szCs w:val="24"/>
                <w:vertAlign w:val="baseline"/>
                <w:lang w:val="en-US" w:eastAsia="zh-CN"/>
              </w:rPr>
              <w:t>与《湖南省人民政府办公厅关于加快推进产业园区改革和创新发展的实施意见》符合性分析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cs="Times New Roman"/>
                <w:b w:val="0"/>
                <w:bCs/>
                <w:sz w:val="24"/>
                <w:szCs w:val="24"/>
                <w:vertAlign w:val="baseline"/>
                <w:lang w:val="en-US" w:eastAsia="zh-CN"/>
              </w:rPr>
            </w:pPr>
            <w:r>
              <w:rPr>
                <w:rFonts w:hint="eastAsia" w:ascii="Times New Roman" w:hAnsi="Times New Roman" w:cs="Times New Roman"/>
                <w:b w:val="0"/>
                <w:bCs/>
                <w:sz w:val="24"/>
                <w:szCs w:val="24"/>
                <w:vertAlign w:val="baseline"/>
                <w:lang w:val="en-US" w:eastAsia="zh-CN"/>
              </w:rPr>
              <w:t>根据《湖南省人民政府办公厅关于加快推进产业园区改革和创新发展的实施意见》中三、提升要素保障水平—（一）优化园区土地利用：引导工业项目向园区集聚，除矿产资源、能源开发等对选址有特殊要求的项目外，新上工业项目必须安排在当地省级及以上园区，严禁擅自改变土地用途和工业用地变相用于商业性房地产开发。鼓励园区外的工业项目通过土地置换等方式搬迁入园。本项目选址位于津市高新区，该园区属于省级工业园区，根据上述规定，本项目符合《湖南省人民政府办公厅关于加快推进产业园区改革和创新发展的实施意见》相关要求。</w:t>
            </w:r>
          </w:p>
          <w:bookmarkEnd w:id="69"/>
          <w:p>
            <w:pPr>
              <w:pStyle w:val="10"/>
              <w:spacing w:line="360" w:lineRule="auto"/>
              <w:ind w:firstLine="482" w:firstLineChars="200"/>
              <w:rPr>
                <w:rFonts w:hint="default" w:ascii="Times New Roman" w:hAnsi="Times New Roman" w:cs="Times New Roman"/>
                <w:sz w:val="24"/>
                <w:szCs w:val="24"/>
              </w:rPr>
            </w:pPr>
            <w:r>
              <w:rPr>
                <w:rFonts w:hint="eastAsia" w:ascii="Times New Roman" w:hAnsi="Times New Roman" w:cs="Times New Roman"/>
                <w:b/>
                <w:bCs/>
                <w:sz w:val="24"/>
                <w:szCs w:val="24"/>
                <w:lang w:eastAsia="zh-CN"/>
              </w:rPr>
              <w:t>四、</w:t>
            </w:r>
            <w:r>
              <w:rPr>
                <w:rFonts w:hint="default" w:ascii="Times New Roman" w:hAnsi="Times New Roman" w:cs="Times New Roman"/>
                <w:b/>
                <w:bCs/>
                <w:sz w:val="24"/>
                <w:szCs w:val="24"/>
              </w:rPr>
              <w:t>与津市高新技术产业开发区规划环评符合性分析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津市高新技术产业开发区是经湖南省人民政府批准设立的省级工业集中区，位于津市市区南面，东至澧水河畔，南至胥家湖，西至二广高速接线即团湖大道两厢，北至津市市区南面。跨金鱼岭、荷花、团湖、明道、杉堰5个行政村和居委会，原规划控制总用地约6.4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，2017年扩区至10.8843km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pStyle w:val="1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津市高新区规划产业定位：</w:t>
            </w:r>
            <w:r>
              <w:rPr>
                <w:rFonts w:hint="default" w:ascii="Times New Roman" w:hAnsi="Times New Roman" w:cs="Times New Roman"/>
                <w:sz w:val="24"/>
                <w:szCs w:val="24"/>
              </w:rPr>
              <w:t>通过对津市的区域背景、城区建设工业园的各种条件以及相关工业类型的分析，综合考虑开发区在城市中的地位，将其产业发展定位为：开发区应以规模生产企业为主，重点发展汽车配件、建材工业和食品医药三大产业，适当发展盐化工和物流等配套产业。</w:t>
            </w:r>
          </w:p>
          <w:p>
            <w:pPr>
              <w:pStyle w:val="1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津市高新区调扩区规划产业定位：</w:t>
            </w:r>
            <w:r>
              <w:rPr>
                <w:rFonts w:hint="default" w:ascii="Times New Roman" w:hAnsi="Times New Roman" w:cs="Times New Roman"/>
                <w:sz w:val="24"/>
                <w:szCs w:val="24"/>
              </w:rPr>
              <w:t>调扩区用地位于现有高新区南侧，澧水以西，胥家湖北侧地域。调扩区范围规划以生物医药、装备制造为主导产业，适当发展食品加工、精细化工、建材和物流等配套产业。</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属于饲料生产项目，不属于津市高新区及调扩区规划的重点发展产业、主导产业及适当发展产业，根据《津市经济开发区环境影响报告书的批复》及《津市高新技术产业开发区调扩区规划环评审查意见》相关规定，开发区不得引进国家明令淘汰和禁止发展的高能耗、高物耗、污染重、不符合产业政策的建设项目，禁止排放废水、废气涉及重金属的企业和项目入园，禁止引进使用和生产高毒性原料和产品的项目，本项目不属于上述禁止类项目，因此本项目可入园区。</w:t>
            </w:r>
          </w:p>
          <w:p>
            <w:pPr>
              <w:pStyle w:val="10"/>
              <w:spacing w:line="360" w:lineRule="auto"/>
              <w:ind w:firstLine="482" w:firstLineChars="200"/>
              <w:rPr>
                <w:rFonts w:hint="default" w:ascii="Times New Roman" w:hAnsi="Times New Roman" w:cs="Times New Roman"/>
                <w:sz w:val="24"/>
                <w:szCs w:val="24"/>
              </w:rPr>
            </w:pPr>
            <w:r>
              <w:rPr>
                <w:rFonts w:hint="eastAsia" w:ascii="Times New Roman" w:hAnsi="Times New Roman" w:cs="Times New Roman"/>
                <w:b/>
                <w:bCs/>
                <w:sz w:val="24"/>
                <w:szCs w:val="24"/>
                <w:lang w:eastAsia="zh-CN"/>
              </w:rPr>
              <w:t>五、</w:t>
            </w:r>
            <w:r>
              <w:rPr>
                <w:rFonts w:hint="default" w:ascii="Times New Roman" w:hAnsi="Times New Roman" w:cs="Times New Roman"/>
                <w:b/>
                <w:bCs/>
                <w:sz w:val="24"/>
                <w:szCs w:val="24"/>
              </w:rPr>
              <w:t>用地性质符合性分析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根据《津市经济开发区二期控制性详细规划—用地布局图》，本项目用地属于二类工业用地，符合津市经济开发区用地规划。</w:t>
            </w:r>
          </w:p>
          <w:p>
            <w:pPr>
              <w:pStyle w:val="10"/>
              <w:spacing w:line="360" w:lineRule="auto"/>
              <w:ind w:firstLine="482" w:firstLineChars="200"/>
              <w:rPr>
                <w:rFonts w:hint="default" w:ascii="Times New Roman" w:hAnsi="Times New Roman" w:cs="Times New Roman"/>
                <w:sz w:val="24"/>
                <w:szCs w:val="24"/>
              </w:rPr>
            </w:pPr>
            <w:r>
              <w:rPr>
                <w:rFonts w:hint="eastAsia" w:ascii="Times New Roman" w:hAnsi="Times New Roman" w:cs="Times New Roman"/>
                <w:b/>
                <w:bCs/>
                <w:sz w:val="24"/>
                <w:szCs w:val="24"/>
                <w:lang w:eastAsia="zh-CN"/>
              </w:rPr>
              <w:t>六、</w:t>
            </w:r>
            <w:r>
              <w:rPr>
                <w:rFonts w:hint="default" w:ascii="Times New Roman" w:hAnsi="Times New Roman" w:cs="Times New Roman"/>
                <w:b/>
                <w:bCs/>
                <w:sz w:val="24"/>
                <w:szCs w:val="24"/>
              </w:rPr>
              <w:t>平面布局合理性分析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位于津市高新区周家铺路以西创业路以北，厂区设置2个出入口，主出入口设置于厂区南面临创业路，次出入口设置于厂区东北角临周家铺路，两个入口相互不干扰。项目主体工程包括1#车间、2#车间、主车间及检测车间，其中1#车间位于厂区西侧，2#生产车间位于厂区东侧，1#车间与2#车间之间设置主车间及小麦、玉米仓，检测车间设置于厂区东南角，辅助工程中综合楼位于厂区西南侧，食堂及锅炉房均设置于厂区西南角，机修车间设置于厂区最西侧，厂区最东侧临周家铺路设置卸货区。厂区为设置环形道路和绿化，各个构筑物间均设置有厂区道路互通，交通运输畅通。</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项目总平面布置充分考虑储存区、生产区和辅助设置区等布局的合理性，力求物流线路短捷、平行作业方便、成本低廉，避免了本项目生产与办公等作业的交叉，确保了生产运营和消防安全。</w:t>
            </w:r>
          </w:p>
          <w:p>
            <w:pPr>
              <w:pStyle w:val="10"/>
              <w:spacing w:line="360" w:lineRule="auto"/>
              <w:ind w:firstLine="482" w:firstLineChars="200"/>
              <w:rPr>
                <w:rFonts w:hint="default" w:ascii="Times New Roman" w:hAnsi="Times New Roman" w:cs="Times New Roman"/>
                <w:sz w:val="24"/>
                <w:szCs w:val="24"/>
              </w:rPr>
            </w:pPr>
            <w:r>
              <w:rPr>
                <w:rFonts w:hint="eastAsia" w:ascii="Times New Roman" w:hAnsi="Times New Roman" w:cs="Times New Roman"/>
                <w:b/>
                <w:bCs/>
                <w:sz w:val="24"/>
                <w:szCs w:val="24"/>
                <w:lang w:eastAsia="zh-CN"/>
              </w:rPr>
              <w:t>七、</w:t>
            </w:r>
            <w:r>
              <w:rPr>
                <w:rFonts w:hint="default" w:ascii="Times New Roman" w:hAnsi="Times New Roman" w:cs="Times New Roman"/>
                <w:b/>
                <w:bCs/>
                <w:sz w:val="24"/>
                <w:szCs w:val="24"/>
              </w:rPr>
              <w:t>与“三线一单”的符合性分析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1、与生态保护红线的符合性分析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湖南省人民政府关于印发《湖南省生态保护红线》的通知（湘政发[2018]20号）湖南省生态保护红线划定面积为4.28万平方公里，占全省土地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本项目位于津市高新区，不在津市市生态保护红线范围内。</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2、与环境质量底线相符性分析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（1）大气环境</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津市市PM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年平均浓度和日平均第95百分位数均超过《环境空气质量标准》（GB3095-2012）中二级标准，其他各监测因子均符合《环境空气质量标准》（GB3095-2012）中二级标准，本项目所在区域环境空气质量不达标。</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由于项目所在区域为环境空气不达标区，常德市人民政府已陆续开展《常德市污染防治攻坚战三年行动计划（2018-2020年）》，用以作为限期达标规划。区域环境空气质量有望得到改善，能够限期达标。</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评价区域内NH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及H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S监测值均达到《环境影响评价技术导则—大气环境》（HJ2.2-2018）附录D中的标准限值。</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（2）地表水环境</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澧水津市高新区工业污水处理厂排污口上游500m、澧水津市高新区工业污水处理厂排污口下游1500m断面各监测因子均满足《地表水环境质量标准》（GB3838-2002）III类标准要求。</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（3）地下水环境</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评价区域内各地下水监测点位监测因子均达到《地下水质量标准》（GB/T14848-2017）中的Ⅲ类标准，地下水环境质量较好。</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（4）声环境</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项目拟建地厂界东侧、南侧昼、夜声环境质量符合《声环境质量标准》（GB3096-2008）中4a类标准，厂界西侧、北侧昼、夜声环境质量符合《声环境质量标准》（GB3096-2008）中3类标准。</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根据工程分析及污染防治分析，本项目运营期所采取污染防治措施合理可行，各污染物均可做到达标排放，不会造成环境质量超标。</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3、与资源利用上线的对照分析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本项目生产过程中所用的原辅材料均为外地采购，企业将采取有效的节电节水措施，符合资源利用上线相关要求</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4、与环境准入负面清单的符合性分析</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本项目符合现行国家产业、行业政策。经查《市场准入负面清单草案》（试点版），本项目不在其禁止准入类和限制准入类中。因此本项目符合环境准入负面清单相关要求。</w:t>
            </w:r>
          </w:p>
          <w:p>
            <w:pPr>
              <w:pStyle w:val="10"/>
              <w:spacing w:line="360" w:lineRule="auto"/>
              <w:ind w:firstLine="482" w:firstLineChars="200"/>
              <w:rPr>
                <w:rFonts w:hint="eastAsia" w:ascii="Times New Roman" w:hAnsi="Times New Roman" w:cs="Times New Roman"/>
                <w:b/>
                <w:bCs/>
                <w:sz w:val="24"/>
                <w:szCs w:val="24"/>
                <w:u w:val="single"/>
                <w:lang w:eastAsia="zh-CN"/>
              </w:rPr>
            </w:pPr>
            <w:r>
              <w:rPr>
                <w:rFonts w:hint="eastAsia" w:ascii="Times New Roman" w:hAnsi="Times New Roman" w:cs="Times New Roman"/>
                <w:b/>
                <w:bCs/>
                <w:sz w:val="24"/>
                <w:szCs w:val="24"/>
                <w:u w:val="single"/>
                <w:lang w:val="en-US" w:eastAsia="zh-CN"/>
              </w:rPr>
              <w:t>八、与《湖南省“三线一单”生态环境总体管控要求暨省级以上产业园区生态环境准入清单》的相符性分析</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根据《湖南省“三线一单”生态环境总体管控要求暨省级以上产业园区生态环境准入清单》要求：</w:t>
            </w:r>
          </w:p>
          <w:p>
            <w:pPr>
              <w:pStyle w:val="10"/>
              <w:spacing w:line="360" w:lineRule="auto"/>
              <w:ind w:firstLine="480" w:firstLineChars="200"/>
              <w:rPr>
                <w:rFonts w:hint="default" w:ascii="Times New Roman" w:hAnsi="Times New Roman" w:cs="Times New Roman"/>
                <w:sz w:val="24"/>
                <w:szCs w:val="24"/>
                <w:u w:val="single"/>
                <w:lang w:val="en-US" w:eastAsia="zh-CN"/>
              </w:rPr>
            </w:pPr>
            <w:r>
              <w:rPr>
                <w:rFonts w:hint="eastAsia" w:ascii="Times New Roman" w:hAnsi="Times New Roman" w:cs="Times New Roman"/>
                <w:sz w:val="24"/>
                <w:szCs w:val="24"/>
                <w:u w:val="single"/>
                <w:lang w:val="en-US" w:eastAsia="zh-CN"/>
              </w:rPr>
              <w:t>1、空间布局约束</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1</w:t>
            </w:r>
            <w:r>
              <w:rPr>
                <w:rFonts w:hint="eastAsia" w:ascii="Times New Roman" w:hAnsi="Times New Roman" w:cs="Times New Roman"/>
                <w:sz w:val="24"/>
                <w:szCs w:val="24"/>
                <w:u w:val="single"/>
                <w:lang w:eastAsia="zh-CN"/>
              </w:rPr>
              <w:t>）北区控制盐化工发展，对原一期保留的盐化工板块严格准入管理，不得在已调出开发区范围的用地及周边建设工业企业；南区对临近胥家湖工业用地优化布置，100m陆域范围禁止布置生产性厂房及污水处理设施。对规划精细化工板块、生物医药板块位置及布局按环评要求调整优化，保障工业区与新洲镇集镇居住区间的环境防护距离，在调扩区工业区边界外300米范围内不得规划新增新建居住区、学校、医院等环境敏感目标。</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2</w:t>
            </w:r>
            <w:r>
              <w:rPr>
                <w:rFonts w:hint="eastAsia" w:ascii="Times New Roman" w:hAnsi="Times New Roman" w:cs="Times New Roman"/>
                <w:sz w:val="24"/>
                <w:szCs w:val="24"/>
                <w:u w:val="single"/>
                <w:lang w:eastAsia="zh-CN"/>
              </w:rPr>
              <w:t>）禁止排放废水、废气涉及重金属的企业和项目入园；禁止引进使用和生产高毒性原料和产品的项目，严格控制工艺废气产生挥发性有机物、恶臭的项目准入。</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3</w:t>
            </w:r>
            <w:r>
              <w:rPr>
                <w:rFonts w:hint="eastAsia" w:ascii="Times New Roman" w:hAnsi="Times New Roman" w:cs="Times New Roman"/>
                <w:sz w:val="24"/>
                <w:szCs w:val="24"/>
                <w:u w:val="single"/>
                <w:lang w:eastAsia="zh-CN"/>
              </w:rPr>
              <w:t>）团湖安置区上风向严禁新增恶臭异味废气排放的建设项目。</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本项目恶臭气体产生量较小，且经处理达标后高空排放对周边环境影响较小，本项目不在团湖安置区上风向，因此符合上述规定。</w:t>
            </w:r>
          </w:p>
          <w:p>
            <w:pPr>
              <w:pStyle w:val="10"/>
              <w:spacing w:line="360" w:lineRule="auto"/>
              <w:ind w:firstLine="480" w:firstLineChars="200"/>
              <w:rPr>
                <w:rFonts w:hint="default" w:ascii="Times New Roman" w:hAnsi="Times New Roman" w:cs="Times New Roman"/>
                <w:sz w:val="24"/>
                <w:szCs w:val="24"/>
                <w:u w:val="single"/>
                <w:lang w:val="en-US" w:eastAsia="zh-CN"/>
              </w:rPr>
            </w:pPr>
            <w:r>
              <w:rPr>
                <w:rFonts w:hint="eastAsia" w:ascii="Times New Roman" w:hAnsi="Times New Roman" w:cs="Times New Roman"/>
                <w:sz w:val="24"/>
                <w:szCs w:val="24"/>
                <w:u w:val="single"/>
                <w:lang w:val="en-US" w:eastAsia="zh-CN"/>
              </w:rPr>
              <w:t>2、污染物排放管控</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1</w:t>
            </w:r>
            <w:r>
              <w:rPr>
                <w:rFonts w:hint="eastAsia" w:ascii="Times New Roman" w:hAnsi="Times New Roman" w:cs="Times New Roman"/>
                <w:sz w:val="24"/>
                <w:szCs w:val="24"/>
                <w:u w:val="single"/>
                <w:lang w:eastAsia="zh-CN"/>
              </w:rPr>
              <w:t>）废水：高新区排水实施雨污分流，加快园区工业污水处理厂扩建。做好沿湖截污，禁止园区废水排入两湖；雨水通过园区雨水管道系统收集后，由龙岗路东北侧的窑坡排渍站、津市大道南端幸福闸排渍站、城内垸排渍站排入澧水。</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2</w:t>
            </w:r>
            <w:r>
              <w:rPr>
                <w:rFonts w:hint="eastAsia" w:ascii="Times New Roman" w:hAnsi="Times New Roman" w:cs="Times New Roman"/>
                <w:sz w:val="24"/>
                <w:szCs w:val="24"/>
                <w:u w:val="single"/>
                <w:lang w:eastAsia="zh-CN"/>
              </w:rPr>
              <w:t>）废气：对各企业工艺废气污染源，应配置废气收集与处理净化装置，确保达标排放。加强生产工艺研究与技术改进，采取有效措施，减少园区内工艺废气的无组织排放。严格控制团湖安置区周边现有企业的工艺废气排放。进行网格化监测微型站建设，建成大气污染网格化综合监管平台，加强特征污染物和环境质量监测。强化源头管控和末端治理，加快推进有机化工、工业涂装、包装印刷、制药等行业企业VOCs 治理，确保达标排放。</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3</w:t>
            </w:r>
            <w:r>
              <w:rPr>
                <w:rFonts w:hint="eastAsia" w:ascii="Times New Roman" w:hAnsi="Times New Roman" w:cs="Times New Roman"/>
                <w:sz w:val="24"/>
                <w:szCs w:val="24"/>
                <w:u w:val="single"/>
                <w:lang w:eastAsia="zh-CN"/>
              </w:rPr>
              <w:t>）园区内生物工程类、混装制剂类制药等行业及涉锅炉大气污染物排放应满足《湖南省生态环境厅关于执行污染物特别排放限值（第一批）的公告》中的要求。</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4</w:t>
            </w:r>
            <w:r>
              <w:rPr>
                <w:rFonts w:hint="eastAsia" w:ascii="Times New Roman" w:hAnsi="Times New Roman" w:cs="Times New Roman"/>
                <w:sz w:val="24"/>
                <w:szCs w:val="24"/>
                <w:u w:val="single"/>
                <w:lang w:eastAsia="zh-CN"/>
              </w:rPr>
              <w:t>）固废：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废物应按国家有关规定综合利用或妥善处置，严防二次污染。</w:t>
            </w:r>
          </w:p>
          <w:p>
            <w:pPr>
              <w:pStyle w:val="10"/>
              <w:spacing w:line="360" w:lineRule="auto"/>
              <w:ind w:firstLine="480" w:firstLineChars="200"/>
              <w:rPr>
                <w:rFonts w:hint="eastAsia" w:ascii="Times New Roman" w:hAnsi="Times New Roman" w:cs="Times New Roman"/>
                <w:sz w:val="24"/>
                <w:szCs w:val="24"/>
                <w:u w:val="single"/>
                <w:lang w:eastAsia="zh-CN"/>
              </w:rPr>
            </w:pPr>
            <w:r>
              <w:rPr>
                <w:rFonts w:hint="eastAsia" w:ascii="Times New Roman" w:hAnsi="Times New Roman" w:cs="Times New Roman"/>
                <w:sz w:val="24"/>
                <w:szCs w:val="24"/>
                <w:u w:val="single"/>
                <w:lang w:eastAsia="zh-CN"/>
              </w:rPr>
              <w:t>本项目无生产废水产生，生活废水经厂区隔油池及化粪池处理后进入津市高新区工业污水处理厂，运营期各废气产生环节均配套建设了相应的收集及处理措施，本项目不涉及锅炉大气污染物排放，项目运营期各类固体废物均可做到综合利用或合理处置，不会对环境造成污染，因此符合上述规定。</w:t>
            </w:r>
          </w:p>
          <w:p>
            <w:pPr>
              <w:pStyle w:val="10"/>
              <w:spacing w:line="360" w:lineRule="auto"/>
              <w:ind w:firstLine="480" w:firstLineChars="200"/>
              <w:rPr>
                <w:rFonts w:hint="eastAsia" w:ascii="Times New Roman" w:hAnsi="Times New Roman" w:cs="Times New Roman"/>
                <w:sz w:val="24"/>
                <w:szCs w:val="24"/>
                <w:u w:val="single"/>
                <w:lang w:val="en-US" w:eastAsia="zh-CN"/>
              </w:rPr>
            </w:pPr>
            <w:r>
              <w:rPr>
                <w:rFonts w:hint="eastAsia" w:ascii="Times New Roman" w:hAnsi="Times New Roman" w:cs="Times New Roman"/>
                <w:sz w:val="24"/>
                <w:szCs w:val="24"/>
                <w:u w:val="single"/>
                <w:lang w:val="en-US" w:eastAsia="zh-CN"/>
              </w:rPr>
              <w:t>3、环境风险防控</w:t>
            </w:r>
          </w:p>
          <w:p>
            <w:pPr>
              <w:pStyle w:val="10"/>
              <w:spacing w:line="360" w:lineRule="auto"/>
              <w:ind w:firstLine="480" w:firstLineChars="20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w:t>
            </w:r>
            <w:r>
              <w:rPr>
                <w:rFonts w:hint="eastAsia" w:ascii="Times New Roman" w:hAnsi="Times New Roman" w:cs="Times New Roman"/>
                <w:sz w:val="24"/>
                <w:szCs w:val="24"/>
                <w:u w:val="single"/>
                <w:lang w:val="en-US" w:eastAsia="zh-CN"/>
              </w:rPr>
              <w:t>1</w:t>
            </w:r>
            <w:r>
              <w:rPr>
                <w:rFonts w:hint="default" w:ascii="Times New Roman" w:hAnsi="Times New Roman" w:cs="Times New Roman"/>
                <w:sz w:val="24"/>
                <w:szCs w:val="24"/>
                <w:u w:val="single"/>
                <w:lang w:val="en-US" w:eastAsia="zh-CN"/>
              </w:rPr>
              <w:t>）加强园区环境风险预警、防控和应急体系建设，南片区及北片区落实《津市工业集中区突发环境事件应急预案》提出的各项环境风险防范措施，严防环境风险事故发生。</w:t>
            </w:r>
          </w:p>
          <w:p>
            <w:pPr>
              <w:pStyle w:val="10"/>
              <w:spacing w:line="360" w:lineRule="auto"/>
              <w:ind w:firstLine="480" w:firstLineChars="20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w:t>
            </w:r>
            <w:r>
              <w:rPr>
                <w:rFonts w:hint="eastAsia" w:ascii="Times New Roman" w:hAnsi="Times New Roman" w:cs="Times New Roman"/>
                <w:sz w:val="24"/>
                <w:szCs w:val="24"/>
                <w:u w:val="single"/>
                <w:lang w:val="en-US" w:eastAsia="zh-CN"/>
              </w:rPr>
              <w:t>2</w:t>
            </w:r>
            <w:r>
              <w:rPr>
                <w:rFonts w:hint="default" w:ascii="Times New Roman" w:hAnsi="Times New Roman" w:cs="Times New Roman"/>
                <w:sz w:val="24"/>
                <w:szCs w:val="24"/>
                <w:u w:val="single"/>
                <w:lang w:val="en-US" w:eastAsia="zh-CN"/>
              </w:rPr>
              <w:t>）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10"/>
              <w:spacing w:line="360" w:lineRule="auto"/>
              <w:ind w:firstLine="480" w:firstLineChars="20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w:t>
            </w:r>
            <w:r>
              <w:rPr>
                <w:rFonts w:hint="eastAsia" w:ascii="Times New Roman" w:hAnsi="Times New Roman" w:cs="Times New Roman"/>
                <w:sz w:val="24"/>
                <w:szCs w:val="24"/>
                <w:u w:val="single"/>
                <w:lang w:val="en-US" w:eastAsia="zh-CN"/>
              </w:rPr>
              <w:t>3</w:t>
            </w:r>
            <w:r>
              <w:rPr>
                <w:rFonts w:hint="default" w:ascii="Times New Roman" w:hAnsi="Times New Roman" w:cs="Times New Roman"/>
                <w:sz w:val="24"/>
                <w:szCs w:val="24"/>
                <w:u w:val="single"/>
                <w:lang w:val="en-US" w:eastAsia="zh-CN"/>
              </w:rPr>
              <w:t>）建设用地土壤风险防控：加强对建设用地土壤环境状况调查、风险评估和污染地块治理与修复活动的监管。</w:t>
            </w:r>
          </w:p>
          <w:p>
            <w:pPr>
              <w:pStyle w:val="10"/>
              <w:spacing w:line="360" w:lineRule="auto"/>
              <w:ind w:firstLine="480" w:firstLineChars="200"/>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w:t>
            </w:r>
            <w:r>
              <w:rPr>
                <w:rFonts w:hint="eastAsia" w:ascii="Times New Roman" w:hAnsi="Times New Roman" w:cs="Times New Roman"/>
                <w:sz w:val="24"/>
                <w:szCs w:val="24"/>
                <w:u w:val="single"/>
                <w:lang w:val="en-US" w:eastAsia="zh-CN"/>
              </w:rPr>
              <w:t>4</w:t>
            </w:r>
            <w:r>
              <w:rPr>
                <w:rFonts w:hint="default" w:ascii="Times New Roman" w:hAnsi="Times New Roman" w:cs="Times New Roman"/>
                <w:sz w:val="24"/>
                <w:szCs w:val="24"/>
                <w:u w:val="single"/>
                <w:lang w:val="en-US" w:eastAsia="zh-CN"/>
              </w:rPr>
              <w:t>）农用地风险防控：实施农用地分类管理，保障农业生产环境安全；防控企业污染。禁止在优先保护类耕地集中区域新建有色金属冶炼、化工、电镀、制革、危险废物经营等行业企业。</w:t>
            </w:r>
          </w:p>
          <w:p>
            <w:pPr>
              <w:pStyle w:val="10"/>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u w:val="single"/>
                <w:lang w:val="en-US" w:eastAsia="zh-CN"/>
              </w:rPr>
              <w:t>本次环评针对项目运营期可能发生的环境风险事故提出了相应的风险防范措施，本项目建成后应制定环境风险应急预案，本项目不属于</w:t>
            </w:r>
            <w:r>
              <w:rPr>
                <w:rFonts w:hint="default" w:ascii="Times New Roman" w:hAnsi="Times New Roman" w:cs="Times New Roman"/>
                <w:sz w:val="24"/>
                <w:szCs w:val="24"/>
                <w:u w:val="single"/>
                <w:lang w:val="en-US" w:eastAsia="zh-CN"/>
              </w:rPr>
              <w:t>有色金属冶炼、化工、电镀、制革、危险废物经营</w:t>
            </w:r>
            <w:r>
              <w:rPr>
                <w:rFonts w:hint="eastAsia" w:ascii="Times New Roman" w:hAnsi="Times New Roman" w:cs="Times New Roman"/>
                <w:sz w:val="24"/>
                <w:szCs w:val="24"/>
                <w:u w:val="single"/>
                <w:lang w:val="en-US" w:eastAsia="zh-CN"/>
              </w:rPr>
              <w:t>等行业企业，因此符合上述规定。</w:t>
            </w:r>
          </w:p>
          <w:p>
            <w:pPr>
              <w:pStyle w:val="10"/>
              <w:spacing w:line="360" w:lineRule="auto"/>
              <w:ind w:firstLine="482" w:firstLineChars="200"/>
              <w:rPr>
                <w:rFonts w:hint="default" w:ascii="Times New Roman" w:hAnsi="Times New Roman" w:cs="Times New Roman"/>
                <w:sz w:val="24"/>
                <w:szCs w:val="24"/>
              </w:rPr>
            </w:pPr>
            <w:r>
              <w:rPr>
                <w:rFonts w:hint="eastAsia" w:ascii="Times New Roman" w:hAnsi="Times New Roman" w:cs="Times New Roman"/>
                <w:b/>
                <w:bCs/>
                <w:sz w:val="24"/>
                <w:szCs w:val="24"/>
                <w:lang w:eastAsia="zh-CN"/>
              </w:rPr>
              <w:t>九、</w:t>
            </w:r>
            <w:r>
              <w:rPr>
                <w:rFonts w:hint="default" w:ascii="Times New Roman" w:hAnsi="Times New Roman" w:cs="Times New Roman"/>
                <w:b/>
                <w:bCs/>
                <w:sz w:val="24"/>
                <w:szCs w:val="24"/>
                <w:lang w:eastAsia="zh-CN"/>
              </w:rPr>
              <w:t>可行性分析结论</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本项目不属于《产业结构调整指导目录（2019年本）》 中鼓励类、限制类和淘汰类，为允许类建设项目，符合国家产业政策；本项目用地属于二类工业用地，符合津市经济开发区用地规划；符合“三线一单”的控制要求；符合环评文件审批要点中相关要求，项目的环境风险在落实本评价提出的环境保护措施的前提下可接受，大气污染物、废水及噪声可做到达标排放，固体废物可得到妥善处理处置，项目正常运行对周边环境的影响较小；从环境保护的角度分析，本项目建设可行。</w:t>
            </w:r>
          </w:p>
          <w:p>
            <w:pPr>
              <w:spacing w:line="360" w:lineRule="auto"/>
              <w:ind w:firstLine="482" w:firstLineChars="200"/>
              <w:rPr>
                <w:b/>
                <w:sz w:val="24"/>
              </w:rPr>
            </w:pPr>
            <w:r>
              <w:rPr>
                <w:rFonts w:hint="eastAsia"/>
                <w:b/>
                <w:sz w:val="24"/>
                <w:lang w:eastAsia="zh-CN"/>
              </w:rPr>
              <w:t>十</w:t>
            </w:r>
            <w:r>
              <w:rPr>
                <w:rFonts w:hint="eastAsia"/>
                <w:b/>
                <w:sz w:val="24"/>
              </w:rPr>
              <w:t>、制约因素</w:t>
            </w:r>
          </w:p>
          <w:p>
            <w:pPr>
              <w:spacing w:line="360" w:lineRule="auto"/>
              <w:rPr>
                <w:rFonts w:hint="eastAsia"/>
                <w:sz w:val="24"/>
              </w:rPr>
            </w:pPr>
            <w:r>
              <w:rPr>
                <w:rFonts w:hint="eastAsia"/>
                <w:b/>
                <w:sz w:val="24"/>
              </w:rPr>
              <w:t xml:space="preserve">    </w:t>
            </w:r>
            <w:r>
              <w:rPr>
                <w:rFonts w:hint="eastAsia"/>
                <w:sz w:val="24"/>
              </w:rPr>
              <w:t>无。</w:t>
            </w:r>
          </w:p>
          <w:p>
            <w:pPr>
              <w:pStyle w:val="29"/>
              <w:ind w:left="0" w:leftChars="0" w:firstLine="0" w:firstLineChars="0"/>
            </w:pPr>
          </w:p>
          <w:p>
            <w:pPr>
              <w:pStyle w:val="29"/>
            </w:pPr>
          </w:p>
          <w:p>
            <w:pPr>
              <w:pStyle w:val="29"/>
            </w:pPr>
          </w:p>
          <w:p>
            <w:pPr>
              <w:pStyle w:val="29"/>
            </w:pPr>
          </w:p>
          <w:p>
            <w:pPr>
              <w:pStyle w:val="29"/>
            </w:pPr>
          </w:p>
          <w:p>
            <w:pPr>
              <w:pStyle w:val="29"/>
            </w:pPr>
          </w:p>
          <w:p>
            <w:pPr>
              <w:pStyle w:val="29"/>
            </w:pPr>
          </w:p>
          <w:p>
            <w:pPr>
              <w:pStyle w:val="29"/>
            </w:pPr>
          </w:p>
          <w:p>
            <w:pPr>
              <w:pStyle w:val="29"/>
            </w:pPr>
          </w:p>
          <w:p>
            <w:pPr>
              <w:pStyle w:val="29"/>
            </w:pPr>
          </w:p>
          <w:p>
            <w:pPr>
              <w:pStyle w:val="29"/>
            </w:pPr>
          </w:p>
          <w:p>
            <w:pPr>
              <w:pStyle w:val="29"/>
            </w:pPr>
          </w:p>
          <w:p>
            <w:pPr>
              <w:spacing w:line="360" w:lineRule="auto"/>
              <w:contextualSpacing/>
            </w:pPr>
          </w:p>
        </w:tc>
      </w:tr>
    </w:tbl>
    <w:p>
      <w:pPr>
        <w:spacing w:line="440" w:lineRule="exact"/>
        <w:outlineLvl w:val="0"/>
        <w:rPr>
          <w:b/>
          <w:sz w:val="32"/>
          <w:szCs w:val="32"/>
        </w:rPr>
      </w:pPr>
      <w:r>
        <w:rPr>
          <w:rFonts w:hint="eastAsia"/>
          <w:b/>
          <w:sz w:val="32"/>
          <w:szCs w:val="32"/>
          <w:lang w:val="en-US" w:eastAsia="zh-CN"/>
        </w:rPr>
        <w:t>11</w:t>
      </w:r>
      <w:r>
        <w:rPr>
          <w:b/>
          <w:sz w:val="32"/>
          <w:szCs w:val="32"/>
        </w:rPr>
        <w:t>环境管理、</w:t>
      </w:r>
      <w:r>
        <w:rPr>
          <w:rFonts w:hint="eastAsia"/>
          <w:b/>
          <w:sz w:val="32"/>
          <w:szCs w:val="32"/>
        </w:rPr>
        <w:t>环境</w:t>
      </w:r>
      <w:r>
        <w:rPr>
          <w:b/>
          <w:sz w:val="32"/>
          <w:szCs w:val="32"/>
        </w:rPr>
        <w:t>监测计划</w:t>
      </w:r>
      <w:r>
        <w:rPr>
          <w:rFonts w:hint="eastAsia"/>
          <w:b/>
          <w:sz w:val="32"/>
          <w:szCs w:val="32"/>
        </w:rPr>
        <w:t>、</w:t>
      </w:r>
      <w:r>
        <w:rPr>
          <w:rFonts w:hint="eastAsia"/>
          <w:b/>
          <w:sz w:val="32"/>
          <w:szCs w:val="32"/>
          <w:lang w:eastAsia="zh-CN"/>
        </w:rPr>
        <w:t>“</w:t>
      </w:r>
      <w:r>
        <w:rPr>
          <w:rFonts w:hint="eastAsia"/>
          <w:b/>
          <w:sz w:val="32"/>
          <w:szCs w:val="32"/>
        </w:rPr>
        <w:t>三同时</w:t>
      </w:r>
      <w:r>
        <w:rPr>
          <w:rFonts w:hint="eastAsia"/>
          <w:b/>
          <w:sz w:val="32"/>
          <w:szCs w:val="32"/>
          <w:lang w:eastAsia="zh-CN"/>
        </w:rPr>
        <w:t>”</w:t>
      </w:r>
      <w:r>
        <w:rPr>
          <w:rFonts w:hint="eastAsia"/>
          <w:b/>
          <w:sz w:val="32"/>
          <w:szCs w:val="32"/>
        </w:rPr>
        <w:t>竣工</w:t>
      </w:r>
      <w:r>
        <w:rPr>
          <w:rFonts w:hint="eastAsia"/>
          <w:b/>
          <w:sz w:val="32"/>
          <w:szCs w:val="32"/>
          <w:lang w:eastAsia="zh-CN"/>
        </w:rPr>
        <w:t>环保</w:t>
      </w:r>
      <w:r>
        <w:rPr>
          <w:rFonts w:hint="eastAsia"/>
          <w:b/>
          <w:sz w:val="32"/>
          <w:szCs w:val="32"/>
        </w:rPr>
        <w:t>验收计划</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01" w:hRule="atLeast"/>
          <w:jc w:val="center"/>
        </w:trPr>
        <w:tc>
          <w:tcPr>
            <w:tcW w:w="9072" w:type="dxa"/>
          </w:tcPr>
          <w:p>
            <w:pPr>
              <w:spacing w:line="360" w:lineRule="auto"/>
              <w:ind w:firstLine="482"/>
              <w:contextualSpacing/>
              <w:rPr>
                <w:rFonts w:hAnsi="宋体"/>
                <w:b/>
                <w:bCs/>
                <w:kern w:val="18"/>
                <w:sz w:val="24"/>
              </w:rPr>
            </w:pPr>
            <w:r>
              <w:rPr>
                <w:rFonts w:hint="eastAsia" w:hAnsi="宋体"/>
                <w:b/>
                <w:bCs/>
                <w:kern w:val="18"/>
                <w:sz w:val="24"/>
              </w:rPr>
              <w:t>一、环境管理</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为了更好地贯彻执行国家环境保护法律、法规、政策与标准，及时掌握和了解工程污染治理措施的效果，以及工程所在区域环境质量状况，更好地监控环保设施的运行情况，协调公司与地方环保职能部门的工作，同时保证企业生产管理和环境管理的正常运作，建立环境管理体系与监测制度是非常重要的。</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环境管理体系与监测机构的建立能够帮助企业及早发现问题，使企业在发展生产的同时节约能源、降低资源的消耗，控制污染物排放量，减轻污染物排放对环境产生的影响，避免污染事故的发生，为企业创造更好地经济效益和环境效益，树立良好的社会形象。</w:t>
            </w:r>
          </w:p>
          <w:p>
            <w:pPr>
              <w:spacing w:line="360" w:lineRule="auto"/>
              <w:ind w:firstLine="482"/>
              <w:contextualSpacing/>
              <w:rPr>
                <w:rFonts w:hAnsi="宋体"/>
                <w:kern w:val="18"/>
                <w:sz w:val="24"/>
              </w:rPr>
            </w:pPr>
            <w:r>
              <w:rPr>
                <w:rFonts w:hint="eastAsia" w:ascii="Times New Roman" w:hAnsi="Times New Roman" w:cs="Times New Roman"/>
                <w:b w:val="0"/>
                <w:bCs/>
                <w:kern w:val="2"/>
                <w:sz w:val="24"/>
                <w:szCs w:val="24"/>
                <w:lang w:val="en-US" w:eastAsia="zh-CN"/>
              </w:rPr>
              <w:t>为了将本项目投产后对环境的不利影响降至最低程度，建设单位应针对本项目工程特点，制定完善的环境管理体系。</w:t>
            </w:r>
          </w:p>
          <w:p>
            <w:pPr>
              <w:spacing w:line="360" w:lineRule="auto"/>
              <w:ind w:firstLine="480" w:firstLineChars="200"/>
              <w:rPr>
                <w:bCs/>
                <w:sz w:val="24"/>
              </w:rPr>
            </w:pPr>
            <w:r>
              <w:rPr>
                <w:rFonts w:hint="eastAsia"/>
                <w:bCs/>
                <w:sz w:val="24"/>
              </w:rPr>
              <w:t>1、</w:t>
            </w:r>
            <w:r>
              <w:rPr>
                <w:bCs/>
                <w:sz w:val="24"/>
              </w:rPr>
              <w:t>环境管理机构与人员</w:t>
            </w:r>
          </w:p>
          <w:p>
            <w:pPr>
              <w:spacing w:line="360" w:lineRule="auto"/>
              <w:ind w:firstLine="480" w:firstLineChars="200"/>
              <w:rPr>
                <w:bCs/>
                <w:sz w:val="24"/>
              </w:rPr>
            </w:pPr>
            <w:r>
              <w:rPr>
                <w:bCs/>
                <w:sz w:val="24"/>
              </w:rPr>
              <w:t>项目营运期环境管理机构为</w:t>
            </w:r>
            <w:r>
              <w:rPr>
                <w:rFonts w:hint="eastAsia"/>
                <w:sz w:val="24"/>
                <w:lang w:eastAsia="zh-CN"/>
              </w:rPr>
              <w:t>常德市汇海饲料有限公司</w:t>
            </w:r>
            <w:r>
              <w:rPr>
                <w:bCs/>
                <w:sz w:val="24"/>
              </w:rPr>
              <w:t>，负责具体的环境管理和环境监测，环境</w:t>
            </w:r>
            <w:r>
              <w:rPr>
                <w:rFonts w:hint="eastAsia"/>
                <w:bCs/>
                <w:sz w:val="24"/>
              </w:rPr>
              <w:t>常规</w:t>
            </w:r>
            <w:r>
              <w:rPr>
                <w:bCs/>
                <w:sz w:val="24"/>
              </w:rPr>
              <w:t>监测可委托第三方监测机构进行。</w:t>
            </w:r>
          </w:p>
          <w:p>
            <w:pPr>
              <w:spacing w:line="360" w:lineRule="auto"/>
              <w:ind w:firstLine="480" w:firstLineChars="200"/>
              <w:rPr>
                <w:bCs/>
                <w:sz w:val="24"/>
              </w:rPr>
            </w:pPr>
            <w:r>
              <w:rPr>
                <w:rFonts w:hint="eastAsia"/>
                <w:bCs/>
                <w:sz w:val="24"/>
              </w:rPr>
              <w:t>2、</w:t>
            </w:r>
            <w:r>
              <w:rPr>
                <w:bCs/>
                <w:sz w:val="24"/>
              </w:rPr>
              <w:t>环境管理机构职责</w:t>
            </w:r>
          </w:p>
          <w:p>
            <w:pPr>
              <w:spacing w:line="360" w:lineRule="auto"/>
              <w:ind w:firstLine="480" w:firstLineChars="200"/>
              <w:rPr>
                <w:bCs/>
                <w:sz w:val="24"/>
              </w:rPr>
            </w:pPr>
            <w:r>
              <w:rPr>
                <w:bCs/>
                <w:sz w:val="24"/>
              </w:rPr>
              <w:t>环境管理机构负责项目营运期的环境管理与环境监测工作，主要职责：</w:t>
            </w:r>
          </w:p>
          <w:p>
            <w:pPr>
              <w:spacing w:line="360" w:lineRule="auto"/>
              <w:ind w:firstLine="360" w:firstLineChars="150"/>
              <w:rPr>
                <w:bCs/>
                <w:sz w:val="24"/>
              </w:rPr>
            </w:pPr>
            <w:r>
              <w:rPr>
                <w:rFonts w:hint="eastAsia"/>
                <w:bCs/>
                <w:sz w:val="24"/>
              </w:rPr>
              <w:t>（1）</w:t>
            </w:r>
            <w:r>
              <w:rPr>
                <w:bCs/>
                <w:sz w:val="24"/>
              </w:rPr>
              <w:t>编制、提出该项目营运期的短期环境保护计划及长远环境保护规划。</w:t>
            </w:r>
          </w:p>
          <w:p>
            <w:pPr>
              <w:spacing w:line="360" w:lineRule="auto"/>
              <w:ind w:firstLine="360" w:firstLineChars="150"/>
              <w:rPr>
                <w:bCs/>
                <w:sz w:val="24"/>
              </w:rPr>
            </w:pPr>
            <w:r>
              <w:rPr>
                <w:rFonts w:hint="eastAsia"/>
                <w:bCs/>
                <w:sz w:val="24"/>
              </w:rPr>
              <w:t>（2）</w:t>
            </w:r>
            <w:r>
              <w:rPr>
                <w:bCs/>
                <w:sz w:val="24"/>
              </w:rPr>
              <w:t>贯彻落实国家和地方的环境保护法律、法规、政策和标准，直接接受环保主管部门的监督、领导，配合环境保护主管部门做好环保工作。</w:t>
            </w:r>
          </w:p>
          <w:p>
            <w:pPr>
              <w:spacing w:line="360" w:lineRule="auto"/>
              <w:ind w:firstLine="360" w:firstLineChars="150"/>
              <w:rPr>
                <w:bCs/>
                <w:sz w:val="24"/>
              </w:rPr>
            </w:pPr>
            <w:r>
              <w:rPr>
                <w:rFonts w:hint="eastAsia"/>
                <w:bCs/>
                <w:sz w:val="24"/>
              </w:rPr>
              <w:t>（3）</w:t>
            </w:r>
            <w:r>
              <w:rPr>
                <w:bCs/>
                <w:sz w:val="24"/>
              </w:rPr>
              <w:t>领导并组织开展环境监测工作，制定和实施监测方案，定期向主管部门及环境保护主管部门上报。</w:t>
            </w:r>
          </w:p>
          <w:p>
            <w:pPr>
              <w:spacing w:line="360" w:lineRule="auto"/>
              <w:ind w:firstLine="360" w:firstLineChars="150"/>
              <w:rPr>
                <w:bCs/>
                <w:sz w:val="24"/>
              </w:rPr>
            </w:pPr>
            <w:r>
              <w:rPr>
                <w:rFonts w:hint="eastAsia"/>
                <w:bCs/>
                <w:sz w:val="24"/>
              </w:rPr>
              <w:t>（4）</w:t>
            </w:r>
            <w:r>
              <w:rPr>
                <w:bCs/>
                <w:sz w:val="24"/>
              </w:rPr>
              <w:t>负责监督环保设施的施工、安装、调试等，落实项目的“竣工环境保护”制度。</w:t>
            </w:r>
          </w:p>
          <w:p>
            <w:pPr>
              <w:spacing w:line="360" w:lineRule="auto"/>
              <w:ind w:firstLine="360" w:firstLineChars="150"/>
              <w:rPr>
                <w:bCs/>
                <w:sz w:val="24"/>
              </w:rPr>
            </w:pPr>
            <w:r>
              <w:rPr>
                <w:rFonts w:hint="eastAsia"/>
                <w:bCs/>
                <w:sz w:val="24"/>
              </w:rPr>
              <w:t>（5）</w:t>
            </w:r>
            <w:r>
              <w:rPr>
                <w:bCs/>
                <w:sz w:val="24"/>
              </w:rPr>
              <w:t>监督项目各排污口污染物排放情况，按《环境保护图形标志—排放口（源）》</w:t>
            </w:r>
            <w:r>
              <w:fldChar w:fldCharType="begin"/>
            </w:r>
            <w:r>
              <w:instrText xml:space="preserve"> HYPERLINK "http://www.mep.gov.cn/image20010518/2584.pdf" </w:instrText>
            </w:r>
            <w:r>
              <w:fldChar w:fldCharType="separate"/>
            </w:r>
            <w:r>
              <w:rPr>
                <w:bCs/>
                <w:sz w:val="24"/>
              </w:rPr>
              <w:t>（GB15562.1-1995）</w:t>
            </w:r>
            <w:r>
              <w:rPr>
                <w:bCs/>
                <w:sz w:val="24"/>
              </w:rPr>
              <w:fldChar w:fldCharType="end"/>
            </w:r>
            <w:r>
              <w:rPr>
                <w:bCs/>
                <w:sz w:val="24"/>
              </w:rPr>
              <w:t>的图形，在各水、气、声排污口（源）挂牌标识，做到各排污口（源）的环保标志明显，便于企业管理和公众监督，确保污染物达到国家排放标准。</w:t>
            </w:r>
          </w:p>
          <w:p>
            <w:pPr>
              <w:spacing w:line="360" w:lineRule="auto"/>
              <w:ind w:firstLine="480" w:firstLineChars="200"/>
              <w:rPr>
                <w:bCs/>
                <w:sz w:val="24"/>
              </w:rPr>
            </w:pPr>
            <w:r>
              <w:rPr>
                <w:rFonts w:hint="eastAsia"/>
                <w:bCs/>
                <w:sz w:val="24"/>
              </w:rPr>
              <w:t>3、</w:t>
            </w:r>
            <w:r>
              <w:rPr>
                <w:bCs/>
                <w:sz w:val="24"/>
              </w:rPr>
              <w:t>项目营运期的环境管理</w:t>
            </w:r>
            <w:r>
              <w:rPr>
                <w:rFonts w:hint="eastAsia"/>
                <w:bCs/>
                <w:sz w:val="24"/>
              </w:rPr>
              <w:t>要求</w:t>
            </w:r>
          </w:p>
          <w:p>
            <w:pPr>
              <w:spacing w:line="360" w:lineRule="auto"/>
              <w:ind w:firstLine="360" w:firstLineChars="150"/>
              <w:rPr>
                <w:bCs/>
                <w:sz w:val="24"/>
              </w:rPr>
            </w:pPr>
            <w:r>
              <w:rPr>
                <w:rFonts w:hint="eastAsia"/>
                <w:bCs/>
                <w:sz w:val="24"/>
              </w:rPr>
              <w:t>（1）</w:t>
            </w:r>
            <w:r>
              <w:rPr>
                <w:bCs/>
                <w:sz w:val="24"/>
              </w:rPr>
              <w:t>根据国家环保政策、标准及环境监测要求，制定该项目营运期环保管理规章制度、各种污染物排放控制指标。</w:t>
            </w:r>
          </w:p>
          <w:p>
            <w:pPr>
              <w:spacing w:line="360" w:lineRule="auto"/>
              <w:ind w:firstLine="360" w:firstLineChars="150"/>
              <w:rPr>
                <w:bCs/>
                <w:sz w:val="24"/>
              </w:rPr>
            </w:pPr>
            <w:r>
              <w:rPr>
                <w:rFonts w:hint="eastAsia"/>
                <w:bCs/>
                <w:sz w:val="24"/>
              </w:rPr>
              <w:t>（2）</w:t>
            </w:r>
            <w:r>
              <w:rPr>
                <w:bCs/>
                <w:sz w:val="24"/>
              </w:rPr>
              <w:t>负责该项目所有环保设施的日常运行管理，保障各环保设施的正常运行，并对环保设施的改进提出积极的建议。</w:t>
            </w:r>
          </w:p>
          <w:p>
            <w:pPr>
              <w:spacing w:line="360" w:lineRule="auto"/>
              <w:ind w:firstLine="360" w:firstLineChars="150"/>
              <w:rPr>
                <w:bCs/>
                <w:sz w:val="24"/>
              </w:rPr>
            </w:pPr>
            <w:r>
              <w:rPr>
                <w:rFonts w:hint="eastAsia"/>
                <w:bCs/>
                <w:sz w:val="24"/>
              </w:rPr>
              <w:t>（3）</w:t>
            </w:r>
            <w:r>
              <w:rPr>
                <w:bCs/>
                <w:sz w:val="24"/>
              </w:rPr>
              <w:t>负责该项目营运期环境监测工作，及时掌握该项目污染状况，整理监测数据，建立污染源档案。</w:t>
            </w:r>
          </w:p>
          <w:p>
            <w:pPr>
              <w:spacing w:line="360" w:lineRule="auto"/>
              <w:ind w:firstLine="360" w:firstLineChars="150"/>
              <w:rPr>
                <w:bCs/>
                <w:sz w:val="24"/>
              </w:rPr>
            </w:pPr>
            <w:r>
              <w:rPr>
                <w:rFonts w:hint="eastAsia"/>
                <w:bCs/>
                <w:sz w:val="24"/>
              </w:rPr>
              <w:t>（4）</w:t>
            </w:r>
            <w:r>
              <w:rPr>
                <w:bCs/>
                <w:sz w:val="24"/>
              </w:rPr>
              <w:t>该项目营运期的环境管理由</w:t>
            </w:r>
            <w:r>
              <w:rPr>
                <w:rFonts w:hint="eastAsia"/>
                <w:sz w:val="24"/>
                <w:lang w:eastAsia="zh-CN"/>
              </w:rPr>
              <w:t>常德市汇海饲料有限公司</w:t>
            </w:r>
            <w:r>
              <w:rPr>
                <w:bCs/>
                <w:sz w:val="24"/>
              </w:rPr>
              <w:t>承担，并接受环境保护主管部门的指导和监督。</w:t>
            </w:r>
          </w:p>
          <w:p>
            <w:pPr>
              <w:spacing w:line="360" w:lineRule="auto"/>
              <w:ind w:firstLine="360" w:firstLineChars="150"/>
              <w:rPr>
                <w:bCs/>
                <w:sz w:val="24"/>
              </w:rPr>
            </w:pPr>
            <w:r>
              <w:rPr>
                <w:rFonts w:hint="eastAsia"/>
                <w:bCs/>
                <w:sz w:val="24"/>
              </w:rPr>
              <w:t>（5）</w:t>
            </w:r>
            <w:r>
              <w:rPr>
                <w:bCs/>
                <w:sz w:val="24"/>
              </w:rPr>
              <w:t>负责对本公司职工及周边居民的环保宣传工作。</w:t>
            </w:r>
          </w:p>
          <w:p>
            <w:pPr>
              <w:spacing w:before="0" w:after="0" w:line="360" w:lineRule="auto"/>
              <w:ind w:firstLine="480" w:firstLineChars="200"/>
              <w:jc w:val="left"/>
              <w:outlineLvl w:val="9"/>
              <w:rPr>
                <w:rFonts w:hint="default" w:ascii="Times New Roman" w:hAnsi="Times New Roman" w:cs="Times New Roman" w:eastAsiaTheme="minorEastAsia"/>
                <w:b/>
                <w:bCs/>
                <w:kern w:val="2"/>
                <w:sz w:val="24"/>
                <w:szCs w:val="24"/>
                <w:lang w:val="en-US" w:eastAsia="zh-CN" w:bidi="ar-SA"/>
              </w:rPr>
            </w:pPr>
            <w:r>
              <w:rPr>
                <w:rFonts w:hint="eastAsia"/>
                <w:bCs/>
                <w:sz w:val="24"/>
                <w:lang w:val="en-US" w:eastAsia="zh-CN"/>
              </w:rPr>
              <w:t>4、</w:t>
            </w:r>
            <w:r>
              <w:rPr>
                <w:rFonts w:hint="default"/>
                <w:bCs/>
                <w:sz w:val="24"/>
                <w:lang w:val="en-US" w:eastAsia="zh-CN"/>
              </w:rPr>
              <w:t>环境管理制度</w:t>
            </w:r>
          </w:p>
          <w:p>
            <w:pPr>
              <w:spacing w:before="0" w:after="0" w:line="360" w:lineRule="auto"/>
              <w:ind w:firstLine="480" w:firstLineChars="200"/>
              <w:jc w:val="left"/>
              <w:outlineLvl w:val="9"/>
              <w:rPr>
                <w:rFonts w:hint="eastAsia" w:ascii="Times New Roman" w:hAnsi="Times New Roman" w:cs="Times New Roman"/>
                <w:b w:val="0"/>
                <w:bCs/>
                <w:kern w:val="2"/>
                <w:sz w:val="24"/>
                <w:szCs w:val="24"/>
                <w:u w:val="single"/>
                <w:lang w:val="en-US" w:eastAsia="zh-CN"/>
              </w:rPr>
            </w:pPr>
            <w:r>
              <w:rPr>
                <w:rFonts w:hint="eastAsia" w:ascii="Times New Roman" w:hAnsi="Times New Roman" w:cs="Times New Roman"/>
                <w:b w:val="0"/>
                <w:bCs/>
                <w:kern w:val="2"/>
                <w:sz w:val="24"/>
                <w:szCs w:val="24"/>
                <w:u w:val="single"/>
                <w:lang w:val="en-US" w:eastAsia="zh-CN"/>
              </w:rPr>
              <w:t>（1）排污许可制度</w:t>
            </w:r>
          </w:p>
          <w:p>
            <w:pPr>
              <w:spacing w:before="0" w:after="0" w:line="360" w:lineRule="auto"/>
              <w:ind w:firstLine="480" w:firstLineChars="200"/>
              <w:jc w:val="left"/>
              <w:outlineLvl w:val="9"/>
              <w:rPr>
                <w:rFonts w:hint="eastAsia" w:ascii="Times New Roman" w:hAnsi="Times New Roman" w:cs="Times New Roman"/>
                <w:b w:val="0"/>
                <w:bCs/>
                <w:kern w:val="2"/>
                <w:sz w:val="24"/>
                <w:szCs w:val="24"/>
                <w:u w:val="single"/>
                <w:lang w:val="en-US" w:eastAsia="zh-CN"/>
              </w:rPr>
            </w:pPr>
            <w:r>
              <w:rPr>
                <w:rFonts w:hint="eastAsia" w:ascii="Times New Roman" w:hAnsi="Times New Roman" w:cs="Times New Roman"/>
                <w:b w:val="0"/>
                <w:bCs/>
                <w:kern w:val="2"/>
                <w:sz w:val="24"/>
                <w:szCs w:val="24"/>
                <w:u w:val="single"/>
                <w:lang w:val="en-US" w:eastAsia="zh-CN"/>
              </w:rPr>
              <w:t>根据《关于印发&lt;排污许可证管理暂行规定&gt;的通知》（环水体[2016]186号），国家对在生产经营过程中排放废气、废水、产生环境噪声污染和固体废物的行为实行许可证管理规定，本项目建成后需按照环水体[2016]186 号文要求持证排污、按证排污，严格执行排污许可制度。根据《固定污染源排污许可分类管理名录》（2019年本），本项目属于“八、农副食品加工业13—饲料加工132（有发酵工序的）”，需纳入排污许可简化管理，本项目建设完成后应向当地环境保护管理部门申请办理排污许可证。</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（2）报告制度</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凡持有排污许可证制度的重点污染源，须执行月报制度。此外，企业排污发生重大变化、污染治理设施改变或企业改、扩建等都必须向当地环保部门申报，改、扩建项目，必须按《环境保护法》、《环评法》等要求，报请有审批权限的环保部门审批，经审批同意后方可实施。</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（3）污染治理设施的管理、监控制度</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目前企业建立有较为完善的污染治理设施的管理、监控制度，污染治理设施的运行和管理安排有专业技术人员负责，并建立管理台帐，确保污染治理设施长期、稳定、有效地运行。</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企业必须确保污染治理设施长期、稳定、有效地运行，不得擅自拆除或者闲置除尘设备和污水治理设施，不得故意不正常使用污染治理设施。污染治理设施的管理必须与公司的生产经营活动一起纳入到公司日常管理工作的范畴，落实责任人、操作人员、维修人员、运行经费、设备的备品备件和其他原辅材料。企业应建立环境管理台账制度，设置专职人员进行台帐的记录、整理、维护和管理，并对台账记录结果的真实性、准确性、完整性负责。台账应真实记录生产设施运行管理信息、原辅料、燃料采购信息、污染治理设施运行管理信息、非正常工况记录信息、监测记录信息、其他环境管理信息。</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（4）信息公开制度</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本项目建成后，应建立健全环境信息公开制度，及时、完整、准确的按照《企业事业单位环境信息公开办法》（环保部第31号令）等法律法规及技术规范要求，向社会及时公开污染防治设施的建设、运行情况、排放污染物名称、排放方式、排放浓度和总量、超标排放情况和整改情况等信息。</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（5）固体废物管理制度</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建设单位作为固体废物污染防治的责任主体，应建立风险管理及应急救援体系，执行环境监测计划、转移联单管理制度及国家和省有关转移管理的相关规定、处置过程安全操作规程、人员培训考核制度、档案管理制度、处置全过程管理制度等。</w:t>
            </w:r>
          </w:p>
          <w:p>
            <w:pPr>
              <w:spacing w:before="0" w:after="0" w:line="360" w:lineRule="auto"/>
              <w:ind w:firstLine="480" w:firstLineChars="200"/>
              <w:jc w:val="left"/>
              <w:outlineLvl w:val="9"/>
              <w:rPr>
                <w:rFonts w:hint="eastAsia" w:ascii="Times New Roman" w:hAnsi="Times New Roman" w:cs="Times New Roman"/>
                <w:b/>
                <w:bCs/>
                <w:kern w:val="2"/>
                <w:sz w:val="24"/>
                <w:szCs w:val="24"/>
                <w:lang w:val="en-US" w:eastAsia="zh-CN" w:bidi="ar-SA"/>
              </w:rPr>
            </w:pPr>
            <w:bookmarkStart w:id="70" w:name="_Toc154290670"/>
            <w:r>
              <w:rPr>
                <w:rFonts w:hint="eastAsia"/>
                <w:bCs/>
                <w:sz w:val="24"/>
                <w:lang w:val="en-US" w:eastAsia="zh-CN"/>
              </w:rPr>
              <w:t>5、环境管理及保护计划</w:t>
            </w:r>
            <w:bookmarkEnd w:id="70"/>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cs="Times New Roman"/>
                <w:b w:val="0"/>
                <w:bCs/>
                <w:kern w:val="2"/>
                <w:sz w:val="24"/>
                <w:szCs w:val="24"/>
                <w:lang w:val="en-US" w:eastAsia="zh-CN"/>
              </w:rPr>
              <w:t>（1）</w:t>
            </w:r>
            <w:r>
              <w:rPr>
                <w:rFonts w:hint="eastAsia" w:ascii="Times New Roman" w:hAnsi="Times New Roman" w:cs="Times New Roman"/>
                <w:b w:val="0"/>
                <w:bCs/>
                <w:kern w:val="2"/>
                <w:sz w:val="24"/>
                <w:szCs w:val="24"/>
                <w:lang w:val="en-US" w:eastAsia="zh-CN"/>
              </w:rPr>
              <w:t>施工期环境管理及保护计划</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施工期环境管理是组织实施环保设施的“三同时”和施工过程污染防治。本项目施工期建设单位应主要做好对施工单位的监督和管理，要求施工单位按照本报告提出的施工期环境污染治理措施，做好施工期粉尘、废气、废水和噪声的污染防治，确保各项环保设施的设计、施工计划与主体工程同时进行，并把工程设计和施工计划报环保行政主管部门审批；各项环保设施经竣工验收合格，并发放环保设施验收合格证及排污许可证，方可投入正式营运。</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cs="Times New Roman"/>
                <w:b w:val="0"/>
                <w:bCs/>
                <w:kern w:val="2"/>
                <w:sz w:val="24"/>
                <w:szCs w:val="24"/>
                <w:lang w:val="en-US" w:eastAsia="zh-CN"/>
              </w:rPr>
              <w:t>（2）</w:t>
            </w:r>
            <w:r>
              <w:rPr>
                <w:rFonts w:hint="eastAsia" w:ascii="Times New Roman" w:hAnsi="Times New Roman" w:cs="Times New Roman"/>
                <w:b w:val="0"/>
                <w:bCs/>
                <w:kern w:val="2"/>
                <w:sz w:val="24"/>
                <w:szCs w:val="24"/>
                <w:lang w:val="en-US" w:eastAsia="zh-CN"/>
              </w:rPr>
              <w:t>营运期环境管理和保护计划</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1）建设单位向当地环境保护部门提交《排污申报登记表》，经环保部门调查核实达标排放和符合总量指标，发给排污许可证；对超标排放，应限期治理，治理期间发给临时排污许可证；</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2）根据环保局对环保设施验收报告的批复意见进行补充完善；</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3）制定各环保设施操作规程，拟定定期维修制度，使各项环保设施在营运过程中处于良好的运行状态；</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4）加强对环保设施的运行管理，如环保设施出现故障，应立即停止排污并进行检修，严禁非正常排放；</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5）进行环境监测工作，重点是厂区废水排放监测，并注意做好记录，不得弄虚作假。监测中如发现异常情况应及时向有关部门通报，及时采取应急措施，防止事故排放。</w:t>
            </w:r>
          </w:p>
          <w:p>
            <w:pPr>
              <w:spacing w:before="0" w:after="0" w:line="360" w:lineRule="auto"/>
              <w:ind w:firstLine="480" w:firstLineChars="200"/>
              <w:jc w:val="left"/>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6）制定环境监测资料的存贮建档与上报的计划，并接受部、省、市、县等各级抽查。环保档案内容包括：A、污染物排放情况；B、污染物治理设施的运行、操作和管理情况；C、各污染物的监测分析方法和监测记录；D、事故情况及有关记录；E、其他与污染防治有关的情况和资料等。</w:t>
            </w:r>
          </w:p>
          <w:p>
            <w:pPr>
              <w:spacing w:line="360" w:lineRule="auto"/>
              <w:ind w:firstLine="480" w:firstLineChars="200"/>
              <w:rPr>
                <w:rFonts w:hint="eastAsia"/>
                <w:bCs/>
                <w:sz w:val="24"/>
              </w:rPr>
            </w:pPr>
            <w:r>
              <w:rPr>
                <w:rFonts w:hint="eastAsia" w:ascii="Times New Roman" w:hAnsi="Times New Roman" w:cs="Times New Roman"/>
                <w:b w:val="0"/>
                <w:bCs/>
                <w:kern w:val="2"/>
                <w:sz w:val="24"/>
                <w:szCs w:val="24"/>
                <w:lang w:val="en-US" w:eastAsia="zh-CN"/>
              </w:rPr>
              <w:t>7）建立污染事故报告制度。当污染事故发生时，必须在事故发生后48小时内，向环保部门作出事故发生的时间、地点、类型和排放污染物的数量、经济损失等情况的初步报告；事故查清后，向环保部门书面报告事故发生的原因，采取的措施，处理结果，并附有关证明。建设单位有责任排除危害，并对直接受到损害的单位或个人赔偿损失。</w:t>
            </w:r>
          </w:p>
          <w:p>
            <w:pPr>
              <w:spacing w:line="360" w:lineRule="auto"/>
              <w:ind w:firstLine="480" w:firstLineChars="200"/>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6、排污口规范化建设与管理</w:t>
            </w:r>
          </w:p>
          <w:p>
            <w:pPr>
              <w:spacing w:line="360" w:lineRule="auto"/>
              <w:ind w:firstLine="480" w:firstLineChars="200"/>
              <w:rPr>
                <w:rFonts w:hint="default"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1）在项目验收前，须对厂区所有排污口按规定进行核实，明确排污口的数量、位置以及排放主要污染物的种类、数量、浓度、排放去向等；并根据《“环境保护图形标志”实施细则》，对排污口图形标志进行国际化设置与设计。</w:t>
            </w:r>
          </w:p>
          <w:p>
            <w:pPr>
              <w:spacing w:line="360" w:lineRule="auto"/>
              <w:ind w:firstLine="480" w:firstLineChars="200"/>
              <w:rPr>
                <w:rFonts w:hint="default"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2）废气排气筒均应设置便于采样、监测的采样口和采样监测平台。在排气筒附近地面醒目处设置环保图形标志牌，标明排气筒高度、出口内径、排放污染物种类等；废水总排口及厂区的雨水排口都应完善规范化设置。</w:t>
            </w:r>
          </w:p>
          <w:p>
            <w:pPr>
              <w:spacing w:line="360" w:lineRule="auto"/>
              <w:ind w:firstLine="480" w:firstLineChars="200"/>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（3）一般工业固体废物暂存间及危险废物暂存间应按《环境保护图形标志固体废物贮存（处置）场》（GB15562.2-1995）相关要求设置标志牌。固体废物堆放场所，必须有防火、防腐蚀、防流失等措施。</w:t>
            </w:r>
          </w:p>
          <w:p>
            <w:pPr>
              <w:spacing w:line="36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表</w:t>
            </w:r>
            <w:r>
              <w:rPr>
                <w:rFonts w:hint="eastAsia" w:cs="Times New Roman"/>
                <w:b/>
                <w:bCs/>
                <w:sz w:val="21"/>
                <w:szCs w:val="21"/>
                <w:u w:val="none"/>
                <w:lang w:val="en-US" w:eastAsia="zh-CN"/>
              </w:rPr>
              <w:t>11</w:t>
            </w:r>
            <w:r>
              <w:rPr>
                <w:rFonts w:hint="eastAsia" w:ascii="Times New Roman" w:hAnsi="Times New Roman" w:cs="Times New Roman"/>
                <w:b/>
                <w:bCs/>
                <w:sz w:val="21"/>
                <w:szCs w:val="21"/>
                <w:u w:val="none"/>
                <w:lang w:val="en-US" w:eastAsia="zh-CN"/>
              </w:rPr>
              <w:t>-</w:t>
            </w:r>
            <w:r>
              <w:rPr>
                <w:rFonts w:hint="eastAsia" w:cs="Times New Roman"/>
                <w:b/>
                <w:bCs/>
                <w:sz w:val="21"/>
                <w:szCs w:val="21"/>
                <w:u w:val="none"/>
                <w:lang w:val="en-US" w:eastAsia="zh-CN"/>
              </w:rPr>
              <w:t>1</w:t>
            </w:r>
            <w:r>
              <w:rPr>
                <w:rFonts w:hint="default" w:ascii="Times New Roman" w:hAnsi="Times New Roman" w:cs="Times New Roman"/>
                <w:b/>
                <w:bCs/>
                <w:sz w:val="21"/>
                <w:szCs w:val="21"/>
                <w:u w:val="none"/>
              </w:rPr>
              <w:t xml:space="preserve">   排放口图形标志</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9"/>
              <w:gridCol w:w="1640"/>
              <w:gridCol w:w="1545"/>
              <w:gridCol w:w="1663"/>
              <w:gridCol w:w="1663"/>
              <w:gridCol w:w="143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76" w:type="dxa"/>
                  <w:tcBorders>
                    <w:tl2br w:val="nil"/>
                    <w:tr2bl w:val="nil"/>
                  </w:tcBorders>
                  <w:vAlign w:val="center"/>
                </w:tcPr>
                <w:p>
                  <w:pPr>
                    <w:spacing w:line="240" w:lineRule="auto"/>
                    <w:ind w:firstLine="0" w:firstLineChars="0"/>
                    <w:jc w:val="center"/>
                    <w:rPr>
                      <w:b/>
                      <w:bCs/>
                      <w:kern w:val="0"/>
                      <w:sz w:val="21"/>
                      <w:szCs w:val="21"/>
                    </w:rPr>
                  </w:pPr>
                  <w:r>
                    <w:rPr>
                      <w:rFonts w:hint="eastAsia"/>
                      <w:b/>
                      <w:bCs/>
                      <w:kern w:val="0"/>
                      <w:sz w:val="21"/>
                      <w:szCs w:val="21"/>
                    </w:rPr>
                    <w:t>排放口</w:t>
                  </w:r>
                </w:p>
              </w:tc>
              <w:tc>
                <w:tcPr>
                  <w:tcW w:w="1662" w:type="dxa"/>
                  <w:tcBorders>
                    <w:tl2br w:val="nil"/>
                    <w:tr2bl w:val="nil"/>
                  </w:tcBorders>
                  <w:vAlign w:val="center"/>
                </w:tcPr>
                <w:p>
                  <w:pPr>
                    <w:spacing w:line="240" w:lineRule="auto"/>
                    <w:ind w:firstLine="0" w:firstLineChars="0"/>
                    <w:jc w:val="center"/>
                    <w:rPr>
                      <w:b/>
                      <w:bCs/>
                      <w:kern w:val="0"/>
                      <w:sz w:val="21"/>
                      <w:szCs w:val="21"/>
                    </w:rPr>
                  </w:pPr>
                  <w:r>
                    <w:rPr>
                      <w:rFonts w:hint="eastAsia"/>
                      <w:b/>
                      <w:bCs/>
                      <w:kern w:val="0"/>
                      <w:sz w:val="21"/>
                      <w:szCs w:val="21"/>
                    </w:rPr>
                    <w:t>废水排放口</w:t>
                  </w:r>
                </w:p>
              </w:tc>
              <w:tc>
                <w:tcPr>
                  <w:tcW w:w="1566" w:type="dxa"/>
                  <w:tcBorders>
                    <w:tl2br w:val="nil"/>
                    <w:tr2bl w:val="nil"/>
                  </w:tcBorders>
                  <w:vAlign w:val="center"/>
                </w:tcPr>
                <w:p>
                  <w:pPr>
                    <w:spacing w:line="240" w:lineRule="auto"/>
                    <w:ind w:firstLine="0" w:firstLineChars="0"/>
                    <w:jc w:val="center"/>
                    <w:rPr>
                      <w:b/>
                      <w:bCs/>
                      <w:kern w:val="0"/>
                      <w:sz w:val="21"/>
                      <w:szCs w:val="21"/>
                    </w:rPr>
                  </w:pPr>
                  <w:r>
                    <w:rPr>
                      <w:rFonts w:hint="eastAsia"/>
                      <w:b/>
                      <w:bCs/>
                      <w:kern w:val="0"/>
                      <w:sz w:val="21"/>
                      <w:szCs w:val="21"/>
                    </w:rPr>
                    <w:t>废气排放口</w:t>
                  </w:r>
                </w:p>
              </w:tc>
              <w:tc>
                <w:tcPr>
                  <w:tcW w:w="1686" w:type="dxa"/>
                  <w:tcBorders>
                    <w:tl2br w:val="nil"/>
                    <w:tr2bl w:val="nil"/>
                  </w:tcBorders>
                  <w:vAlign w:val="center"/>
                </w:tcPr>
                <w:p>
                  <w:pPr>
                    <w:spacing w:line="240" w:lineRule="auto"/>
                    <w:ind w:firstLine="0" w:firstLineChars="0"/>
                    <w:jc w:val="center"/>
                    <w:rPr>
                      <w:b/>
                      <w:bCs/>
                      <w:kern w:val="0"/>
                      <w:sz w:val="21"/>
                      <w:szCs w:val="21"/>
                    </w:rPr>
                  </w:pPr>
                  <w:r>
                    <w:rPr>
                      <w:rFonts w:hint="eastAsia"/>
                      <w:b/>
                      <w:bCs/>
                      <w:kern w:val="0"/>
                      <w:sz w:val="21"/>
                      <w:szCs w:val="21"/>
                    </w:rPr>
                    <w:t>噪声源</w:t>
                  </w:r>
                </w:p>
              </w:tc>
              <w:tc>
                <w:tcPr>
                  <w:tcW w:w="1686" w:type="dxa"/>
                  <w:tcBorders>
                    <w:tl2br w:val="nil"/>
                    <w:tr2bl w:val="nil"/>
                  </w:tcBorders>
                  <w:vAlign w:val="center"/>
                </w:tcPr>
                <w:p>
                  <w:pPr>
                    <w:spacing w:line="240" w:lineRule="auto"/>
                    <w:ind w:firstLine="0" w:firstLineChars="0"/>
                    <w:jc w:val="center"/>
                    <w:rPr>
                      <w:b/>
                      <w:bCs/>
                      <w:kern w:val="0"/>
                      <w:sz w:val="21"/>
                      <w:szCs w:val="21"/>
                    </w:rPr>
                  </w:pPr>
                  <w:r>
                    <w:rPr>
                      <w:rFonts w:hint="eastAsia"/>
                      <w:b/>
                      <w:bCs/>
                      <w:kern w:val="0"/>
                      <w:sz w:val="21"/>
                      <w:szCs w:val="21"/>
                    </w:rPr>
                    <w:t>固体废物堆场</w:t>
                  </w:r>
                </w:p>
              </w:tc>
              <w:tc>
                <w:tcPr>
                  <w:tcW w:w="1456" w:type="dxa"/>
                  <w:tcBorders>
                    <w:tl2br w:val="nil"/>
                    <w:tr2bl w:val="nil"/>
                  </w:tcBorders>
                  <w:vAlign w:val="center"/>
                </w:tcPr>
                <w:p>
                  <w:pPr>
                    <w:spacing w:line="240" w:lineRule="auto"/>
                    <w:ind w:firstLine="0" w:firstLineChars="0"/>
                    <w:jc w:val="center"/>
                    <w:rPr>
                      <w:b/>
                      <w:bCs/>
                      <w:kern w:val="0"/>
                      <w:sz w:val="21"/>
                      <w:szCs w:val="21"/>
                    </w:rPr>
                  </w:pPr>
                  <w:r>
                    <w:rPr>
                      <w:rFonts w:hint="eastAsia"/>
                      <w:b/>
                      <w:bCs/>
                      <w:kern w:val="0"/>
                      <w:sz w:val="21"/>
                      <w:szCs w:val="21"/>
                    </w:rPr>
                    <w:t>危险废物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2" w:hRule="atLeast"/>
                <w:jc w:val="center"/>
              </w:trPr>
              <w:tc>
                <w:tcPr>
                  <w:tcW w:w="676" w:type="dxa"/>
                  <w:tcBorders>
                    <w:tl2br w:val="nil"/>
                    <w:tr2bl w:val="nil"/>
                  </w:tcBorders>
                  <w:vAlign w:val="center"/>
                </w:tcPr>
                <w:p>
                  <w:pPr>
                    <w:spacing w:line="240" w:lineRule="auto"/>
                    <w:ind w:firstLine="0" w:firstLineChars="0"/>
                    <w:jc w:val="center"/>
                    <w:rPr>
                      <w:kern w:val="0"/>
                      <w:sz w:val="21"/>
                      <w:szCs w:val="21"/>
                    </w:rPr>
                  </w:pPr>
                  <w:r>
                    <w:rPr>
                      <w:rFonts w:hint="eastAsia"/>
                      <w:kern w:val="0"/>
                      <w:sz w:val="21"/>
                      <w:szCs w:val="21"/>
                    </w:rPr>
                    <w:t>图形符号</w:t>
                  </w:r>
                </w:p>
              </w:tc>
              <w:tc>
                <w:tcPr>
                  <w:tcW w:w="1662" w:type="dxa"/>
                  <w:tcBorders>
                    <w:tl2br w:val="nil"/>
                    <w:tr2bl w:val="nil"/>
                  </w:tcBorders>
                  <w:vAlign w:val="center"/>
                </w:tcPr>
                <w:p>
                  <w:pPr>
                    <w:spacing w:line="240" w:lineRule="auto"/>
                    <w:ind w:firstLine="0" w:firstLineChars="0"/>
                    <w:jc w:val="center"/>
                    <w:rPr>
                      <w:kern w:val="0"/>
                      <w:sz w:val="21"/>
                      <w:szCs w:val="21"/>
                    </w:rPr>
                  </w:pPr>
                  <w:r>
                    <w:rPr>
                      <w:kern w:val="0"/>
                      <w:sz w:val="18"/>
                      <w:szCs w:val="18"/>
                    </w:rPr>
                    <w:drawing>
                      <wp:inline distT="0" distB="0" distL="114300" distR="114300">
                        <wp:extent cx="933450" cy="1003935"/>
                        <wp:effectExtent l="0" t="0" r="0" b="5715"/>
                        <wp:docPr id="2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45"/>
                                <pic:cNvPicPr>
                                  <a:picLocks noChangeAspect="1"/>
                                </pic:cNvPicPr>
                              </pic:nvPicPr>
                              <pic:blipFill>
                                <a:blip r:embed="rId37" r:link="rId38" cstate="print"/>
                                <a:stretch>
                                  <a:fillRect/>
                                </a:stretch>
                              </pic:blipFill>
                              <pic:spPr>
                                <a:xfrm>
                                  <a:off x="0" y="0"/>
                                  <a:ext cx="933450" cy="1003935"/>
                                </a:xfrm>
                                <a:prstGeom prst="rect">
                                  <a:avLst/>
                                </a:prstGeom>
                                <a:noFill/>
                                <a:ln w="9525">
                                  <a:noFill/>
                                </a:ln>
                              </pic:spPr>
                            </pic:pic>
                          </a:graphicData>
                        </a:graphic>
                      </wp:inline>
                    </w:drawing>
                  </w:r>
                </w:p>
              </w:tc>
              <w:tc>
                <w:tcPr>
                  <w:tcW w:w="1566" w:type="dxa"/>
                  <w:tcBorders>
                    <w:tl2br w:val="nil"/>
                    <w:tr2bl w:val="nil"/>
                  </w:tcBorders>
                  <w:vAlign w:val="center"/>
                </w:tcPr>
                <w:p>
                  <w:pPr>
                    <w:spacing w:line="240" w:lineRule="auto"/>
                    <w:ind w:firstLine="0" w:firstLineChars="0"/>
                    <w:jc w:val="center"/>
                    <w:rPr>
                      <w:kern w:val="0"/>
                      <w:sz w:val="21"/>
                      <w:szCs w:val="21"/>
                    </w:rPr>
                  </w:pPr>
                  <w:r>
                    <w:rPr>
                      <w:kern w:val="0"/>
                      <w:sz w:val="18"/>
                      <w:szCs w:val="18"/>
                    </w:rPr>
                    <w:drawing>
                      <wp:inline distT="0" distB="0" distL="114300" distR="114300">
                        <wp:extent cx="857250" cy="1009650"/>
                        <wp:effectExtent l="0" t="0" r="0" b="0"/>
                        <wp:docPr id="2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6"/>
                                <pic:cNvPicPr>
                                  <a:picLocks noChangeAspect="1"/>
                                </pic:cNvPicPr>
                              </pic:nvPicPr>
                              <pic:blipFill>
                                <a:blip r:embed="rId39" r:link="rId40" cstate="print"/>
                                <a:stretch>
                                  <a:fillRect/>
                                </a:stretch>
                              </pic:blipFill>
                              <pic:spPr>
                                <a:xfrm>
                                  <a:off x="0" y="0"/>
                                  <a:ext cx="857250" cy="1009650"/>
                                </a:xfrm>
                                <a:prstGeom prst="rect">
                                  <a:avLst/>
                                </a:prstGeom>
                                <a:noFill/>
                                <a:ln w="9525">
                                  <a:noFill/>
                                </a:ln>
                              </pic:spPr>
                            </pic:pic>
                          </a:graphicData>
                        </a:graphic>
                      </wp:inline>
                    </w:drawing>
                  </w:r>
                </w:p>
              </w:tc>
              <w:tc>
                <w:tcPr>
                  <w:tcW w:w="1686" w:type="dxa"/>
                  <w:tcBorders>
                    <w:tl2br w:val="nil"/>
                    <w:tr2bl w:val="nil"/>
                  </w:tcBorders>
                  <w:vAlign w:val="center"/>
                </w:tcPr>
                <w:p>
                  <w:pPr>
                    <w:spacing w:line="240" w:lineRule="auto"/>
                    <w:ind w:firstLine="0" w:firstLineChars="0"/>
                    <w:jc w:val="center"/>
                    <w:rPr>
                      <w:kern w:val="0"/>
                      <w:sz w:val="21"/>
                      <w:szCs w:val="21"/>
                    </w:rPr>
                  </w:pPr>
                  <w:r>
                    <w:rPr>
                      <w:kern w:val="0"/>
                      <w:sz w:val="18"/>
                      <w:szCs w:val="18"/>
                    </w:rPr>
                    <w:drawing>
                      <wp:inline distT="0" distB="0" distL="114300" distR="114300">
                        <wp:extent cx="933450" cy="1009650"/>
                        <wp:effectExtent l="0" t="0" r="0" b="0"/>
                        <wp:docPr id="28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47"/>
                                <pic:cNvPicPr>
                                  <a:picLocks noChangeAspect="1"/>
                                </pic:cNvPicPr>
                              </pic:nvPicPr>
                              <pic:blipFill>
                                <a:blip r:embed="rId41" r:link="rId42" cstate="print"/>
                                <a:stretch>
                                  <a:fillRect/>
                                </a:stretch>
                              </pic:blipFill>
                              <pic:spPr>
                                <a:xfrm>
                                  <a:off x="0" y="0"/>
                                  <a:ext cx="933450" cy="1009650"/>
                                </a:xfrm>
                                <a:prstGeom prst="rect">
                                  <a:avLst/>
                                </a:prstGeom>
                                <a:noFill/>
                                <a:ln w="9525">
                                  <a:noFill/>
                                </a:ln>
                              </pic:spPr>
                            </pic:pic>
                          </a:graphicData>
                        </a:graphic>
                      </wp:inline>
                    </w:drawing>
                  </w:r>
                </w:p>
              </w:tc>
              <w:tc>
                <w:tcPr>
                  <w:tcW w:w="1686" w:type="dxa"/>
                  <w:tcBorders>
                    <w:tl2br w:val="nil"/>
                    <w:tr2bl w:val="nil"/>
                  </w:tcBorders>
                </w:tcPr>
                <w:p>
                  <w:pPr>
                    <w:pStyle w:val="7"/>
                  </w:pPr>
                  <w:r>
                    <w:rPr>
                      <w:kern w:val="0"/>
                      <w:sz w:val="18"/>
                      <w:szCs w:val="18"/>
                    </w:rPr>
                    <w:drawing>
                      <wp:inline distT="0" distB="0" distL="114300" distR="114300">
                        <wp:extent cx="933450" cy="982980"/>
                        <wp:effectExtent l="0" t="0" r="0" b="7620"/>
                        <wp:docPr id="29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48"/>
                                <pic:cNvPicPr>
                                  <a:picLocks noChangeAspect="1"/>
                                </pic:cNvPicPr>
                              </pic:nvPicPr>
                              <pic:blipFill>
                                <a:blip r:embed="rId43" r:link="rId44" cstate="print"/>
                                <a:stretch>
                                  <a:fillRect/>
                                </a:stretch>
                              </pic:blipFill>
                              <pic:spPr>
                                <a:xfrm>
                                  <a:off x="0" y="0"/>
                                  <a:ext cx="933450" cy="982980"/>
                                </a:xfrm>
                                <a:prstGeom prst="rect">
                                  <a:avLst/>
                                </a:prstGeom>
                                <a:noFill/>
                                <a:ln w="9525">
                                  <a:noFill/>
                                </a:ln>
                              </pic:spPr>
                            </pic:pic>
                          </a:graphicData>
                        </a:graphic>
                      </wp:inline>
                    </w:drawing>
                  </w:r>
                </w:p>
              </w:tc>
              <w:tc>
                <w:tcPr>
                  <w:tcW w:w="1456" w:type="dxa"/>
                  <w:tcBorders>
                    <w:tl2br w:val="nil"/>
                    <w:tr2bl w:val="nil"/>
                  </w:tcBorders>
                  <w:vAlign w:val="center"/>
                </w:tcPr>
                <w:p>
                  <w:pPr>
                    <w:spacing w:line="240" w:lineRule="auto"/>
                    <w:ind w:firstLine="0" w:firstLineChars="0"/>
                    <w:jc w:val="center"/>
                    <w:rPr>
                      <w:kern w:val="0"/>
                      <w:sz w:val="21"/>
                      <w:szCs w:val="21"/>
                    </w:rPr>
                  </w:pPr>
                  <w:r>
                    <w:rPr>
                      <w:kern w:val="0"/>
                      <w:sz w:val="20"/>
                      <w:szCs w:val="20"/>
                    </w:rPr>
                    <w:drawing>
                      <wp:inline distT="0" distB="0" distL="0" distR="0">
                        <wp:extent cx="787400" cy="992505"/>
                        <wp:effectExtent l="0" t="0" r="12700" b="17145"/>
                        <wp:docPr id="12" name="图片 12" descr="http://img1.99114.com/group10/M00/51/87/rBADs1oFavaAcS2MAABFGu9A4-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img1.99114.com/group10/M00/51/87/rBADs1oFavaAcS2MAABFGu9A4-49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88003" cy="992885"/>
                                </a:xfrm>
                                <a:prstGeom prst="rect">
                                  <a:avLst/>
                                </a:prstGeom>
                                <a:noFill/>
                                <a:ln>
                                  <a:noFill/>
                                </a:ln>
                              </pic:spPr>
                            </pic:pic>
                          </a:graphicData>
                        </a:graphic>
                      </wp:inline>
                    </w:drawing>
                  </w:r>
                </w:p>
              </w:tc>
            </w:tr>
          </w:tbl>
          <w:p>
            <w:pPr>
              <w:spacing w:line="360" w:lineRule="auto"/>
              <w:ind w:firstLine="482" w:firstLineChars="200"/>
              <w:contextualSpacing/>
              <w:outlineLvl w:val="0"/>
              <w:rPr>
                <w:rFonts w:hAnsi="宋体"/>
                <w:b/>
                <w:bCs/>
                <w:kern w:val="18"/>
                <w:sz w:val="24"/>
              </w:rPr>
            </w:pPr>
            <w:r>
              <w:rPr>
                <w:rFonts w:hint="eastAsia" w:hAnsi="宋体"/>
                <w:b/>
                <w:bCs/>
                <w:kern w:val="18"/>
                <w:sz w:val="24"/>
              </w:rPr>
              <w:t>二、环境监测计划</w:t>
            </w:r>
          </w:p>
          <w:p>
            <w:pPr>
              <w:spacing w:line="360" w:lineRule="auto"/>
              <w:ind w:firstLine="480" w:firstLineChars="200"/>
              <w:jc w:val="left"/>
              <w:rPr>
                <w:sz w:val="24"/>
              </w:rPr>
            </w:pPr>
            <w:r>
              <w:rPr>
                <w:sz w:val="24"/>
              </w:rPr>
              <w:t>环境监测计划是指项目在建设期、运行期对工程的主要污染因子进行环境样品监测化验、数据处理以及编制监测报告，为环境管理部门强化环境管理、编制环保计划、制定污染防治对策等提供科学依据。</w:t>
            </w:r>
          </w:p>
          <w:p>
            <w:pPr>
              <w:spacing w:line="360" w:lineRule="auto"/>
              <w:ind w:firstLine="480" w:firstLineChars="200"/>
              <w:jc w:val="left"/>
              <w:rPr>
                <w:sz w:val="24"/>
                <w:u w:val="single"/>
              </w:rPr>
            </w:pPr>
            <w:r>
              <w:rPr>
                <w:sz w:val="24"/>
                <w:u w:val="single"/>
              </w:rPr>
              <w:t>环境监测是环境管理的依据和基础，为环境统计和环境定量评价提供科学依据，并据此制定防治对策和规划。企业主要负责污染源和环境质量的监测任务，具体监测时间、频率、点位服从环保部门的规定和要求。监测项目针对建设项目生产特征、污染物影响特性及测试手段的可靠性进行确定，各污染源排放口应规范设置。本项目监测因子、点位及频率见表</w:t>
            </w:r>
            <w:r>
              <w:rPr>
                <w:rFonts w:hint="eastAsia"/>
                <w:sz w:val="24"/>
                <w:u w:val="single"/>
                <w:lang w:val="en-US" w:eastAsia="zh-CN"/>
              </w:rPr>
              <w:t>11</w:t>
            </w:r>
            <w:r>
              <w:rPr>
                <w:rFonts w:hint="eastAsia"/>
                <w:sz w:val="24"/>
                <w:u w:val="single"/>
              </w:rPr>
              <w:t>-</w:t>
            </w:r>
            <w:r>
              <w:rPr>
                <w:rFonts w:hint="eastAsia"/>
                <w:sz w:val="24"/>
                <w:u w:val="single"/>
                <w:lang w:val="en-US" w:eastAsia="zh-CN"/>
              </w:rPr>
              <w:t>2</w:t>
            </w:r>
            <w:r>
              <w:rPr>
                <w:sz w:val="24"/>
                <w:u w:val="single"/>
              </w:rPr>
              <w:t>。</w:t>
            </w:r>
          </w:p>
          <w:p>
            <w:pPr>
              <w:spacing w:line="360" w:lineRule="auto"/>
              <w:jc w:val="center"/>
              <w:rPr>
                <w:b/>
                <w:szCs w:val="21"/>
                <w:u w:val="single"/>
              </w:rPr>
            </w:pPr>
            <w:r>
              <w:rPr>
                <w:b/>
                <w:szCs w:val="21"/>
                <w:u w:val="single"/>
              </w:rPr>
              <w:t>表</w:t>
            </w:r>
            <w:r>
              <w:rPr>
                <w:rFonts w:hint="eastAsia"/>
                <w:b/>
                <w:szCs w:val="21"/>
                <w:u w:val="single"/>
                <w:lang w:val="en-US" w:eastAsia="zh-CN"/>
              </w:rPr>
              <w:t>11</w:t>
            </w:r>
            <w:r>
              <w:rPr>
                <w:rFonts w:hint="eastAsia"/>
                <w:b/>
                <w:szCs w:val="21"/>
                <w:u w:val="single"/>
              </w:rPr>
              <w:t>-</w:t>
            </w:r>
            <w:r>
              <w:rPr>
                <w:rFonts w:hint="eastAsia"/>
                <w:b/>
                <w:szCs w:val="21"/>
                <w:u w:val="single"/>
                <w:lang w:val="en-US" w:eastAsia="zh-CN"/>
              </w:rPr>
              <w:t>2</w:t>
            </w:r>
            <w:r>
              <w:rPr>
                <w:b/>
                <w:szCs w:val="21"/>
                <w:u w:val="single"/>
              </w:rPr>
              <w:t xml:space="preserve">   本项目营运期监测计划一览表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8"/>
              <w:gridCol w:w="1652"/>
              <w:gridCol w:w="1592"/>
              <w:gridCol w:w="1194"/>
              <w:gridCol w:w="35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68" w:type="dxa"/>
                  <w:tcBorders>
                    <w:tl2br w:val="nil"/>
                    <w:tr2bl w:val="nil"/>
                  </w:tcBorders>
                  <w:vAlign w:val="center"/>
                </w:tcPr>
                <w:p>
                  <w:pPr>
                    <w:pStyle w:val="76"/>
                    <w:spacing w:line="240" w:lineRule="auto"/>
                    <w:rPr>
                      <w:rFonts w:hint="default" w:ascii="Times New Roman" w:hAnsi="Times New Roman"/>
                      <w:b/>
                      <w:bCs/>
                      <w:u w:val="single"/>
                    </w:rPr>
                  </w:pPr>
                  <w:r>
                    <w:rPr>
                      <w:rFonts w:hint="default" w:ascii="Times New Roman" w:hAnsi="Times New Roman"/>
                      <w:b/>
                      <w:bCs/>
                      <w:u w:val="single"/>
                    </w:rPr>
                    <w:t>类别</w:t>
                  </w:r>
                </w:p>
              </w:tc>
              <w:tc>
                <w:tcPr>
                  <w:tcW w:w="1652" w:type="dxa"/>
                  <w:tcBorders>
                    <w:tl2br w:val="nil"/>
                    <w:tr2bl w:val="nil"/>
                  </w:tcBorders>
                  <w:vAlign w:val="center"/>
                </w:tcPr>
                <w:p>
                  <w:pPr>
                    <w:pStyle w:val="76"/>
                    <w:spacing w:line="240" w:lineRule="auto"/>
                    <w:rPr>
                      <w:rFonts w:hint="eastAsia" w:ascii="Times New Roman" w:hAnsi="Times New Roman" w:eastAsiaTheme="minorEastAsia"/>
                      <w:b/>
                      <w:bCs/>
                      <w:u w:val="single"/>
                      <w:lang w:eastAsia="zh-CN"/>
                    </w:rPr>
                  </w:pPr>
                  <w:r>
                    <w:rPr>
                      <w:rFonts w:hint="default" w:ascii="Times New Roman" w:hAnsi="Times New Roman"/>
                      <w:b/>
                      <w:bCs/>
                      <w:u w:val="single"/>
                    </w:rPr>
                    <w:t>监测点</w:t>
                  </w:r>
                  <w:r>
                    <w:rPr>
                      <w:rFonts w:hint="eastAsia" w:ascii="Times New Roman" w:hAnsi="Times New Roman"/>
                      <w:b/>
                      <w:bCs/>
                      <w:u w:val="single"/>
                      <w:lang w:eastAsia="zh-CN"/>
                    </w:rPr>
                    <w:t>位</w:t>
                  </w:r>
                </w:p>
              </w:tc>
              <w:tc>
                <w:tcPr>
                  <w:tcW w:w="1592" w:type="dxa"/>
                  <w:tcBorders>
                    <w:tl2br w:val="nil"/>
                    <w:tr2bl w:val="nil"/>
                  </w:tcBorders>
                  <w:vAlign w:val="center"/>
                </w:tcPr>
                <w:p>
                  <w:pPr>
                    <w:pStyle w:val="76"/>
                    <w:spacing w:line="240" w:lineRule="auto"/>
                    <w:rPr>
                      <w:rFonts w:hint="default" w:ascii="Times New Roman" w:hAnsi="Times New Roman"/>
                      <w:b/>
                      <w:bCs/>
                      <w:u w:val="single"/>
                    </w:rPr>
                  </w:pPr>
                  <w:r>
                    <w:rPr>
                      <w:rFonts w:hint="default" w:ascii="Times New Roman" w:hAnsi="Times New Roman"/>
                      <w:b/>
                      <w:bCs/>
                      <w:u w:val="single"/>
                    </w:rPr>
                    <w:t>监测项目</w:t>
                  </w:r>
                </w:p>
              </w:tc>
              <w:tc>
                <w:tcPr>
                  <w:tcW w:w="1194" w:type="dxa"/>
                  <w:tcBorders>
                    <w:tl2br w:val="nil"/>
                    <w:tr2bl w:val="nil"/>
                  </w:tcBorders>
                  <w:vAlign w:val="center"/>
                </w:tcPr>
                <w:p>
                  <w:pPr>
                    <w:pStyle w:val="76"/>
                    <w:spacing w:line="240" w:lineRule="auto"/>
                    <w:rPr>
                      <w:rFonts w:hint="default" w:ascii="Times New Roman" w:hAnsi="Times New Roman"/>
                      <w:b/>
                      <w:bCs/>
                      <w:u w:val="single"/>
                    </w:rPr>
                  </w:pPr>
                  <w:r>
                    <w:rPr>
                      <w:rFonts w:hint="default" w:ascii="Times New Roman" w:hAnsi="Times New Roman"/>
                      <w:b/>
                      <w:bCs/>
                      <w:u w:val="single"/>
                    </w:rPr>
                    <w:t>监测频次</w:t>
                  </w:r>
                </w:p>
              </w:tc>
              <w:tc>
                <w:tcPr>
                  <w:tcW w:w="3511" w:type="dxa"/>
                  <w:tcBorders>
                    <w:tl2br w:val="nil"/>
                    <w:tr2bl w:val="nil"/>
                  </w:tcBorders>
                  <w:vAlign w:val="center"/>
                </w:tcPr>
                <w:p>
                  <w:pPr>
                    <w:pStyle w:val="76"/>
                    <w:spacing w:line="240" w:lineRule="auto"/>
                    <w:rPr>
                      <w:rFonts w:hint="default" w:ascii="Times New Roman" w:hAnsi="Times New Roman"/>
                      <w:b/>
                      <w:bCs/>
                      <w:u w:val="single"/>
                    </w:rPr>
                  </w:pPr>
                  <w:r>
                    <w:rPr>
                      <w:rFonts w:hint="default" w:ascii="Times New Roman" w:hAnsi="Times New Roman"/>
                      <w:b/>
                      <w:bCs/>
                      <w:u w:val="single"/>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1" w:hRule="atLeast"/>
                <w:jc w:val="center"/>
              </w:trPr>
              <w:tc>
                <w:tcPr>
                  <w:tcW w:w="668" w:type="dxa"/>
                  <w:vMerge w:val="restart"/>
                  <w:tcBorders>
                    <w:tl2br w:val="nil"/>
                    <w:tr2bl w:val="nil"/>
                  </w:tcBorders>
                  <w:vAlign w:val="center"/>
                </w:tcPr>
                <w:p>
                  <w:pPr>
                    <w:pStyle w:val="76"/>
                    <w:spacing w:line="240" w:lineRule="auto"/>
                    <w:rPr>
                      <w:rFonts w:hint="eastAsia" w:ascii="Times New Roman" w:hAnsi="Times New Roman" w:eastAsiaTheme="minorEastAsia"/>
                      <w:u w:val="single"/>
                      <w:lang w:eastAsia="zh-CN"/>
                    </w:rPr>
                  </w:pPr>
                  <w:r>
                    <w:rPr>
                      <w:rFonts w:hint="eastAsia" w:ascii="Times New Roman" w:hAnsi="Times New Roman"/>
                      <w:u w:val="single"/>
                      <w:lang w:eastAsia="zh-CN"/>
                    </w:rPr>
                    <w:t>废气（有组织）</w:t>
                  </w:r>
                </w:p>
              </w:tc>
              <w:tc>
                <w:tcPr>
                  <w:tcW w:w="1652" w:type="dxa"/>
                  <w:tcBorders>
                    <w:tl2br w:val="nil"/>
                    <w:tr2bl w:val="nil"/>
                  </w:tcBorders>
                  <w:vAlign w:val="center"/>
                </w:tcPr>
                <w:p>
                  <w:pPr>
                    <w:pStyle w:val="76"/>
                    <w:spacing w:line="240" w:lineRule="auto"/>
                    <w:rPr>
                      <w:rFonts w:hint="default" w:ascii="Times New Roman" w:hAnsi="Times New Roman"/>
                      <w:u w:val="single"/>
                      <w:lang w:val="en-US" w:eastAsia="zh-CN"/>
                    </w:rPr>
                  </w:pPr>
                  <w:r>
                    <w:rPr>
                      <w:rFonts w:hint="eastAsia" w:ascii="Times New Roman" w:hAnsi="Times New Roman"/>
                      <w:u w:val="single"/>
                      <w:lang w:val="en-US" w:eastAsia="zh-CN"/>
                    </w:rPr>
                    <w:t>粉尘排气筒出口（P1）</w:t>
                  </w:r>
                </w:p>
              </w:tc>
              <w:tc>
                <w:tcPr>
                  <w:tcW w:w="1592" w:type="dxa"/>
                  <w:tcBorders>
                    <w:tl2br w:val="nil"/>
                    <w:tr2bl w:val="nil"/>
                  </w:tcBorders>
                  <w:vAlign w:val="center"/>
                </w:tcPr>
                <w:p>
                  <w:pPr>
                    <w:pStyle w:val="76"/>
                    <w:spacing w:line="240" w:lineRule="auto"/>
                    <w:rPr>
                      <w:rFonts w:hint="default" w:ascii="Times New Roman" w:hAnsi="Times New Roman"/>
                      <w:u w:val="single"/>
                      <w:lang w:val="en-US"/>
                    </w:rPr>
                  </w:pPr>
                  <w:r>
                    <w:rPr>
                      <w:rFonts w:hint="eastAsia" w:ascii="Times New Roman" w:hAnsi="Times New Roman"/>
                      <w:u w:val="single"/>
                      <w:lang w:val="en-US" w:eastAsia="zh-CN"/>
                    </w:rPr>
                    <w:t>颗粒物</w:t>
                  </w:r>
                </w:p>
              </w:tc>
              <w:tc>
                <w:tcPr>
                  <w:tcW w:w="1194" w:type="dxa"/>
                  <w:tcBorders>
                    <w:tl2br w:val="nil"/>
                    <w:tr2bl w:val="nil"/>
                  </w:tcBorders>
                  <w:vAlign w:val="center"/>
                </w:tcPr>
                <w:p>
                  <w:pPr>
                    <w:pStyle w:val="76"/>
                    <w:spacing w:line="240" w:lineRule="auto"/>
                    <w:rPr>
                      <w:rFonts w:hint="default" w:ascii="Times New Roman" w:hAnsi="Times New Roman"/>
                      <w:u w:val="single"/>
                    </w:rPr>
                  </w:pPr>
                  <w:r>
                    <w:rPr>
                      <w:rFonts w:hint="default" w:ascii="Times New Roman" w:hAnsi="Times New Roman"/>
                      <w:u w:val="single"/>
                    </w:rPr>
                    <w:t>1次/</w:t>
                  </w:r>
                  <w:r>
                    <w:rPr>
                      <w:rFonts w:hint="eastAsia" w:ascii="Times New Roman" w:hAnsi="Times New Roman"/>
                      <w:u w:val="single"/>
                      <w:lang w:eastAsia="zh-CN"/>
                    </w:rPr>
                    <w:t>半</w:t>
                  </w:r>
                  <w:r>
                    <w:rPr>
                      <w:rFonts w:hint="default" w:ascii="Times New Roman" w:hAnsi="Times New Roman"/>
                      <w:u w:val="single"/>
                      <w:lang w:val="en-US" w:eastAsia="zh-CN"/>
                    </w:rPr>
                    <w:t>年</w:t>
                  </w:r>
                </w:p>
              </w:tc>
              <w:tc>
                <w:tcPr>
                  <w:tcW w:w="3511" w:type="dxa"/>
                  <w:tcBorders>
                    <w:tl2br w:val="nil"/>
                    <w:tr2bl w:val="nil"/>
                  </w:tcBorders>
                  <w:vAlign w:val="center"/>
                </w:tcPr>
                <w:p>
                  <w:pPr>
                    <w:pStyle w:val="76"/>
                    <w:spacing w:line="240" w:lineRule="auto"/>
                    <w:rPr>
                      <w:rFonts w:hint="eastAsia" w:ascii="Times New Roman" w:hAnsi="Times New Roman" w:eastAsiaTheme="minorEastAsia"/>
                      <w:u w:val="single"/>
                      <w:lang w:eastAsia="zh-CN"/>
                    </w:rPr>
                  </w:pPr>
                  <w:r>
                    <w:rPr>
                      <w:rFonts w:hint="eastAsia" w:ascii="Times New Roman" w:hAnsi="Times New Roman"/>
                      <w:u w:val="single"/>
                      <w:lang w:eastAsia="zh-CN"/>
                    </w:rPr>
                    <w:t>《大气污染物综合排放标准》（GB16297-1996）表2二级标准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1" w:hRule="atLeast"/>
                <w:jc w:val="center"/>
              </w:trPr>
              <w:tc>
                <w:tcPr>
                  <w:tcW w:w="668" w:type="dxa"/>
                  <w:vMerge w:val="continue"/>
                  <w:tcBorders>
                    <w:tl2br w:val="nil"/>
                    <w:tr2bl w:val="nil"/>
                  </w:tcBorders>
                  <w:vAlign w:val="center"/>
                </w:tcPr>
                <w:p>
                  <w:pPr>
                    <w:pStyle w:val="76"/>
                    <w:spacing w:line="240" w:lineRule="auto"/>
                    <w:rPr>
                      <w:rFonts w:hint="eastAsia" w:ascii="Times New Roman" w:hAnsi="Times New Roman"/>
                      <w:u w:val="single"/>
                      <w:lang w:eastAsia="zh-CN"/>
                    </w:rPr>
                  </w:pPr>
                </w:p>
              </w:tc>
              <w:tc>
                <w:tcPr>
                  <w:tcW w:w="1652" w:type="dxa"/>
                  <w:tcBorders>
                    <w:tl2br w:val="nil"/>
                    <w:tr2bl w:val="nil"/>
                  </w:tcBorders>
                  <w:vAlign w:val="center"/>
                </w:tcPr>
                <w:p>
                  <w:pPr>
                    <w:pStyle w:val="76"/>
                    <w:spacing w:line="240" w:lineRule="auto"/>
                    <w:rPr>
                      <w:rFonts w:hint="eastAsia" w:ascii="Times New Roman" w:hAnsi="Times New Roman"/>
                      <w:u w:val="single"/>
                      <w:lang w:val="en-US" w:eastAsia="zh-CN"/>
                    </w:rPr>
                  </w:pPr>
                  <w:r>
                    <w:rPr>
                      <w:rFonts w:hint="eastAsia" w:ascii="Times New Roman" w:hAnsi="Times New Roman"/>
                      <w:u w:val="single"/>
                      <w:lang w:val="en-US" w:eastAsia="zh-CN"/>
                    </w:rPr>
                    <w:t>恶臭排气筒出口（P2）</w:t>
                  </w:r>
                </w:p>
              </w:tc>
              <w:tc>
                <w:tcPr>
                  <w:tcW w:w="1592" w:type="dxa"/>
                  <w:tcBorders>
                    <w:tl2br w:val="nil"/>
                    <w:tr2bl w:val="nil"/>
                  </w:tcBorders>
                  <w:vAlign w:val="center"/>
                </w:tcPr>
                <w:p>
                  <w:pPr>
                    <w:pStyle w:val="76"/>
                    <w:spacing w:line="240" w:lineRule="auto"/>
                    <w:rPr>
                      <w:rFonts w:hint="eastAsia" w:ascii="Times New Roman" w:hAnsi="Times New Roman"/>
                      <w:u w:val="single"/>
                      <w:lang w:val="en-US" w:eastAsia="zh-CN"/>
                    </w:rPr>
                  </w:pPr>
                  <w:r>
                    <w:rPr>
                      <w:rFonts w:hint="eastAsia" w:ascii="Times New Roman" w:hAnsi="Times New Roman"/>
                      <w:u w:val="single"/>
                      <w:lang w:val="en-US" w:eastAsia="zh-CN"/>
                    </w:rPr>
                    <w:t>臭气浓度、NH</w:t>
                  </w:r>
                  <w:r>
                    <w:rPr>
                      <w:rFonts w:hint="eastAsia" w:ascii="Times New Roman" w:hAnsi="Times New Roman"/>
                      <w:u w:val="single"/>
                      <w:vertAlign w:val="subscript"/>
                      <w:lang w:val="en-US" w:eastAsia="zh-CN"/>
                    </w:rPr>
                    <w:t>3</w:t>
                  </w:r>
                  <w:r>
                    <w:rPr>
                      <w:rFonts w:hint="eastAsia" w:ascii="Times New Roman" w:hAnsi="Times New Roman"/>
                      <w:u w:val="single"/>
                      <w:lang w:val="en-US" w:eastAsia="zh-CN"/>
                    </w:rPr>
                    <w:t>、H</w:t>
                  </w:r>
                  <w:r>
                    <w:rPr>
                      <w:rFonts w:hint="eastAsia" w:ascii="Times New Roman" w:hAnsi="Times New Roman"/>
                      <w:u w:val="single"/>
                      <w:vertAlign w:val="subscript"/>
                      <w:lang w:val="en-US" w:eastAsia="zh-CN"/>
                    </w:rPr>
                    <w:t>2</w:t>
                  </w:r>
                  <w:r>
                    <w:rPr>
                      <w:rFonts w:hint="eastAsia" w:ascii="Times New Roman" w:hAnsi="Times New Roman"/>
                      <w:u w:val="single"/>
                      <w:lang w:val="en-US" w:eastAsia="zh-CN"/>
                    </w:rPr>
                    <w:t>S</w:t>
                  </w:r>
                </w:p>
              </w:tc>
              <w:tc>
                <w:tcPr>
                  <w:tcW w:w="1194" w:type="dxa"/>
                  <w:tcBorders>
                    <w:tl2br w:val="nil"/>
                    <w:tr2bl w:val="nil"/>
                  </w:tcBorders>
                  <w:vAlign w:val="center"/>
                </w:tcPr>
                <w:p>
                  <w:pPr>
                    <w:spacing w:line="240" w:lineRule="auto"/>
                    <w:jc w:val="center"/>
                    <w:rPr>
                      <w:rFonts w:hint="default" w:ascii="Times New Roman" w:hAnsi="Times New Roman"/>
                      <w:u w:val="single"/>
                    </w:rPr>
                  </w:pPr>
                  <w:r>
                    <w:rPr>
                      <w:rFonts w:hint="default" w:ascii="Times New Roman" w:hAnsi="Times New Roman"/>
                      <w:u w:val="single"/>
                    </w:rPr>
                    <w:t>1次/</w:t>
                  </w:r>
                  <w:r>
                    <w:rPr>
                      <w:rFonts w:hint="eastAsia" w:ascii="Times New Roman" w:hAnsi="Times New Roman"/>
                      <w:u w:val="single"/>
                      <w:lang w:eastAsia="zh-CN"/>
                    </w:rPr>
                    <w:t>半</w:t>
                  </w:r>
                  <w:r>
                    <w:rPr>
                      <w:rFonts w:hint="default" w:ascii="Times New Roman" w:hAnsi="Times New Roman"/>
                      <w:u w:val="single"/>
                      <w:lang w:val="en-US" w:eastAsia="zh-CN"/>
                    </w:rPr>
                    <w:t>年</w:t>
                  </w:r>
                </w:p>
              </w:tc>
              <w:tc>
                <w:tcPr>
                  <w:tcW w:w="3511" w:type="dxa"/>
                  <w:tcBorders>
                    <w:tl2br w:val="nil"/>
                    <w:tr2bl w:val="nil"/>
                  </w:tcBorders>
                  <w:vAlign w:val="center"/>
                </w:tcPr>
                <w:p>
                  <w:pPr>
                    <w:pStyle w:val="76"/>
                    <w:spacing w:line="240" w:lineRule="auto"/>
                    <w:rPr>
                      <w:rFonts w:hint="eastAsia" w:ascii="Times New Roman" w:hAnsi="Times New Roman"/>
                      <w:u w:val="single"/>
                      <w:lang w:eastAsia="zh-CN"/>
                    </w:rPr>
                  </w:pPr>
                  <w:r>
                    <w:rPr>
                      <w:rFonts w:hint="eastAsia" w:ascii="Times New Roman" w:hAnsi="Times New Roman"/>
                      <w:u w:val="single"/>
                      <w:lang w:eastAsia="zh-CN"/>
                    </w:rPr>
                    <w:t>《恶臭污染物排放标准》(GB14554-93)</w:t>
                  </w:r>
                  <w:r>
                    <w:rPr>
                      <w:rFonts w:hint="eastAsia" w:ascii="Times New Roman" w:hAnsi="Times New Roman"/>
                      <w:u w:val="single"/>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1" w:hRule="atLeast"/>
                <w:jc w:val="center"/>
              </w:trPr>
              <w:tc>
                <w:tcPr>
                  <w:tcW w:w="668" w:type="dxa"/>
                  <w:tcBorders>
                    <w:tl2br w:val="nil"/>
                    <w:tr2bl w:val="nil"/>
                  </w:tcBorders>
                  <w:vAlign w:val="center"/>
                </w:tcPr>
                <w:p>
                  <w:pPr>
                    <w:pStyle w:val="76"/>
                    <w:spacing w:line="240" w:lineRule="auto"/>
                    <w:rPr>
                      <w:rFonts w:hint="eastAsia" w:ascii="Times New Roman" w:hAnsi="Times New Roman"/>
                      <w:u w:val="single"/>
                      <w:lang w:eastAsia="zh-CN"/>
                    </w:rPr>
                  </w:pPr>
                  <w:r>
                    <w:rPr>
                      <w:rFonts w:hint="eastAsia" w:ascii="Times New Roman" w:hAnsi="Times New Roman"/>
                      <w:u w:val="single"/>
                      <w:lang w:eastAsia="zh-CN"/>
                    </w:rPr>
                    <w:t>废气（无组织）</w:t>
                  </w:r>
                </w:p>
              </w:tc>
              <w:tc>
                <w:tcPr>
                  <w:tcW w:w="1652" w:type="dxa"/>
                  <w:tcBorders>
                    <w:tl2br w:val="nil"/>
                    <w:tr2bl w:val="nil"/>
                  </w:tcBorders>
                  <w:vAlign w:val="center"/>
                </w:tcPr>
                <w:p>
                  <w:pPr>
                    <w:pStyle w:val="76"/>
                    <w:spacing w:line="240" w:lineRule="auto"/>
                    <w:rPr>
                      <w:rFonts w:hint="eastAsia" w:ascii="Times New Roman" w:hAnsi="Times New Roman"/>
                      <w:u w:val="single"/>
                      <w:lang w:val="en-US" w:eastAsia="zh-CN"/>
                    </w:rPr>
                  </w:pPr>
                  <w:r>
                    <w:rPr>
                      <w:rFonts w:hint="eastAsia" w:ascii="Times New Roman" w:hAnsi="Times New Roman"/>
                      <w:u w:val="single"/>
                      <w:lang w:val="en-US" w:eastAsia="zh-CN"/>
                    </w:rPr>
                    <w:t>厂界下风向浓度最高点</w:t>
                  </w:r>
                </w:p>
              </w:tc>
              <w:tc>
                <w:tcPr>
                  <w:tcW w:w="1592" w:type="dxa"/>
                  <w:tcBorders>
                    <w:tl2br w:val="nil"/>
                    <w:tr2bl w:val="nil"/>
                  </w:tcBorders>
                  <w:vAlign w:val="center"/>
                </w:tcPr>
                <w:p>
                  <w:pPr>
                    <w:pStyle w:val="76"/>
                    <w:spacing w:line="240" w:lineRule="auto"/>
                    <w:rPr>
                      <w:rFonts w:hint="default" w:ascii="Times New Roman" w:hAnsi="Times New Roman"/>
                      <w:u w:val="single"/>
                      <w:lang w:val="en-US" w:eastAsia="zh-CN"/>
                    </w:rPr>
                  </w:pPr>
                  <w:r>
                    <w:rPr>
                      <w:rFonts w:hint="eastAsia" w:ascii="Times New Roman" w:hAnsi="Times New Roman"/>
                      <w:u w:val="single"/>
                      <w:lang w:val="en-US" w:eastAsia="zh-CN"/>
                    </w:rPr>
                    <w:t>臭气浓度、NH</w:t>
                  </w:r>
                  <w:r>
                    <w:rPr>
                      <w:rFonts w:hint="eastAsia" w:ascii="Times New Roman" w:hAnsi="Times New Roman"/>
                      <w:u w:val="single"/>
                      <w:vertAlign w:val="subscript"/>
                      <w:lang w:val="en-US" w:eastAsia="zh-CN"/>
                    </w:rPr>
                    <w:t>3</w:t>
                  </w:r>
                  <w:r>
                    <w:rPr>
                      <w:rFonts w:hint="eastAsia" w:ascii="Times New Roman" w:hAnsi="Times New Roman"/>
                      <w:u w:val="single"/>
                      <w:lang w:val="en-US" w:eastAsia="zh-CN"/>
                    </w:rPr>
                    <w:t>、H</w:t>
                  </w:r>
                  <w:r>
                    <w:rPr>
                      <w:rFonts w:hint="eastAsia" w:ascii="Times New Roman" w:hAnsi="Times New Roman"/>
                      <w:u w:val="single"/>
                      <w:vertAlign w:val="subscript"/>
                      <w:lang w:val="en-US" w:eastAsia="zh-CN"/>
                    </w:rPr>
                    <w:t>2</w:t>
                  </w:r>
                  <w:r>
                    <w:rPr>
                      <w:rFonts w:hint="eastAsia" w:ascii="Times New Roman" w:hAnsi="Times New Roman"/>
                      <w:u w:val="single"/>
                      <w:lang w:val="en-US" w:eastAsia="zh-CN"/>
                    </w:rPr>
                    <w:t>S、颗粒物</w:t>
                  </w:r>
                </w:p>
              </w:tc>
              <w:tc>
                <w:tcPr>
                  <w:tcW w:w="1194" w:type="dxa"/>
                  <w:tcBorders>
                    <w:tl2br w:val="nil"/>
                    <w:tr2bl w:val="nil"/>
                  </w:tcBorders>
                  <w:vAlign w:val="center"/>
                </w:tcPr>
                <w:p>
                  <w:pPr>
                    <w:spacing w:line="240" w:lineRule="auto"/>
                    <w:jc w:val="center"/>
                    <w:rPr>
                      <w:rFonts w:hint="default" w:ascii="Times New Roman" w:hAnsi="Times New Roman"/>
                      <w:u w:val="single"/>
                    </w:rPr>
                  </w:pPr>
                  <w:r>
                    <w:rPr>
                      <w:rFonts w:hint="default" w:ascii="Times New Roman" w:hAnsi="Times New Roman"/>
                      <w:u w:val="single"/>
                    </w:rPr>
                    <w:t>1次/</w:t>
                  </w:r>
                  <w:r>
                    <w:rPr>
                      <w:rFonts w:hint="eastAsia" w:ascii="Times New Roman" w:hAnsi="Times New Roman"/>
                      <w:u w:val="single"/>
                      <w:lang w:eastAsia="zh-CN"/>
                    </w:rPr>
                    <w:t>半</w:t>
                  </w:r>
                  <w:r>
                    <w:rPr>
                      <w:rFonts w:hint="default" w:ascii="Times New Roman" w:hAnsi="Times New Roman"/>
                      <w:u w:val="single"/>
                      <w:lang w:val="en-US" w:eastAsia="zh-CN"/>
                    </w:rPr>
                    <w:t>年</w:t>
                  </w:r>
                </w:p>
              </w:tc>
              <w:tc>
                <w:tcPr>
                  <w:tcW w:w="3511" w:type="dxa"/>
                  <w:tcBorders>
                    <w:tl2br w:val="nil"/>
                    <w:tr2bl w:val="nil"/>
                  </w:tcBorders>
                  <w:vAlign w:val="center"/>
                </w:tcPr>
                <w:p>
                  <w:pPr>
                    <w:pStyle w:val="76"/>
                    <w:spacing w:line="240" w:lineRule="auto"/>
                    <w:rPr>
                      <w:rFonts w:hint="default" w:ascii="Times New Roman" w:hAnsi="Times New Roman"/>
                      <w:u w:val="single"/>
                      <w:lang w:val="en-US" w:eastAsia="zh-CN"/>
                    </w:rPr>
                  </w:pPr>
                  <w:r>
                    <w:rPr>
                      <w:rFonts w:hint="eastAsia" w:ascii="Times New Roman" w:hAnsi="Times New Roman"/>
                      <w:u w:val="single"/>
                      <w:lang w:eastAsia="zh-CN"/>
                    </w:rPr>
                    <w:t>《大气污染物综合排放标准》（GB16297-1996）无组织排放浓度限值及《恶臭污染物排放标准》(GB14554-93)厂界标准值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668" w:type="dxa"/>
                  <w:tcBorders>
                    <w:tl2br w:val="nil"/>
                    <w:tr2bl w:val="nil"/>
                  </w:tcBorders>
                  <w:vAlign w:val="center"/>
                </w:tcPr>
                <w:p>
                  <w:pPr>
                    <w:pStyle w:val="76"/>
                    <w:spacing w:line="240" w:lineRule="auto"/>
                    <w:rPr>
                      <w:rFonts w:hint="eastAsia" w:ascii="Times New Roman" w:hAnsi="Times New Roman" w:eastAsiaTheme="minorEastAsia"/>
                      <w:u w:val="single"/>
                      <w:lang w:eastAsia="zh-CN"/>
                    </w:rPr>
                  </w:pPr>
                  <w:r>
                    <w:rPr>
                      <w:rFonts w:hint="eastAsia" w:ascii="Times New Roman" w:hAnsi="Times New Roman"/>
                      <w:u w:val="single"/>
                      <w:lang w:eastAsia="zh-CN"/>
                    </w:rPr>
                    <w:t>废水</w:t>
                  </w:r>
                </w:p>
              </w:tc>
              <w:tc>
                <w:tcPr>
                  <w:tcW w:w="1652" w:type="dxa"/>
                  <w:tcBorders>
                    <w:tl2br w:val="nil"/>
                    <w:tr2bl w:val="nil"/>
                  </w:tcBorders>
                  <w:vAlign w:val="center"/>
                </w:tcPr>
                <w:p>
                  <w:pPr>
                    <w:pStyle w:val="76"/>
                    <w:spacing w:line="240" w:lineRule="auto"/>
                    <w:rPr>
                      <w:rFonts w:hint="eastAsia" w:ascii="Times New Roman" w:hAnsi="Times New Roman"/>
                      <w:u w:val="single"/>
                      <w:lang w:eastAsia="zh-CN"/>
                    </w:rPr>
                  </w:pPr>
                  <w:r>
                    <w:rPr>
                      <w:rFonts w:hint="eastAsia" w:ascii="Times New Roman" w:hAnsi="Times New Roman"/>
                      <w:u w:val="single"/>
                      <w:lang w:eastAsia="zh-CN"/>
                    </w:rPr>
                    <w:t>化粪池总排口</w:t>
                  </w:r>
                </w:p>
              </w:tc>
              <w:tc>
                <w:tcPr>
                  <w:tcW w:w="1592" w:type="dxa"/>
                  <w:tcBorders>
                    <w:tl2br w:val="nil"/>
                    <w:tr2bl w:val="nil"/>
                  </w:tcBorders>
                  <w:vAlign w:val="center"/>
                </w:tcPr>
                <w:p>
                  <w:pPr>
                    <w:pStyle w:val="76"/>
                    <w:spacing w:line="240" w:lineRule="auto"/>
                    <w:rPr>
                      <w:rFonts w:hint="eastAsia" w:ascii="Times New Roman" w:hAnsi="Times New Roman" w:cs="Times New Roman"/>
                      <w:u w:val="single"/>
                      <w:lang w:val="en-US" w:eastAsia="zh-CN"/>
                    </w:rPr>
                  </w:pPr>
                  <w:r>
                    <w:rPr>
                      <w:rFonts w:hint="default" w:ascii="Times New Roman" w:hAnsi="Times New Roman" w:cs="Times New Roman"/>
                      <w:u w:val="single"/>
                    </w:rPr>
                    <w:t>COD、</w:t>
                  </w:r>
                  <w:r>
                    <w:rPr>
                      <w:rFonts w:hint="eastAsia" w:ascii="Times New Roman" w:hAnsi="Times New Roman" w:cs="Times New Roman"/>
                      <w:u w:val="single"/>
                      <w:lang w:val="en-US" w:eastAsia="zh-CN"/>
                    </w:rPr>
                    <w:t>BOD</w:t>
                  </w:r>
                  <w:r>
                    <w:rPr>
                      <w:rFonts w:hint="eastAsia" w:ascii="Times New Roman" w:hAnsi="Times New Roman" w:cs="Times New Roman"/>
                      <w:u w:val="single"/>
                      <w:vertAlign w:val="subscript"/>
                      <w:lang w:val="en-US" w:eastAsia="zh-CN"/>
                    </w:rPr>
                    <w:t>5</w:t>
                  </w:r>
                  <w:r>
                    <w:rPr>
                      <w:rFonts w:hint="eastAsia" w:ascii="Times New Roman" w:hAnsi="Times New Roman" w:cs="Times New Roman"/>
                      <w:u w:val="single"/>
                      <w:lang w:val="en-US" w:eastAsia="zh-CN"/>
                    </w:rPr>
                    <w:t>、SS、</w:t>
                  </w:r>
                  <w:r>
                    <w:rPr>
                      <w:rFonts w:hint="default" w:ascii="Times New Roman" w:hAnsi="Times New Roman" w:cs="Times New Roman"/>
                      <w:u w:val="single"/>
                    </w:rPr>
                    <w:t>NH</w:t>
                  </w:r>
                  <w:r>
                    <w:rPr>
                      <w:rFonts w:hint="default" w:ascii="Times New Roman" w:hAnsi="Times New Roman" w:cs="Times New Roman"/>
                      <w:u w:val="single"/>
                      <w:vertAlign w:val="subscript"/>
                    </w:rPr>
                    <w:t>3</w:t>
                  </w:r>
                  <w:r>
                    <w:rPr>
                      <w:rFonts w:hint="default" w:ascii="Times New Roman" w:hAnsi="Times New Roman" w:cs="Times New Roman"/>
                      <w:u w:val="single"/>
                    </w:rPr>
                    <w:t>-N</w:t>
                  </w:r>
                </w:p>
              </w:tc>
              <w:tc>
                <w:tcPr>
                  <w:tcW w:w="1194" w:type="dxa"/>
                  <w:tcBorders>
                    <w:tl2br w:val="nil"/>
                    <w:tr2bl w:val="nil"/>
                  </w:tcBorders>
                  <w:vAlign w:val="center"/>
                </w:tcPr>
                <w:p>
                  <w:pPr>
                    <w:pStyle w:val="76"/>
                    <w:spacing w:line="240" w:lineRule="auto"/>
                    <w:jc w:val="center"/>
                    <w:rPr>
                      <w:rFonts w:hint="eastAsia" w:ascii="Times New Roman" w:hAnsi="Times New Roman"/>
                      <w:u w:val="single"/>
                      <w:lang w:val="en-US" w:eastAsia="zh-CN"/>
                    </w:rPr>
                  </w:pPr>
                  <w:r>
                    <w:rPr>
                      <w:rFonts w:hint="eastAsia" w:ascii="Times New Roman" w:hAnsi="Times New Roman"/>
                      <w:u w:val="single"/>
                      <w:lang w:val="en-US" w:eastAsia="zh-CN"/>
                    </w:rPr>
                    <w:t>1次/半年</w:t>
                  </w:r>
                </w:p>
              </w:tc>
              <w:tc>
                <w:tcPr>
                  <w:tcW w:w="3511" w:type="dxa"/>
                  <w:tcBorders>
                    <w:tl2br w:val="nil"/>
                    <w:tr2bl w:val="nil"/>
                  </w:tcBorders>
                  <w:vAlign w:val="center"/>
                </w:tcPr>
                <w:p>
                  <w:pPr>
                    <w:pStyle w:val="76"/>
                    <w:spacing w:line="240" w:lineRule="auto"/>
                    <w:jc w:val="center"/>
                    <w:rPr>
                      <w:rFonts w:hint="default" w:ascii="TimesNewRomanPSMT" w:hAnsi="TimesNewRomanPSMT" w:cs="宋体"/>
                      <w:kern w:val="0"/>
                      <w:sz w:val="21"/>
                      <w:szCs w:val="21"/>
                      <w:u w:val="single"/>
                      <w:lang w:val="en-US" w:eastAsia="zh-CN"/>
                    </w:rPr>
                  </w:pPr>
                  <w:r>
                    <w:rPr>
                      <w:rFonts w:hint="eastAsia" w:ascii="TimesNewRomanPSMT" w:hAnsi="TimesNewRomanPSMT" w:cs="宋体"/>
                      <w:kern w:val="0"/>
                      <w:sz w:val="21"/>
                      <w:szCs w:val="21"/>
                      <w:u w:val="single"/>
                      <w:lang w:val="en-US" w:eastAsia="zh-CN"/>
                    </w:rPr>
                    <w:t>《污水综合排放标准》（GB8978-1996）三级标准及津市高新区工业污水处理厂进水水质要求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68" w:type="dxa"/>
                  <w:tcBorders>
                    <w:tl2br w:val="nil"/>
                    <w:tr2bl w:val="nil"/>
                  </w:tcBorders>
                  <w:vAlign w:val="center"/>
                </w:tcPr>
                <w:p>
                  <w:pPr>
                    <w:pStyle w:val="76"/>
                    <w:spacing w:line="240" w:lineRule="auto"/>
                    <w:rPr>
                      <w:rFonts w:hint="default" w:ascii="Times New Roman" w:hAnsi="Times New Roman"/>
                      <w:u w:val="single"/>
                    </w:rPr>
                  </w:pPr>
                  <w:r>
                    <w:rPr>
                      <w:rFonts w:hint="default" w:ascii="Times New Roman" w:hAnsi="Times New Roman"/>
                      <w:u w:val="single"/>
                    </w:rPr>
                    <w:t>噪声</w:t>
                  </w:r>
                </w:p>
              </w:tc>
              <w:tc>
                <w:tcPr>
                  <w:tcW w:w="1652" w:type="dxa"/>
                  <w:tcBorders>
                    <w:tl2br w:val="nil"/>
                    <w:tr2bl w:val="nil"/>
                  </w:tcBorders>
                  <w:vAlign w:val="center"/>
                </w:tcPr>
                <w:p>
                  <w:pPr>
                    <w:pStyle w:val="76"/>
                    <w:spacing w:line="240" w:lineRule="auto"/>
                    <w:rPr>
                      <w:rFonts w:hint="eastAsia" w:ascii="Times New Roman" w:hAnsi="Times New Roman" w:eastAsiaTheme="minorEastAsia"/>
                      <w:u w:val="single"/>
                      <w:lang w:eastAsia="zh-CN"/>
                    </w:rPr>
                  </w:pPr>
                  <w:r>
                    <w:rPr>
                      <w:rFonts w:hint="eastAsia" w:ascii="Times New Roman" w:hAnsi="Times New Roman"/>
                      <w:u w:val="single"/>
                      <w:lang w:eastAsia="zh-CN"/>
                    </w:rPr>
                    <w:t>厂界四周</w:t>
                  </w:r>
                </w:p>
              </w:tc>
              <w:tc>
                <w:tcPr>
                  <w:tcW w:w="1592" w:type="dxa"/>
                  <w:tcBorders>
                    <w:tl2br w:val="nil"/>
                    <w:tr2bl w:val="nil"/>
                  </w:tcBorders>
                  <w:vAlign w:val="center"/>
                </w:tcPr>
                <w:p>
                  <w:pPr>
                    <w:pStyle w:val="76"/>
                    <w:spacing w:line="240" w:lineRule="auto"/>
                    <w:rPr>
                      <w:rFonts w:hint="default" w:ascii="Times New Roman" w:hAnsi="Times New Roman"/>
                      <w:u w:val="single"/>
                    </w:rPr>
                  </w:pPr>
                  <w:r>
                    <w:rPr>
                      <w:rFonts w:hint="default" w:ascii="Times New Roman" w:hAnsi="Times New Roman"/>
                      <w:u w:val="single"/>
                    </w:rPr>
                    <w:t>等效连续A声级</w:t>
                  </w:r>
                </w:p>
              </w:tc>
              <w:tc>
                <w:tcPr>
                  <w:tcW w:w="1194" w:type="dxa"/>
                  <w:tcBorders>
                    <w:tl2br w:val="nil"/>
                    <w:tr2bl w:val="nil"/>
                  </w:tcBorders>
                  <w:vAlign w:val="center"/>
                </w:tcPr>
                <w:p>
                  <w:pPr>
                    <w:pStyle w:val="76"/>
                    <w:spacing w:line="240" w:lineRule="auto"/>
                    <w:rPr>
                      <w:rFonts w:hint="eastAsia" w:ascii="Times New Roman" w:hAnsi="Times New Roman" w:eastAsiaTheme="minorEastAsia"/>
                      <w:u w:val="single"/>
                      <w:lang w:eastAsia="zh-CN"/>
                    </w:rPr>
                  </w:pPr>
                  <w:r>
                    <w:rPr>
                      <w:rFonts w:hint="default" w:ascii="Times New Roman" w:hAnsi="Times New Roman"/>
                      <w:u w:val="single"/>
                    </w:rPr>
                    <w:t>1次/</w:t>
                  </w:r>
                  <w:r>
                    <w:rPr>
                      <w:rFonts w:hint="eastAsia" w:ascii="Times New Roman" w:hAnsi="Times New Roman"/>
                      <w:u w:val="single"/>
                      <w:lang w:eastAsia="zh-CN"/>
                    </w:rPr>
                    <w:t>季度</w:t>
                  </w:r>
                </w:p>
              </w:tc>
              <w:tc>
                <w:tcPr>
                  <w:tcW w:w="3511" w:type="dxa"/>
                  <w:tcBorders>
                    <w:tl2br w:val="nil"/>
                    <w:tr2bl w:val="nil"/>
                  </w:tcBorders>
                  <w:vAlign w:val="center"/>
                </w:tcPr>
                <w:p>
                  <w:pPr>
                    <w:pStyle w:val="76"/>
                    <w:spacing w:line="240" w:lineRule="auto"/>
                    <w:rPr>
                      <w:rFonts w:hint="eastAsia" w:ascii="Times New Roman" w:hAnsi="Times New Roman" w:eastAsiaTheme="minorEastAsia"/>
                      <w:u w:val="single"/>
                      <w:lang w:eastAsia="zh-CN"/>
                    </w:rPr>
                  </w:pPr>
                  <w:r>
                    <w:rPr>
                      <w:rFonts w:hint="eastAsia" w:ascii="Times New Roman" w:hAnsi="Times New Roman"/>
                      <w:u w:val="single"/>
                      <w:lang w:eastAsia="zh-CN"/>
                    </w:rPr>
                    <w:t>厂界东侧、南侧执行</w:t>
                  </w:r>
                  <w:r>
                    <w:rPr>
                      <w:rFonts w:hint="default" w:ascii="Times New Roman" w:hAnsi="Times New Roman"/>
                      <w:u w:val="single"/>
                    </w:rPr>
                    <w:t>《工业企业厂界环境噪声排放标准》（GB12348-2008）</w:t>
                  </w:r>
                  <w:r>
                    <w:rPr>
                      <w:rFonts w:hint="eastAsia" w:ascii="Times New Roman" w:hAnsi="Times New Roman"/>
                      <w:u w:val="single"/>
                      <w:lang w:val="en-US" w:eastAsia="zh-CN"/>
                    </w:rPr>
                    <w:t>4</w:t>
                  </w:r>
                  <w:r>
                    <w:rPr>
                      <w:rFonts w:hint="default" w:ascii="Times New Roman" w:hAnsi="Times New Roman"/>
                      <w:u w:val="single"/>
                    </w:rPr>
                    <w:t>类标准</w:t>
                  </w:r>
                  <w:r>
                    <w:rPr>
                      <w:rFonts w:hint="eastAsia" w:ascii="Times New Roman" w:hAnsi="Times New Roman"/>
                      <w:u w:val="single"/>
                      <w:lang w:eastAsia="zh-CN"/>
                    </w:rPr>
                    <w:t>，厂界西侧、北侧执行</w:t>
                  </w:r>
                  <w:r>
                    <w:rPr>
                      <w:rFonts w:hint="default" w:ascii="Times New Roman" w:hAnsi="Times New Roman"/>
                      <w:u w:val="single"/>
                    </w:rPr>
                    <w:t>《工业企业厂界环境噪声排放标准》（GB12348-2008）</w:t>
                  </w:r>
                  <w:r>
                    <w:rPr>
                      <w:rFonts w:hint="eastAsia" w:ascii="Times New Roman" w:hAnsi="Times New Roman"/>
                      <w:u w:val="single"/>
                      <w:lang w:val="en-US" w:eastAsia="zh-CN"/>
                    </w:rPr>
                    <w:t>3</w:t>
                  </w:r>
                  <w:r>
                    <w:rPr>
                      <w:rFonts w:hint="default" w:ascii="Times New Roman" w:hAnsi="Times New Roman"/>
                      <w:u w:val="single"/>
                    </w:rPr>
                    <w:t>类标准</w:t>
                  </w:r>
                </w:p>
              </w:tc>
            </w:tr>
          </w:tbl>
          <w:p>
            <w:pPr>
              <w:spacing w:line="360" w:lineRule="auto"/>
              <w:ind w:firstLine="482" w:firstLineChars="200"/>
              <w:contextualSpacing/>
              <w:outlineLvl w:val="0"/>
              <w:rPr>
                <w:rFonts w:hAnsi="宋体"/>
                <w:b/>
                <w:bCs/>
                <w:kern w:val="18"/>
                <w:sz w:val="24"/>
              </w:rPr>
            </w:pPr>
            <w:r>
              <w:rPr>
                <w:rFonts w:hint="eastAsia" w:hAnsi="宋体"/>
                <w:b/>
                <w:bCs/>
                <w:kern w:val="18"/>
                <w:sz w:val="24"/>
              </w:rPr>
              <w:t>三、</w:t>
            </w:r>
            <w:r>
              <w:rPr>
                <w:rFonts w:hint="eastAsia" w:hAnsi="宋体"/>
                <w:b/>
                <w:bCs/>
                <w:kern w:val="18"/>
                <w:sz w:val="24"/>
                <w:lang w:eastAsia="zh-CN"/>
              </w:rPr>
              <w:t>“</w:t>
            </w:r>
            <w:r>
              <w:rPr>
                <w:rFonts w:hint="eastAsia" w:hAnsi="宋体"/>
                <w:b/>
                <w:bCs/>
                <w:kern w:val="18"/>
                <w:sz w:val="24"/>
              </w:rPr>
              <w:t>三同时</w:t>
            </w:r>
            <w:r>
              <w:rPr>
                <w:rFonts w:hint="eastAsia" w:hAnsi="宋体"/>
                <w:b/>
                <w:bCs/>
                <w:kern w:val="18"/>
                <w:sz w:val="24"/>
                <w:lang w:eastAsia="zh-CN"/>
              </w:rPr>
              <w:t>”</w:t>
            </w:r>
            <w:r>
              <w:rPr>
                <w:rFonts w:hint="eastAsia" w:hAnsi="宋体"/>
                <w:b/>
                <w:bCs/>
                <w:kern w:val="18"/>
                <w:sz w:val="24"/>
              </w:rPr>
              <w:t>竣工</w:t>
            </w:r>
            <w:r>
              <w:rPr>
                <w:rFonts w:hint="eastAsia" w:hAnsi="宋体"/>
                <w:b/>
                <w:bCs/>
                <w:kern w:val="18"/>
                <w:sz w:val="24"/>
                <w:lang w:eastAsia="zh-CN"/>
              </w:rPr>
              <w:t>环保</w:t>
            </w:r>
            <w:r>
              <w:rPr>
                <w:rFonts w:hint="eastAsia" w:hAnsi="宋体"/>
                <w:b/>
                <w:bCs/>
                <w:kern w:val="18"/>
                <w:sz w:val="24"/>
              </w:rPr>
              <w:t>验收计划</w:t>
            </w:r>
          </w:p>
          <w:p>
            <w:pPr>
              <w:spacing w:line="360" w:lineRule="auto"/>
              <w:ind w:firstLine="482"/>
              <w:contextualSpacing/>
              <w:rPr>
                <w:sz w:val="24"/>
              </w:rPr>
            </w:pPr>
            <w:r>
              <w:rPr>
                <w:rFonts w:hint="eastAsia"/>
                <w:sz w:val="24"/>
              </w:rPr>
              <w:t>根据《建设项目竣工环境保护验收暂行办法》（国环规环评</w:t>
            </w:r>
            <w:r>
              <w:rPr>
                <w:sz w:val="24"/>
              </w:rPr>
              <w:t>[2017]4</w:t>
            </w:r>
            <w:r>
              <w:rPr>
                <w:rFonts w:hint="eastAsia"/>
                <w:sz w:val="24"/>
              </w:rPr>
              <w:t>号）文件，建设单位作为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spacing w:line="360" w:lineRule="auto"/>
              <w:ind w:firstLine="600" w:firstLineChars="250"/>
              <w:contextualSpacing/>
              <w:rPr>
                <w:sz w:val="24"/>
              </w:rPr>
            </w:pPr>
            <w:r>
              <w:rPr>
                <w:rFonts w:hint="eastAsia"/>
                <w:sz w:val="24"/>
              </w:rPr>
              <w:t>1、验收责任主体</w:t>
            </w:r>
          </w:p>
          <w:p>
            <w:pPr>
              <w:spacing w:line="360" w:lineRule="auto"/>
              <w:ind w:firstLine="482"/>
              <w:contextualSpacing/>
              <w:rPr>
                <w:sz w:val="24"/>
              </w:rPr>
            </w:pPr>
            <w:r>
              <w:rPr>
                <w:rFonts w:hint="eastAsia"/>
                <w:sz w:val="24"/>
                <w:lang w:eastAsia="zh-CN"/>
              </w:rPr>
              <w:t>常德市汇海饲料有限公司</w:t>
            </w:r>
            <w:r>
              <w:rPr>
                <w:rFonts w:hint="eastAsia"/>
                <w:sz w:val="24"/>
              </w:rPr>
              <w:t>是建设项目竣工环境保护验收的责任主体。</w:t>
            </w:r>
          </w:p>
          <w:p>
            <w:pPr>
              <w:spacing w:line="360" w:lineRule="auto"/>
              <w:ind w:firstLine="600" w:firstLineChars="250"/>
              <w:contextualSpacing/>
              <w:rPr>
                <w:sz w:val="24"/>
              </w:rPr>
            </w:pPr>
            <w:r>
              <w:rPr>
                <w:rFonts w:hint="eastAsia"/>
                <w:sz w:val="24"/>
              </w:rPr>
              <w:t>2、验收要求</w:t>
            </w:r>
          </w:p>
          <w:p>
            <w:pPr>
              <w:spacing w:line="360" w:lineRule="auto"/>
              <w:ind w:firstLine="360" w:firstLineChars="150"/>
              <w:contextualSpacing/>
              <w:rPr>
                <w:sz w:val="24"/>
              </w:rPr>
            </w:pPr>
            <w:r>
              <w:rPr>
                <w:rFonts w:hint="eastAsia"/>
                <w:sz w:val="24"/>
              </w:rPr>
              <w:t>（1）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spacing w:line="360" w:lineRule="auto"/>
              <w:ind w:firstLine="360" w:firstLineChars="150"/>
              <w:contextualSpacing/>
              <w:rPr>
                <w:sz w:val="24"/>
              </w:rPr>
            </w:pPr>
            <w:r>
              <w:rPr>
                <w:rFonts w:hint="eastAsia"/>
                <w:sz w:val="24"/>
              </w:rPr>
              <w:t>（2）需要对建设项目配套建设的环境保护设施进行调试的，建设单位应当确保调试期间污染物排放符合国家和地方有关污染物排放标准和排污许可等相关管理规定。</w:t>
            </w:r>
          </w:p>
          <w:p>
            <w:pPr>
              <w:spacing w:line="360" w:lineRule="auto"/>
              <w:ind w:firstLine="360" w:firstLineChars="150"/>
              <w:contextualSpacing/>
              <w:rPr>
                <w:sz w:val="24"/>
              </w:rPr>
            </w:pPr>
            <w:r>
              <w:rPr>
                <w:rFonts w:hint="eastAsia"/>
                <w:sz w:val="24"/>
              </w:rPr>
              <w:t>（3）验收监测（调查）报告编制完成后，建设单位应当根据验收监测（调查）报告结论，逐一检查是否存在本办法第八条所列验收不合格的情形，提出验收意见。存在问题的，建设单位应当进行整改，整改完成后方可提出验收意见。</w:t>
            </w:r>
          </w:p>
          <w:p>
            <w:pPr>
              <w:spacing w:line="360" w:lineRule="auto"/>
              <w:ind w:firstLine="360" w:firstLineChars="150"/>
              <w:contextualSpacing/>
              <w:rPr>
                <w:sz w:val="24"/>
              </w:rPr>
            </w:pPr>
            <w:r>
              <w:rPr>
                <w:rFonts w:hint="eastAsia"/>
                <w:sz w:val="24"/>
              </w:rPr>
              <w:t>（4）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spacing w:line="360" w:lineRule="auto"/>
              <w:ind w:firstLine="360" w:firstLineChars="150"/>
              <w:contextualSpacing/>
              <w:rPr>
                <w:sz w:val="24"/>
              </w:rPr>
            </w:pPr>
            <w:r>
              <w:rPr>
                <w:rFonts w:hint="eastAsia"/>
                <w:sz w:val="24"/>
              </w:rPr>
              <w:t>（5）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代表范围和人数自定。</w:t>
            </w:r>
          </w:p>
          <w:p>
            <w:pPr>
              <w:spacing w:line="360" w:lineRule="auto"/>
              <w:ind w:firstLine="360" w:firstLineChars="150"/>
              <w:contextualSpacing/>
              <w:rPr>
                <w:sz w:val="24"/>
                <w:u w:val="single"/>
              </w:rPr>
            </w:pPr>
            <w:r>
              <w:rPr>
                <w:sz w:val="24"/>
                <w:u w:val="single"/>
              </w:rPr>
              <w:t>本项目营运期</w:t>
            </w:r>
            <w:r>
              <w:rPr>
                <w:rFonts w:hint="eastAsia"/>
                <w:sz w:val="24"/>
                <w:u w:val="single"/>
              </w:rPr>
              <w:t>“三同时”</w:t>
            </w:r>
            <w:r>
              <w:rPr>
                <w:sz w:val="24"/>
                <w:u w:val="single"/>
              </w:rPr>
              <w:t>验收内容包括废气、废水、噪声、固废等，详细验收计划见表</w:t>
            </w:r>
            <w:r>
              <w:rPr>
                <w:rFonts w:hint="eastAsia"/>
                <w:sz w:val="24"/>
                <w:u w:val="single"/>
                <w:lang w:val="en-US" w:eastAsia="zh-CN"/>
              </w:rPr>
              <w:t>11</w:t>
            </w:r>
            <w:r>
              <w:rPr>
                <w:rFonts w:hint="eastAsia"/>
                <w:sz w:val="24"/>
                <w:u w:val="single"/>
              </w:rPr>
              <w:t>-</w:t>
            </w:r>
            <w:r>
              <w:rPr>
                <w:rFonts w:hint="eastAsia"/>
                <w:sz w:val="24"/>
                <w:u w:val="single"/>
                <w:lang w:val="en-US" w:eastAsia="zh-CN"/>
              </w:rPr>
              <w:t>3</w:t>
            </w:r>
            <w:r>
              <w:rPr>
                <w:rFonts w:hint="eastAsia"/>
                <w:sz w:val="24"/>
                <w:u w:val="single"/>
              </w:rPr>
              <w:t>。</w:t>
            </w:r>
          </w:p>
          <w:p>
            <w:pPr>
              <w:spacing w:line="360" w:lineRule="auto"/>
              <w:jc w:val="center"/>
              <w:rPr>
                <w:b/>
                <w:szCs w:val="21"/>
                <w:u w:val="single"/>
              </w:rPr>
            </w:pPr>
            <w:r>
              <w:rPr>
                <w:b/>
                <w:szCs w:val="21"/>
                <w:u w:val="single"/>
              </w:rPr>
              <w:t>表</w:t>
            </w:r>
            <w:r>
              <w:rPr>
                <w:rFonts w:hint="eastAsia"/>
                <w:b/>
                <w:szCs w:val="21"/>
                <w:u w:val="single"/>
                <w:lang w:val="en-US" w:eastAsia="zh-CN"/>
              </w:rPr>
              <w:t>11</w:t>
            </w:r>
            <w:r>
              <w:rPr>
                <w:rFonts w:hint="eastAsia"/>
                <w:b/>
                <w:szCs w:val="21"/>
                <w:u w:val="single"/>
              </w:rPr>
              <w:t>-</w:t>
            </w:r>
            <w:r>
              <w:rPr>
                <w:rFonts w:hint="eastAsia"/>
                <w:b/>
                <w:szCs w:val="21"/>
                <w:u w:val="single"/>
                <w:lang w:val="en-US" w:eastAsia="zh-CN"/>
              </w:rPr>
              <w:t>3</w:t>
            </w:r>
            <w:r>
              <w:rPr>
                <w:b/>
                <w:szCs w:val="21"/>
                <w:u w:val="single"/>
              </w:rPr>
              <w:t xml:space="preserve">  “</w:t>
            </w:r>
            <w:r>
              <w:rPr>
                <w:rFonts w:hint="eastAsia"/>
                <w:b/>
                <w:szCs w:val="21"/>
                <w:u w:val="single"/>
              </w:rPr>
              <w:t>三同时</w:t>
            </w:r>
            <w:r>
              <w:rPr>
                <w:b/>
                <w:szCs w:val="21"/>
                <w:u w:val="single"/>
              </w:rPr>
              <w:t>”验收一览表</w:t>
            </w:r>
          </w:p>
          <w:tbl>
            <w:tblPr>
              <w:tblStyle w:val="23"/>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31"/>
              <w:gridCol w:w="1194"/>
              <w:gridCol w:w="2304"/>
              <w:gridCol w:w="1157"/>
              <w:gridCol w:w="31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tblHeader/>
                <w:jc w:val="center"/>
              </w:trPr>
              <w:tc>
                <w:tcPr>
                  <w:tcW w:w="8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single"/>
                      <w:lang w:val="en-US" w:eastAsia="zh-CN" w:bidi="ar"/>
                    </w:rPr>
                  </w:pPr>
                  <w:r>
                    <w:rPr>
                      <w:rFonts w:hint="default" w:ascii="Times New Roman" w:hAnsi="Times New Roman" w:cs="Times New Roman"/>
                      <w:b/>
                      <w:bCs/>
                      <w:color w:val="000000"/>
                      <w:kern w:val="0"/>
                      <w:sz w:val="21"/>
                      <w:szCs w:val="21"/>
                      <w:u w:val="single"/>
                      <w:lang w:val="en-US" w:eastAsia="zh-CN" w:bidi="ar"/>
                    </w:rPr>
                    <w:t>污染类型</w:t>
                  </w: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验收监测因子</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验收内容</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验收监测点位</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u w:val="single"/>
                      <w:lang w:val="en-US" w:eastAsia="zh-CN" w:bidi="ar"/>
                    </w:rPr>
                  </w:pPr>
                  <w:r>
                    <w:rPr>
                      <w:rFonts w:hint="eastAsia" w:ascii="Times New Roman" w:hAnsi="Times New Roman" w:cs="Times New Roman"/>
                      <w:b/>
                      <w:bCs/>
                      <w:color w:val="000000"/>
                      <w:kern w:val="0"/>
                      <w:sz w:val="21"/>
                      <w:szCs w:val="21"/>
                      <w:u w:val="single"/>
                      <w:lang w:val="en-US" w:eastAsia="zh-CN" w:bidi="ar"/>
                    </w:rPr>
                    <w:t>验收标准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2" w:hRule="atLeast"/>
                <w:jc w:val="center"/>
              </w:trPr>
              <w:tc>
                <w:tcPr>
                  <w:tcW w:w="831" w:type="dxa"/>
                  <w:vMerge w:val="restart"/>
                  <w:tcBorders>
                    <w:tl2br w:val="nil"/>
                    <w:tr2bl w:val="nil"/>
                  </w:tcBorders>
                  <w:vAlign w:val="center"/>
                </w:tcPr>
                <w:p>
                  <w:pPr>
                    <w:pStyle w:val="21"/>
                    <w:spacing w:line="240" w:lineRule="auto"/>
                    <w:ind w:firstLine="0" w:firstLineChars="0"/>
                    <w:jc w:val="center"/>
                    <w:rPr>
                      <w:rFonts w:hint="default" w:ascii="TimesNewRomanPSMT" w:hAnsi="TimesNewRomanPSMT" w:cs="宋体"/>
                      <w:kern w:val="0"/>
                      <w:sz w:val="21"/>
                      <w:szCs w:val="21"/>
                      <w:u w:val="single"/>
                      <w:lang w:val="en-US" w:eastAsia="zh-CN"/>
                    </w:rPr>
                  </w:pPr>
                  <w:r>
                    <w:rPr>
                      <w:rFonts w:hint="default" w:ascii="TimesNewRomanPSMT" w:hAnsi="TimesNewRomanPSMT" w:cs="宋体"/>
                      <w:kern w:val="0"/>
                      <w:sz w:val="21"/>
                      <w:szCs w:val="21"/>
                      <w:u w:val="single"/>
                      <w:lang w:val="en-US" w:eastAsia="zh-CN"/>
                    </w:rPr>
                    <w:t>大气</w:t>
                  </w:r>
                </w:p>
                <w:p>
                  <w:pPr>
                    <w:pStyle w:val="21"/>
                    <w:spacing w:line="240" w:lineRule="auto"/>
                    <w:ind w:firstLine="0" w:firstLineChars="0"/>
                    <w:jc w:val="center"/>
                    <w:rPr>
                      <w:rFonts w:hint="default" w:ascii="TimesNewRomanPSMT" w:hAnsi="TimesNewRomanPSMT" w:cs="宋体"/>
                      <w:kern w:val="0"/>
                      <w:sz w:val="21"/>
                      <w:szCs w:val="21"/>
                      <w:u w:val="single"/>
                      <w:lang w:val="en-US" w:eastAsia="zh-CN"/>
                    </w:rPr>
                  </w:pPr>
                  <w:r>
                    <w:rPr>
                      <w:rFonts w:hint="default" w:ascii="TimesNewRomanPSMT" w:hAnsi="TimesNewRomanPSMT" w:cs="宋体"/>
                      <w:kern w:val="0"/>
                      <w:sz w:val="21"/>
                      <w:szCs w:val="21"/>
                      <w:u w:val="single"/>
                      <w:lang w:val="en-US" w:eastAsia="zh-CN"/>
                    </w:rPr>
                    <w:t>污染物</w:t>
                  </w:r>
                  <w:r>
                    <w:rPr>
                      <w:rFonts w:hint="eastAsia" w:ascii="TimesNewRomanPSMT" w:hAnsi="TimesNewRomanPSMT" w:cs="宋体"/>
                      <w:kern w:val="0"/>
                      <w:sz w:val="21"/>
                      <w:szCs w:val="21"/>
                      <w:u w:val="single"/>
                      <w:lang w:val="en-US" w:eastAsia="zh-CN"/>
                    </w:rPr>
                    <w:t>（有组织）</w:t>
                  </w: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颗粒物</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cs="Times New Roman"/>
                      <w:kern w:val="0"/>
                      <w:sz w:val="21"/>
                      <w:szCs w:val="21"/>
                      <w:u w:val="single"/>
                      <w:lang w:val="en-US" w:eastAsia="zh-CN"/>
                    </w:rPr>
                    <w:t>5套脉冲布袋除尘器+1根45m排气筒</w:t>
                  </w:r>
                  <w:r>
                    <w:rPr>
                      <w:rFonts w:hint="eastAsia" w:ascii="Times New Roman" w:hAnsi="Times New Roman" w:cs="Times New Roman"/>
                      <w:b w:val="0"/>
                      <w:bCs w:val="0"/>
                      <w:color w:val="000000"/>
                      <w:kern w:val="0"/>
                      <w:sz w:val="21"/>
                      <w:szCs w:val="21"/>
                      <w:u w:val="single"/>
                      <w:lang w:val="en-US" w:eastAsia="zh-CN" w:bidi="ar"/>
                    </w:rPr>
                    <w:t>（P</w:t>
                  </w:r>
                  <w:r>
                    <w:rPr>
                      <w:rFonts w:hint="eastAsia" w:cs="Times New Roman"/>
                      <w:b w:val="0"/>
                      <w:bCs w:val="0"/>
                      <w:color w:val="000000"/>
                      <w:kern w:val="0"/>
                      <w:sz w:val="21"/>
                      <w:szCs w:val="21"/>
                      <w:u w:val="single"/>
                      <w:lang w:val="en-US" w:eastAsia="zh-CN" w:bidi="ar"/>
                    </w:rPr>
                    <w:t>2</w:t>
                  </w:r>
                  <w:r>
                    <w:rPr>
                      <w:rFonts w:hint="eastAsia" w:ascii="Times New Roman" w:hAnsi="Times New Roman" w:cs="Times New Roman"/>
                      <w:b w:val="0"/>
                      <w:bCs w:val="0"/>
                      <w:color w:val="000000"/>
                      <w:kern w:val="0"/>
                      <w:sz w:val="21"/>
                      <w:szCs w:val="21"/>
                      <w:u w:val="single"/>
                      <w:lang w:val="en-US" w:eastAsia="zh-CN" w:bidi="ar"/>
                    </w:rPr>
                    <w:t>）</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粉尘排气筒出口</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达到《大气污染物综合排放标准》（GB16297-1996）表2二级标准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4" w:hRule="atLeast"/>
                <w:jc w:val="center"/>
              </w:trPr>
              <w:tc>
                <w:tcPr>
                  <w:tcW w:w="831" w:type="dxa"/>
                  <w:vMerge w:val="continue"/>
                  <w:tcBorders>
                    <w:tl2br w:val="nil"/>
                    <w:tr2bl w:val="nil"/>
                  </w:tcBorders>
                  <w:vAlign w:val="center"/>
                </w:tcPr>
                <w:p>
                  <w:pPr>
                    <w:pStyle w:val="21"/>
                    <w:spacing w:line="240" w:lineRule="auto"/>
                    <w:ind w:firstLine="0" w:firstLineChars="0"/>
                    <w:jc w:val="center"/>
                    <w:rPr>
                      <w:rFonts w:hint="default" w:ascii="TimesNewRomanPSMT" w:hAnsi="TimesNewRomanPSMT" w:cs="宋体"/>
                      <w:kern w:val="0"/>
                      <w:sz w:val="21"/>
                      <w:szCs w:val="21"/>
                      <w:u w:val="single"/>
                      <w:lang w:val="en-US" w:eastAsia="zh-CN"/>
                    </w:rPr>
                  </w:pP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臭气浓度、NH</w:t>
                  </w:r>
                  <w:r>
                    <w:rPr>
                      <w:rFonts w:hint="eastAsia" w:ascii="Times New Roman" w:hAnsi="Times New Roman" w:cs="Times New Roman"/>
                      <w:b w:val="0"/>
                      <w:bCs w:val="0"/>
                      <w:color w:val="000000"/>
                      <w:kern w:val="0"/>
                      <w:sz w:val="21"/>
                      <w:szCs w:val="21"/>
                      <w:u w:val="single"/>
                      <w:vertAlign w:val="subscript"/>
                      <w:lang w:val="en-US" w:eastAsia="zh-CN" w:bidi="ar"/>
                    </w:rPr>
                    <w:t>3</w:t>
                  </w:r>
                  <w:r>
                    <w:rPr>
                      <w:rFonts w:hint="eastAsia" w:ascii="Times New Roman" w:hAnsi="Times New Roman" w:cs="Times New Roman"/>
                      <w:b w:val="0"/>
                      <w:bCs w:val="0"/>
                      <w:color w:val="000000"/>
                      <w:kern w:val="0"/>
                      <w:sz w:val="21"/>
                      <w:szCs w:val="21"/>
                      <w:u w:val="single"/>
                      <w:lang w:val="en-US" w:eastAsia="zh-CN" w:bidi="ar"/>
                    </w:rPr>
                    <w:t>、H</w:t>
                  </w:r>
                  <w:r>
                    <w:rPr>
                      <w:rFonts w:hint="eastAsia" w:ascii="Times New Roman" w:hAnsi="Times New Roman" w:cs="Times New Roman"/>
                      <w:b w:val="0"/>
                      <w:bCs w:val="0"/>
                      <w:color w:val="000000"/>
                      <w:kern w:val="0"/>
                      <w:sz w:val="21"/>
                      <w:szCs w:val="21"/>
                      <w:u w:val="single"/>
                      <w:vertAlign w:val="sub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S</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kern w:val="0"/>
                      <w:sz w:val="21"/>
                      <w:szCs w:val="21"/>
                      <w:u w:val="single"/>
                      <w:lang w:val="en-US" w:eastAsia="zh-CN"/>
                    </w:rPr>
                    <w:t>负压风机</w:t>
                  </w:r>
                  <w:r>
                    <w:rPr>
                      <w:rFonts w:hint="eastAsia" w:cs="Times New Roman"/>
                      <w:kern w:val="0"/>
                      <w:sz w:val="21"/>
                      <w:szCs w:val="21"/>
                      <w:u w:val="single"/>
                      <w:lang w:val="en-US" w:eastAsia="zh-CN"/>
                    </w:rPr>
                    <w:t>收集+环保水池+生物除臭喷淋塔+</w:t>
                  </w:r>
                  <w:r>
                    <w:rPr>
                      <w:rFonts w:hint="eastAsia" w:ascii="Times New Roman" w:hAnsi="Times New Roman" w:cs="Times New Roman"/>
                      <w:kern w:val="0"/>
                      <w:sz w:val="21"/>
                      <w:szCs w:val="21"/>
                      <w:u w:val="single"/>
                      <w:lang w:val="en-US" w:eastAsia="zh-CN"/>
                    </w:rPr>
                    <w:t>15m高排气筒</w:t>
                  </w:r>
                  <w:r>
                    <w:rPr>
                      <w:rFonts w:hint="eastAsia" w:ascii="Times New Roman" w:hAnsi="Times New Roman" w:cs="Times New Roman"/>
                      <w:b w:val="0"/>
                      <w:bCs w:val="0"/>
                      <w:color w:val="000000"/>
                      <w:kern w:val="0"/>
                      <w:sz w:val="21"/>
                      <w:szCs w:val="21"/>
                      <w:u w:val="single"/>
                      <w:lang w:val="en-US" w:eastAsia="zh-CN" w:bidi="ar"/>
                    </w:rPr>
                    <w:t>（P</w:t>
                  </w:r>
                  <w:r>
                    <w:rPr>
                      <w:rFonts w:hint="eastAsia" w:cs="Times New Roman"/>
                      <w:b w:val="0"/>
                      <w:bCs w:val="0"/>
                      <w:color w:val="000000"/>
                      <w:kern w:val="0"/>
                      <w:sz w:val="21"/>
                      <w:szCs w:val="21"/>
                      <w:u w:val="single"/>
                      <w:lang w:val="en-US" w:eastAsia="zh-CN" w:bidi="ar"/>
                    </w:rPr>
                    <w:t>3</w:t>
                  </w:r>
                  <w:r>
                    <w:rPr>
                      <w:rFonts w:hint="eastAsia" w:ascii="Times New Roman" w:hAnsi="Times New Roman" w:cs="Times New Roman"/>
                      <w:b w:val="0"/>
                      <w:bCs w:val="0"/>
                      <w:color w:val="000000"/>
                      <w:kern w:val="0"/>
                      <w:sz w:val="21"/>
                      <w:szCs w:val="21"/>
                      <w:u w:val="single"/>
                      <w:lang w:val="en-US" w:eastAsia="zh-CN" w:bidi="ar"/>
                    </w:rPr>
                    <w:t xml:space="preserve">） </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恶臭排气筒出口</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 xml:space="preserve">达到《恶臭污染物排放标准》(GB14554-93)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jc w:val="center"/>
              </w:trPr>
              <w:tc>
                <w:tcPr>
                  <w:tcW w:w="8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大气污染物（无组织）</w:t>
                  </w: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臭气浓度、NH</w:t>
                  </w:r>
                  <w:r>
                    <w:rPr>
                      <w:rFonts w:hint="eastAsia" w:ascii="Times New Roman" w:hAnsi="Times New Roman" w:cs="Times New Roman"/>
                      <w:b w:val="0"/>
                      <w:bCs w:val="0"/>
                      <w:color w:val="000000"/>
                      <w:kern w:val="0"/>
                      <w:sz w:val="21"/>
                      <w:szCs w:val="21"/>
                      <w:u w:val="single"/>
                      <w:vertAlign w:val="subscript"/>
                      <w:lang w:val="en-US" w:eastAsia="zh-CN" w:bidi="ar"/>
                    </w:rPr>
                    <w:t>3</w:t>
                  </w:r>
                  <w:r>
                    <w:rPr>
                      <w:rFonts w:hint="eastAsia" w:ascii="Times New Roman" w:hAnsi="Times New Roman" w:cs="Times New Roman"/>
                      <w:b w:val="0"/>
                      <w:bCs w:val="0"/>
                      <w:color w:val="000000"/>
                      <w:kern w:val="0"/>
                      <w:sz w:val="21"/>
                      <w:szCs w:val="21"/>
                      <w:u w:val="single"/>
                      <w:lang w:val="en-US" w:eastAsia="zh-CN" w:bidi="ar"/>
                    </w:rPr>
                    <w:t>、H</w:t>
                  </w:r>
                  <w:r>
                    <w:rPr>
                      <w:rFonts w:hint="eastAsia" w:ascii="Times New Roman" w:hAnsi="Times New Roman" w:cs="Times New Roman"/>
                      <w:b w:val="0"/>
                      <w:bCs w:val="0"/>
                      <w:color w:val="000000"/>
                      <w:kern w:val="0"/>
                      <w:sz w:val="21"/>
                      <w:szCs w:val="21"/>
                      <w:u w:val="single"/>
                      <w:vertAlign w:val="sub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S、颗粒物</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厂界下风向浓度最高点</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达到大气污染物综合排放标准》（GB16297-1996）无组织排放浓度限值及《恶臭污染物排放标准》(GB14554-93)厂界标准值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3" w:hRule="atLeast"/>
                <w:jc w:val="center"/>
              </w:trPr>
              <w:tc>
                <w:tcPr>
                  <w:tcW w:w="8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水污染物</w:t>
                  </w: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COD、</w:t>
                  </w:r>
                  <w:r>
                    <w:rPr>
                      <w:rFonts w:hint="eastAsia" w:ascii="Times New Roman" w:hAnsi="Times New Roman" w:cs="Times New Roman"/>
                      <w:b w:val="0"/>
                      <w:bCs w:val="0"/>
                      <w:color w:val="000000"/>
                      <w:kern w:val="0"/>
                      <w:sz w:val="21"/>
                      <w:szCs w:val="21"/>
                      <w:u w:val="single"/>
                      <w:lang w:val="en-US" w:eastAsia="zh-CN" w:bidi="ar"/>
                    </w:rPr>
                    <w:t>BOD</w:t>
                  </w:r>
                  <w:r>
                    <w:rPr>
                      <w:rFonts w:hint="eastAsia" w:ascii="Times New Roman" w:hAnsi="Times New Roman" w:cs="Times New Roman"/>
                      <w:b w:val="0"/>
                      <w:bCs w:val="0"/>
                      <w:color w:val="000000"/>
                      <w:kern w:val="0"/>
                      <w:sz w:val="21"/>
                      <w:szCs w:val="21"/>
                      <w:u w:val="single"/>
                      <w:vertAlign w:val="subscript"/>
                      <w:lang w:val="en-US" w:eastAsia="zh-CN" w:bidi="ar"/>
                    </w:rPr>
                    <w:t>5</w:t>
                  </w:r>
                  <w:r>
                    <w:rPr>
                      <w:rFonts w:hint="eastAsia" w:ascii="Times New Roman" w:hAnsi="Times New Roman" w:cs="Times New Roman"/>
                      <w:b w:val="0"/>
                      <w:bCs w:val="0"/>
                      <w:color w:val="000000"/>
                      <w:kern w:val="0"/>
                      <w:sz w:val="21"/>
                      <w:szCs w:val="21"/>
                      <w:u w:val="single"/>
                      <w:lang w:val="en-US" w:eastAsia="zh-CN" w:bidi="ar"/>
                    </w:rPr>
                    <w:t>、SS、</w:t>
                  </w:r>
                  <w:r>
                    <w:rPr>
                      <w:rFonts w:hint="default" w:ascii="Times New Roman" w:hAnsi="Times New Roman" w:cs="Times New Roman"/>
                      <w:b w:val="0"/>
                      <w:bCs w:val="0"/>
                      <w:color w:val="000000"/>
                      <w:kern w:val="0"/>
                      <w:sz w:val="21"/>
                      <w:szCs w:val="21"/>
                      <w:u w:val="single"/>
                      <w:lang w:val="en-US" w:eastAsia="zh-CN" w:bidi="ar"/>
                    </w:rPr>
                    <w:t>NH</w:t>
                  </w:r>
                  <w:r>
                    <w:rPr>
                      <w:rFonts w:hint="default" w:ascii="Times New Roman" w:hAnsi="Times New Roman" w:cs="Times New Roman"/>
                      <w:b w:val="0"/>
                      <w:bCs w:val="0"/>
                      <w:color w:val="000000"/>
                      <w:kern w:val="0"/>
                      <w:sz w:val="21"/>
                      <w:szCs w:val="21"/>
                      <w:u w:val="single"/>
                      <w:vertAlign w:val="subscript"/>
                      <w:lang w:val="en-US" w:eastAsia="zh-CN" w:bidi="ar"/>
                    </w:rPr>
                    <w:t>3</w:t>
                  </w:r>
                  <w:r>
                    <w:rPr>
                      <w:rFonts w:hint="default" w:ascii="Times New Roman" w:hAnsi="Times New Roman" w:cs="Times New Roman"/>
                      <w:b w:val="0"/>
                      <w:bCs w:val="0"/>
                      <w:color w:val="000000"/>
                      <w:kern w:val="0"/>
                      <w:sz w:val="21"/>
                      <w:szCs w:val="21"/>
                      <w:u w:val="single"/>
                      <w:lang w:val="en-US" w:eastAsia="zh-CN" w:bidi="ar"/>
                    </w:rPr>
                    <w:t>-N</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 xml:space="preserve"> 隔油池+三级化粪池（总容积为5m</w:t>
                  </w:r>
                  <w:r>
                    <w:rPr>
                      <w:rFonts w:hint="eastAsia" w:ascii="Times New Roman" w:hAnsi="Times New Roman" w:cs="Times New Roman"/>
                      <w:b w:val="0"/>
                      <w:bCs w:val="0"/>
                      <w:color w:val="000000"/>
                      <w:kern w:val="0"/>
                      <w:sz w:val="21"/>
                      <w:szCs w:val="21"/>
                      <w:u w:val="single"/>
                      <w:vertAlign w:val="superscript"/>
                      <w:lang w:val="en-US" w:eastAsia="zh-CN" w:bidi="ar"/>
                    </w:rPr>
                    <w:t>3</w:t>
                  </w:r>
                  <w:r>
                    <w:rPr>
                      <w:rFonts w:hint="eastAsia" w:ascii="Times New Roman" w:hAnsi="Times New Roman" w:cs="Times New Roman"/>
                      <w:b w:val="0"/>
                      <w:bCs w:val="0"/>
                      <w:color w:val="000000"/>
                      <w:kern w:val="0"/>
                      <w:sz w:val="21"/>
                      <w:szCs w:val="21"/>
                      <w:u w:val="single"/>
                      <w:lang w:val="en-US" w:eastAsia="zh-CN" w:bidi="ar"/>
                    </w:rPr>
                    <w:t>）</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化粪池排口</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达到《污水综合排放标准》（GB8978-1996）三级标准及津市高新区工业污水处理厂进水水质要求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6" w:hRule="atLeast"/>
                <w:jc w:val="center"/>
              </w:trPr>
              <w:tc>
                <w:tcPr>
                  <w:tcW w:w="8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固体废物</w:t>
                  </w: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一般固废暂存间（50m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）、危险废物暂存间（10m</w:t>
                  </w:r>
                  <w:r>
                    <w:rPr>
                      <w:rFonts w:hint="eastAsia" w:ascii="Times New Roman" w:hAnsi="Times New Roman" w:cs="Times New Roman"/>
                      <w:b w:val="0"/>
                      <w:bCs w:val="0"/>
                      <w:color w:val="000000"/>
                      <w:kern w:val="0"/>
                      <w:sz w:val="21"/>
                      <w:szCs w:val="21"/>
                      <w:u w:val="single"/>
                      <w:vertAlign w:val="superscript"/>
                      <w:lang w:val="en-US" w:eastAsia="zh-CN" w:bidi="ar"/>
                    </w:rPr>
                    <w:t>2</w:t>
                  </w:r>
                  <w:r>
                    <w:rPr>
                      <w:rFonts w:hint="eastAsia" w:ascii="Times New Roman" w:hAnsi="Times New Roman" w:cs="Times New Roman"/>
                      <w:b w:val="0"/>
                      <w:bCs w:val="0"/>
                      <w:color w:val="000000"/>
                      <w:kern w:val="0"/>
                      <w:sz w:val="21"/>
                      <w:szCs w:val="21"/>
                      <w:u w:val="single"/>
                      <w:lang w:val="en-US" w:eastAsia="zh-CN" w:bidi="ar"/>
                    </w:rPr>
                    <w:t>）、生活垃圾桶、箱等</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eastAsia"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达环保要求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0" w:hRule="atLeast"/>
                <w:jc w:val="center"/>
              </w:trPr>
              <w:tc>
                <w:tcPr>
                  <w:tcW w:w="8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噪声</w:t>
                  </w:r>
                </w:p>
              </w:tc>
              <w:tc>
                <w:tcPr>
                  <w:tcW w:w="119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w:t>
                  </w:r>
                </w:p>
              </w:tc>
              <w:tc>
                <w:tcPr>
                  <w:tcW w:w="2304"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选用低噪声设备、设备基础减振、厂房隔声、厂区设置限速、禁鸣标识标牌</w:t>
                  </w:r>
                </w:p>
              </w:tc>
              <w:tc>
                <w:tcPr>
                  <w:tcW w:w="1157"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eastAsia" w:ascii="Times New Roman" w:hAnsi="Times New Roman" w:cs="Times New Roman"/>
                      <w:b w:val="0"/>
                      <w:bCs w:val="0"/>
                      <w:color w:val="000000"/>
                      <w:kern w:val="0"/>
                      <w:sz w:val="21"/>
                      <w:szCs w:val="21"/>
                      <w:u w:val="single"/>
                      <w:lang w:val="en-US" w:eastAsia="zh-CN" w:bidi="ar"/>
                    </w:rPr>
                    <w:t>/</w:t>
                  </w:r>
                </w:p>
              </w:tc>
              <w:tc>
                <w:tcPr>
                  <w:tcW w:w="3131"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b w:val="0"/>
                      <w:bCs w:val="0"/>
                      <w:color w:val="000000"/>
                      <w:kern w:val="0"/>
                      <w:sz w:val="21"/>
                      <w:szCs w:val="21"/>
                      <w:u w:val="single"/>
                      <w:lang w:val="en-US" w:eastAsia="zh-CN" w:bidi="ar"/>
                    </w:rPr>
                  </w:pPr>
                  <w:r>
                    <w:rPr>
                      <w:rFonts w:hint="default" w:ascii="Times New Roman" w:hAnsi="Times New Roman" w:cs="Times New Roman"/>
                      <w:b w:val="0"/>
                      <w:bCs w:val="0"/>
                      <w:color w:val="000000"/>
                      <w:kern w:val="0"/>
                      <w:sz w:val="21"/>
                      <w:szCs w:val="21"/>
                      <w:u w:val="single"/>
                      <w:lang w:val="en-US" w:eastAsia="zh-CN" w:bidi="ar"/>
                    </w:rPr>
                    <w:t>厂界东侧、</w:t>
                  </w:r>
                  <w:r>
                    <w:rPr>
                      <w:rFonts w:hint="eastAsia" w:ascii="Times New Roman" w:hAnsi="Times New Roman" w:cs="Times New Roman"/>
                      <w:b w:val="0"/>
                      <w:bCs w:val="0"/>
                      <w:color w:val="000000"/>
                      <w:kern w:val="0"/>
                      <w:sz w:val="21"/>
                      <w:szCs w:val="21"/>
                      <w:u w:val="single"/>
                      <w:lang w:val="en-US" w:eastAsia="zh-CN" w:bidi="ar"/>
                    </w:rPr>
                    <w:t>南</w:t>
                  </w:r>
                  <w:r>
                    <w:rPr>
                      <w:rFonts w:hint="default" w:ascii="Times New Roman" w:hAnsi="Times New Roman" w:cs="Times New Roman"/>
                      <w:b w:val="0"/>
                      <w:bCs w:val="0"/>
                      <w:color w:val="000000"/>
                      <w:kern w:val="0"/>
                      <w:sz w:val="21"/>
                      <w:szCs w:val="21"/>
                      <w:u w:val="single"/>
                      <w:lang w:val="en-US" w:eastAsia="zh-CN" w:bidi="ar"/>
                    </w:rPr>
                    <w:t>侧执行《工业企业厂界环境噪声排放标准》（GB12348-2008）4类标准，厂界</w:t>
                  </w:r>
                  <w:r>
                    <w:rPr>
                      <w:rFonts w:hint="eastAsia" w:ascii="Times New Roman" w:hAnsi="Times New Roman" w:cs="Times New Roman"/>
                      <w:b w:val="0"/>
                      <w:bCs w:val="0"/>
                      <w:color w:val="000000"/>
                      <w:kern w:val="0"/>
                      <w:sz w:val="21"/>
                      <w:szCs w:val="21"/>
                      <w:u w:val="single"/>
                      <w:lang w:val="en-US" w:eastAsia="zh-CN" w:bidi="ar"/>
                    </w:rPr>
                    <w:t>西</w:t>
                  </w:r>
                  <w:r>
                    <w:rPr>
                      <w:rFonts w:hint="default" w:ascii="Times New Roman" w:hAnsi="Times New Roman" w:cs="Times New Roman"/>
                      <w:b w:val="0"/>
                      <w:bCs w:val="0"/>
                      <w:color w:val="000000"/>
                      <w:kern w:val="0"/>
                      <w:sz w:val="21"/>
                      <w:szCs w:val="21"/>
                      <w:u w:val="single"/>
                      <w:lang w:val="en-US" w:eastAsia="zh-CN" w:bidi="ar"/>
                    </w:rPr>
                    <w:t>侧、</w:t>
                  </w:r>
                  <w:r>
                    <w:rPr>
                      <w:rFonts w:hint="eastAsia" w:ascii="Times New Roman" w:hAnsi="Times New Roman" w:cs="Times New Roman"/>
                      <w:b w:val="0"/>
                      <w:bCs w:val="0"/>
                      <w:color w:val="000000"/>
                      <w:kern w:val="0"/>
                      <w:sz w:val="21"/>
                      <w:szCs w:val="21"/>
                      <w:u w:val="single"/>
                      <w:lang w:val="en-US" w:eastAsia="zh-CN" w:bidi="ar"/>
                    </w:rPr>
                    <w:t>北</w:t>
                  </w:r>
                  <w:r>
                    <w:rPr>
                      <w:rFonts w:hint="default" w:ascii="Times New Roman" w:hAnsi="Times New Roman" w:cs="Times New Roman"/>
                      <w:b w:val="0"/>
                      <w:bCs w:val="0"/>
                      <w:color w:val="000000"/>
                      <w:kern w:val="0"/>
                      <w:sz w:val="21"/>
                      <w:szCs w:val="21"/>
                      <w:u w:val="single"/>
                      <w:lang w:val="en-US" w:eastAsia="zh-CN" w:bidi="ar"/>
                    </w:rPr>
                    <w:t>侧执行《工业企业厂界环境噪声排放标准》（GB12348-2008）3类标准</w:t>
                  </w:r>
                </w:p>
              </w:tc>
            </w:tr>
          </w:tbl>
          <w:p>
            <w:pPr>
              <w:spacing w:line="360" w:lineRule="auto"/>
              <w:contextualSpacing/>
            </w:pPr>
          </w:p>
        </w:tc>
      </w:tr>
    </w:tbl>
    <w:p>
      <w:pPr>
        <w:rPr>
          <w:rFonts w:hint="eastAsia"/>
          <w:b/>
          <w:sz w:val="32"/>
          <w:szCs w:val="32"/>
          <w:lang w:val="en-US" w:eastAsia="zh-CN"/>
        </w:rPr>
      </w:pPr>
      <w:r>
        <w:rPr>
          <w:rFonts w:hint="eastAsia"/>
          <w:b/>
          <w:sz w:val="32"/>
          <w:szCs w:val="32"/>
          <w:lang w:val="en-US" w:eastAsia="zh-CN"/>
        </w:rPr>
        <w:br w:type="page"/>
      </w:r>
    </w:p>
    <w:p>
      <w:pPr>
        <w:spacing w:line="440" w:lineRule="exact"/>
        <w:outlineLvl w:val="0"/>
        <w:rPr>
          <w:b/>
          <w:sz w:val="32"/>
          <w:szCs w:val="32"/>
        </w:rPr>
      </w:pPr>
      <w:r>
        <w:rPr>
          <w:rFonts w:hint="eastAsia"/>
          <w:b/>
          <w:sz w:val="32"/>
          <w:szCs w:val="32"/>
          <w:lang w:val="en-US" w:eastAsia="zh-CN"/>
        </w:rPr>
        <w:t>12</w:t>
      </w:r>
      <w:r>
        <w:rPr>
          <w:rFonts w:hint="eastAsia"/>
          <w:b/>
          <w:sz w:val="32"/>
          <w:szCs w:val="32"/>
        </w:rPr>
        <w:t>环保投资</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spacing w:line="360" w:lineRule="auto"/>
              <w:ind w:firstLine="482"/>
              <w:contextualSpacing/>
              <w:rPr>
                <w:sz w:val="24"/>
                <w:u w:val="none"/>
              </w:rPr>
            </w:pPr>
            <w:r>
              <w:rPr>
                <w:rFonts w:hint="eastAsia"/>
                <w:sz w:val="24"/>
                <w:u w:val="none"/>
              </w:rPr>
              <w:t>本项目总投资</w:t>
            </w:r>
            <w:r>
              <w:rPr>
                <w:rFonts w:hint="eastAsia"/>
                <w:sz w:val="24"/>
                <w:u w:val="none"/>
                <w:lang w:val="en-US" w:eastAsia="zh-CN"/>
              </w:rPr>
              <w:t>12000</w:t>
            </w:r>
            <w:r>
              <w:rPr>
                <w:rFonts w:hint="eastAsia"/>
                <w:sz w:val="24"/>
                <w:u w:val="none"/>
              </w:rPr>
              <w:t>万元，其中环保投资</w:t>
            </w:r>
            <w:r>
              <w:rPr>
                <w:rFonts w:hint="eastAsia"/>
                <w:sz w:val="24"/>
                <w:u w:val="none"/>
                <w:lang w:val="en-US" w:eastAsia="zh-CN"/>
              </w:rPr>
              <w:t>171.5</w:t>
            </w:r>
            <w:r>
              <w:rPr>
                <w:rFonts w:hint="eastAsia"/>
                <w:sz w:val="24"/>
                <w:u w:val="none"/>
              </w:rPr>
              <w:t>万元，占总投资额的</w:t>
            </w:r>
            <w:r>
              <w:rPr>
                <w:rFonts w:hint="eastAsia"/>
                <w:sz w:val="24"/>
                <w:u w:val="none"/>
                <w:lang w:val="en-US" w:eastAsia="zh-CN"/>
              </w:rPr>
              <w:t>1.43</w:t>
            </w:r>
            <w:r>
              <w:rPr>
                <w:sz w:val="24"/>
                <w:u w:val="none"/>
              </w:rPr>
              <w:t>%</w:t>
            </w:r>
            <w:r>
              <w:rPr>
                <w:rFonts w:hint="eastAsia"/>
                <w:sz w:val="24"/>
                <w:u w:val="none"/>
              </w:rPr>
              <w:t>，环保投资情况见表1</w:t>
            </w:r>
            <w:r>
              <w:rPr>
                <w:rFonts w:hint="eastAsia"/>
                <w:sz w:val="24"/>
                <w:u w:val="none"/>
                <w:lang w:val="en-US" w:eastAsia="zh-CN"/>
              </w:rPr>
              <w:t>2</w:t>
            </w:r>
            <w:r>
              <w:rPr>
                <w:sz w:val="24"/>
                <w:u w:val="none"/>
              </w:rPr>
              <w:t>-1</w:t>
            </w:r>
            <w:r>
              <w:rPr>
                <w:rFonts w:hint="eastAsia"/>
                <w:sz w:val="24"/>
                <w:u w:val="none"/>
              </w:rPr>
              <w:t>。</w:t>
            </w:r>
          </w:p>
          <w:p>
            <w:pPr>
              <w:spacing w:line="360" w:lineRule="auto"/>
              <w:jc w:val="center"/>
              <w:rPr>
                <w:b/>
                <w:szCs w:val="21"/>
                <w:u w:val="none"/>
              </w:rPr>
            </w:pPr>
            <w:r>
              <w:rPr>
                <w:b/>
                <w:szCs w:val="21"/>
                <w:u w:val="none"/>
              </w:rPr>
              <w:t>表</w:t>
            </w:r>
            <w:r>
              <w:rPr>
                <w:rFonts w:hint="eastAsia"/>
                <w:b/>
                <w:szCs w:val="21"/>
                <w:u w:val="none"/>
              </w:rPr>
              <w:t>1</w:t>
            </w:r>
            <w:r>
              <w:rPr>
                <w:rFonts w:hint="eastAsia"/>
                <w:b/>
                <w:szCs w:val="21"/>
                <w:u w:val="none"/>
                <w:lang w:val="en-US" w:eastAsia="zh-CN"/>
              </w:rPr>
              <w:t>2</w:t>
            </w:r>
            <w:r>
              <w:rPr>
                <w:rFonts w:hint="eastAsia"/>
                <w:b/>
                <w:szCs w:val="21"/>
                <w:u w:val="none"/>
              </w:rPr>
              <w:t>-1</w:t>
            </w:r>
            <w:r>
              <w:rPr>
                <w:b/>
                <w:szCs w:val="21"/>
                <w:u w:val="none"/>
              </w:rPr>
              <w:t xml:space="preserve">  环保投资一览表</w:t>
            </w:r>
          </w:p>
          <w:tbl>
            <w:tblPr>
              <w:tblStyle w:val="24"/>
              <w:tblW w:w="86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2418"/>
              <w:gridCol w:w="4302"/>
              <w:gridCol w:w="10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污染因素</w:t>
                  </w: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污染源</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治理措施</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投资(万元)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隔油池+三级</w:t>
                  </w:r>
                  <w:r>
                    <w:rPr>
                      <w:rFonts w:hint="default" w:ascii="Times New Roman" w:hAnsi="Times New Roman" w:eastAsia="宋体" w:cs="Times New Roman"/>
                      <w:sz w:val="21"/>
                      <w:szCs w:val="21"/>
                      <w:lang w:val="en-US" w:eastAsia="zh-CN"/>
                    </w:rPr>
                    <w:t>化粪池</w:t>
                  </w:r>
                  <w:r>
                    <w:rPr>
                      <w:rFonts w:hint="eastAsia" w:ascii="Times New Roman" w:hAnsi="Times New Roman" w:eastAsia="宋体" w:cs="Times New Roman"/>
                      <w:sz w:val="21"/>
                      <w:szCs w:val="21"/>
                      <w:lang w:val="en-US" w:eastAsia="zh-CN"/>
                    </w:rPr>
                    <w:t>（总容积为5m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筒仓原料接收</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2套布袋除尘器</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lang w:val="en-US" w:eastAsia="zh-CN"/>
                    </w:rPr>
                  </w:pPr>
                  <w:r>
                    <w:rPr>
                      <w:rFonts w:hint="eastAsia" w:cs="Times New Roman"/>
                      <w:sz w:val="21"/>
                      <w:szCs w:val="21"/>
                      <w:lang w:val="en-US" w:eastAsia="zh-CN"/>
                    </w:rPr>
                    <w:t>1#车间原料接收</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lang w:val="en-US" w:eastAsia="zh-CN"/>
                    </w:rPr>
                  </w:pPr>
                  <w:r>
                    <w:rPr>
                      <w:rFonts w:hint="eastAsia" w:cs="Times New Roman"/>
                      <w:sz w:val="21"/>
                      <w:szCs w:val="21"/>
                      <w:lang w:val="en-US" w:eastAsia="zh-CN"/>
                    </w:rPr>
                    <w:t>2套布袋除尘器</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sz w:val="21"/>
                      <w:szCs w:val="21"/>
                      <w:lang w:val="en-US" w:eastAsia="zh-CN"/>
                    </w:rPr>
                  </w:pPr>
                  <w:r>
                    <w:rPr>
                      <w:rFonts w:hint="eastAsia" w:cs="Times New Roman"/>
                      <w:sz w:val="21"/>
                      <w:szCs w:val="21"/>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主车间粉尘</w:t>
                  </w:r>
                </w:p>
              </w:tc>
              <w:tc>
                <w:tcPr>
                  <w:tcW w:w="4302"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kern w:val="0"/>
                      <w:sz w:val="21"/>
                      <w:szCs w:val="21"/>
                      <w:u w:val="single"/>
                      <w:lang w:val="en-US" w:eastAsia="zh-CN"/>
                    </w:rPr>
                    <w:t>5套脉冲布袋除尘器+1根45m排气筒</w:t>
                  </w:r>
                  <w:r>
                    <w:rPr>
                      <w:rFonts w:hint="eastAsia" w:ascii="Times New Roman" w:hAnsi="Times New Roman" w:cs="Times New Roman"/>
                      <w:b w:val="0"/>
                      <w:bCs w:val="0"/>
                      <w:color w:val="000000"/>
                      <w:kern w:val="0"/>
                      <w:sz w:val="21"/>
                      <w:szCs w:val="21"/>
                      <w:u w:val="single"/>
                      <w:lang w:val="en-US" w:eastAsia="zh-CN" w:bidi="ar"/>
                    </w:rPr>
                    <w:t>（P</w:t>
                  </w:r>
                  <w:r>
                    <w:rPr>
                      <w:rFonts w:hint="eastAsia" w:cs="Times New Roman"/>
                      <w:b w:val="0"/>
                      <w:bCs w:val="0"/>
                      <w:color w:val="000000"/>
                      <w:kern w:val="0"/>
                      <w:sz w:val="21"/>
                      <w:szCs w:val="21"/>
                      <w:u w:val="single"/>
                      <w:lang w:val="en-US" w:eastAsia="zh-CN" w:bidi="ar"/>
                    </w:rPr>
                    <w:t>2</w:t>
                  </w:r>
                  <w:r>
                    <w:rPr>
                      <w:rFonts w:hint="eastAsia" w:ascii="Times New Roman" w:hAnsi="Times New Roman" w:cs="Times New Roman"/>
                      <w:b w:val="0"/>
                      <w:bCs w:val="0"/>
                      <w:color w:val="000000"/>
                      <w:kern w:val="0"/>
                      <w:sz w:val="21"/>
                      <w:szCs w:val="21"/>
                      <w:u w:val="single"/>
                      <w:lang w:val="en-US" w:eastAsia="zh-CN" w:bidi="ar"/>
                    </w:rPr>
                    <w:t>）</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发酵料生产线恶臭</w:t>
                  </w:r>
                </w:p>
              </w:tc>
              <w:tc>
                <w:tcPr>
                  <w:tcW w:w="4302" w:type="dxa"/>
                  <w:tcBorders>
                    <w:tl2br w:val="nil"/>
                    <w:tr2bl w:val="nil"/>
                  </w:tcBorders>
                  <w:vAlign w:val="center"/>
                </w:tcPr>
                <w:p>
                  <w:pPr>
                    <w:widowControl/>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0"/>
                      <w:sz w:val="21"/>
                      <w:szCs w:val="21"/>
                      <w:u w:val="single"/>
                      <w:lang w:val="en-US" w:eastAsia="zh-CN"/>
                    </w:rPr>
                    <w:t>负压风机</w:t>
                  </w:r>
                  <w:r>
                    <w:rPr>
                      <w:rFonts w:hint="eastAsia" w:cs="Times New Roman"/>
                      <w:kern w:val="0"/>
                      <w:sz w:val="21"/>
                      <w:szCs w:val="21"/>
                      <w:u w:val="single"/>
                      <w:lang w:val="en-US" w:eastAsia="zh-CN"/>
                    </w:rPr>
                    <w:t>收集+环保水池+生物除臭喷淋塔+</w:t>
                  </w:r>
                  <w:r>
                    <w:rPr>
                      <w:rFonts w:hint="eastAsia" w:ascii="Times New Roman" w:hAnsi="Times New Roman" w:cs="Times New Roman"/>
                      <w:kern w:val="0"/>
                      <w:sz w:val="21"/>
                      <w:szCs w:val="21"/>
                      <w:u w:val="single"/>
                      <w:lang w:val="en-US" w:eastAsia="zh-CN"/>
                    </w:rPr>
                    <w:t>15m高排气筒</w:t>
                  </w:r>
                  <w:r>
                    <w:rPr>
                      <w:rFonts w:hint="eastAsia" w:ascii="Times New Roman" w:hAnsi="Times New Roman" w:cs="Times New Roman"/>
                      <w:b w:val="0"/>
                      <w:bCs w:val="0"/>
                      <w:color w:val="000000"/>
                      <w:kern w:val="0"/>
                      <w:sz w:val="21"/>
                      <w:szCs w:val="21"/>
                      <w:u w:val="single"/>
                      <w:lang w:val="en-US" w:eastAsia="zh-CN" w:bidi="ar"/>
                    </w:rPr>
                    <w:t>（P</w:t>
                  </w:r>
                  <w:r>
                    <w:rPr>
                      <w:rFonts w:hint="eastAsia" w:cs="Times New Roman"/>
                      <w:b w:val="0"/>
                      <w:bCs w:val="0"/>
                      <w:color w:val="000000"/>
                      <w:kern w:val="0"/>
                      <w:sz w:val="21"/>
                      <w:szCs w:val="21"/>
                      <w:u w:val="single"/>
                      <w:lang w:val="en-US" w:eastAsia="zh-CN" w:bidi="ar"/>
                    </w:rPr>
                    <w:t>3</w:t>
                  </w:r>
                  <w:r>
                    <w:rPr>
                      <w:rFonts w:hint="eastAsia" w:ascii="Times New Roman" w:hAnsi="Times New Roman" w:cs="Times New Roman"/>
                      <w:b w:val="0"/>
                      <w:bCs w:val="0"/>
                      <w:color w:val="000000"/>
                      <w:kern w:val="0"/>
                      <w:sz w:val="21"/>
                      <w:szCs w:val="21"/>
                      <w:u w:val="single"/>
                      <w:lang w:val="en-US" w:eastAsia="zh-CN" w:bidi="ar"/>
                    </w:rPr>
                    <w:t xml:space="preserve">） </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食堂油烟</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油烟净化器</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lang w:eastAsia="zh-CN"/>
                    </w:rPr>
                    <w:t>杂质</w:t>
                  </w:r>
                </w:p>
              </w:tc>
              <w:tc>
                <w:tcPr>
                  <w:tcW w:w="4302"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设置</w:t>
                  </w:r>
                  <w:r>
                    <w:rPr>
                      <w:rFonts w:hint="default" w:ascii="Times New Roman" w:hAnsi="Times New Roman" w:eastAsia="宋体" w:cs="Times New Roman"/>
                      <w:sz w:val="21"/>
                      <w:szCs w:val="21"/>
                      <w:lang w:val="en-US" w:eastAsia="zh-CN"/>
                    </w:rPr>
                    <w:t>一般固废暂存间</w:t>
                  </w:r>
                  <w:r>
                    <w:rPr>
                      <w:rFonts w:hint="eastAsia" w:ascii="Times New Roman" w:hAnsi="Times New Roman" w:eastAsia="宋体" w:cs="Times New Roman"/>
                      <w:sz w:val="21"/>
                      <w:szCs w:val="21"/>
                      <w:lang w:val="en-US" w:eastAsia="zh-CN"/>
                    </w:rPr>
                    <w:t>（50m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），定期外售给市场回收企业</w:t>
                  </w:r>
                </w:p>
              </w:tc>
              <w:tc>
                <w:tcPr>
                  <w:tcW w:w="105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lang w:eastAsia="zh-CN"/>
                    </w:rPr>
                    <w:t>成品废包装袋</w:t>
                  </w:r>
                </w:p>
              </w:tc>
              <w:tc>
                <w:tcPr>
                  <w:tcW w:w="4302"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105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lang w:eastAsia="zh-CN"/>
                    </w:rPr>
                    <w:t>原辅材料</w:t>
                  </w:r>
                  <w:r>
                    <w:rPr>
                      <w:rFonts w:hint="default" w:ascii="Times New Roman" w:hAnsi="Times New Roman" w:cs="Times New Roman"/>
                    </w:rPr>
                    <w:t>废包装袋</w:t>
                  </w:r>
                </w:p>
              </w:tc>
              <w:tc>
                <w:tcPr>
                  <w:tcW w:w="4302"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105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rPr>
                    <w:t>除尘器收集的</w:t>
                  </w:r>
                  <w:r>
                    <w:rPr>
                      <w:rFonts w:hint="eastAsia" w:ascii="Times New Roman" w:hAnsi="Times New Roman" w:cs="Times New Roman"/>
                      <w:lang w:eastAsia="zh-CN"/>
                    </w:rPr>
                    <w:t>粉尘</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回用于生产线</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rPr>
                    <w:t>废机油</w:t>
                  </w:r>
                </w:p>
              </w:tc>
              <w:tc>
                <w:tcPr>
                  <w:tcW w:w="4302"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设置危废暂存间</w:t>
                  </w:r>
                  <w:r>
                    <w:rPr>
                      <w:rFonts w:hint="eastAsia" w:ascii="Times New Roman" w:hAnsi="Times New Roman" w:eastAsia="宋体" w:cs="Times New Roman"/>
                      <w:sz w:val="21"/>
                      <w:szCs w:val="21"/>
                      <w:lang w:val="en-US" w:eastAsia="zh-CN"/>
                    </w:rPr>
                    <w:t>（10m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），委托有资质的单位定期处置</w:t>
                  </w:r>
                </w:p>
              </w:tc>
              <w:tc>
                <w:tcPr>
                  <w:tcW w:w="105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1" w:hRule="atLeast"/>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rPr>
                    <w:t>含油</w:t>
                  </w:r>
                  <w:r>
                    <w:rPr>
                      <w:rFonts w:hint="eastAsia" w:ascii="Times New Roman" w:hAnsi="Times New Roman" w:cs="Times New Roman"/>
                      <w:lang w:eastAsia="zh-CN"/>
                    </w:rPr>
                    <w:t>废抹布及</w:t>
                  </w:r>
                  <w:r>
                    <w:rPr>
                      <w:rFonts w:hint="default" w:ascii="Times New Roman" w:hAnsi="Times New Roman" w:cs="Times New Roman"/>
                    </w:rPr>
                    <w:t>手套</w:t>
                  </w:r>
                </w:p>
              </w:tc>
              <w:tc>
                <w:tcPr>
                  <w:tcW w:w="4302"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105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p>
              </w:tc>
              <w:tc>
                <w:tcPr>
                  <w:tcW w:w="2418" w:type="dxa"/>
                  <w:tcBorders>
                    <w:tl2br w:val="nil"/>
                    <w:tr2bl w:val="nil"/>
                  </w:tcBorders>
                  <w:vAlign w:val="center"/>
                </w:tcPr>
                <w:p>
                  <w:pPr>
                    <w:tabs>
                      <w:tab w:val="left" w:pos="1021"/>
                    </w:tabs>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lang w:val="en-US" w:eastAsia="zh-CN"/>
                    </w:rPr>
                    <w:t>生活垃圾</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设置垃圾桶收集后，</w:t>
                  </w:r>
                  <w:r>
                    <w:rPr>
                      <w:rFonts w:hint="eastAsia" w:ascii="Times New Roman" w:hAnsi="Times New Roman" w:eastAsia="宋体" w:cs="Times New Roman"/>
                      <w:sz w:val="21"/>
                      <w:szCs w:val="21"/>
                      <w:lang w:val="en-US" w:eastAsia="zh-CN"/>
                    </w:rPr>
                    <w:t>由</w:t>
                  </w:r>
                  <w:r>
                    <w:rPr>
                      <w:rFonts w:hint="default" w:ascii="Times New Roman" w:hAnsi="Times New Roman" w:eastAsia="宋体" w:cs="Times New Roman"/>
                      <w:sz w:val="21"/>
                      <w:szCs w:val="21"/>
                      <w:lang w:val="en-US" w:eastAsia="zh-CN"/>
                    </w:rPr>
                    <w:t>环卫部门清运</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241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设备噪声</w:t>
                  </w:r>
                </w:p>
              </w:tc>
              <w:tc>
                <w:tcPr>
                  <w:tcW w:w="430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减振、隔音设施</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563" w:type="dxa"/>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合计</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171.5</w:t>
                  </w:r>
                </w:p>
              </w:tc>
            </w:tr>
          </w:tbl>
          <w:p>
            <w:pPr>
              <w:spacing w:line="440" w:lineRule="exact"/>
              <w:outlineLvl w:val="0"/>
              <w:rPr>
                <w:b/>
                <w:sz w:val="32"/>
                <w:szCs w:val="32"/>
              </w:rPr>
            </w:pPr>
            <w:r>
              <w:rPr>
                <w:rFonts w:hint="eastAsia"/>
                <w:b/>
                <w:sz w:val="32"/>
                <w:szCs w:val="32"/>
              </w:rPr>
              <w:t xml:space="preserve"> </w:t>
            </w:r>
          </w:p>
          <w:p>
            <w:pPr>
              <w:spacing w:line="440" w:lineRule="exact"/>
              <w:outlineLvl w:val="0"/>
              <w:rPr>
                <w:b/>
                <w:sz w:val="32"/>
                <w:szCs w:val="32"/>
              </w:rPr>
            </w:pPr>
          </w:p>
          <w:p>
            <w:pPr>
              <w:pStyle w:val="29"/>
              <w:rPr>
                <w:b/>
                <w:sz w:val="32"/>
                <w:szCs w:val="32"/>
              </w:rPr>
            </w:pPr>
          </w:p>
          <w:p>
            <w:pPr>
              <w:pStyle w:val="29"/>
              <w:rPr>
                <w:b/>
                <w:sz w:val="32"/>
                <w:szCs w:val="32"/>
              </w:rPr>
            </w:pPr>
          </w:p>
          <w:p>
            <w:pPr>
              <w:pStyle w:val="29"/>
              <w:rPr>
                <w:b/>
                <w:sz w:val="32"/>
                <w:szCs w:val="32"/>
              </w:rPr>
            </w:pPr>
          </w:p>
          <w:p>
            <w:pPr>
              <w:pStyle w:val="29"/>
              <w:rPr>
                <w:b/>
                <w:sz w:val="32"/>
                <w:szCs w:val="32"/>
              </w:rPr>
            </w:pPr>
          </w:p>
          <w:p>
            <w:pPr>
              <w:pStyle w:val="29"/>
              <w:rPr>
                <w:b/>
                <w:sz w:val="32"/>
                <w:szCs w:val="32"/>
              </w:rPr>
            </w:pPr>
          </w:p>
          <w:p>
            <w:pPr>
              <w:pStyle w:val="29"/>
              <w:rPr>
                <w:b/>
                <w:sz w:val="32"/>
                <w:szCs w:val="32"/>
              </w:rPr>
            </w:pPr>
          </w:p>
          <w:p>
            <w:pPr>
              <w:pStyle w:val="29"/>
              <w:rPr>
                <w:b/>
                <w:sz w:val="32"/>
                <w:szCs w:val="32"/>
              </w:rPr>
            </w:pPr>
          </w:p>
          <w:p>
            <w:pPr>
              <w:pStyle w:val="29"/>
              <w:rPr>
                <w:b/>
                <w:sz w:val="32"/>
                <w:szCs w:val="32"/>
              </w:rPr>
            </w:pPr>
          </w:p>
          <w:p>
            <w:pPr>
              <w:spacing w:line="440" w:lineRule="exact"/>
              <w:outlineLvl w:val="0"/>
              <w:rPr>
                <w:b/>
                <w:sz w:val="32"/>
                <w:szCs w:val="32"/>
              </w:rPr>
            </w:pPr>
          </w:p>
        </w:tc>
      </w:tr>
    </w:tbl>
    <w:p>
      <w:pPr>
        <w:spacing w:line="440" w:lineRule="exact"/>
        <w:outlineLvl w:val="0"/>
        <w:rPr>
          <w:b/>
          <w:sz w:val="32"/>
          <w:szCs w:val="32"/>
        </w:rPr>
      </w:pPr>
      <w:r>
        <w:rPr>
          <w:rFonts w:hint="eastAsia"/>
          <w:b/>
          <w:sz w:val="32"/>
          <w:szCs w:val="32"/>
          <w:lang w:val="en-US" w:eastAsia="zh-CN"/>
        </w:rPr>
        <w:t>13</w:t>
      </w:r>
      <w:r>
        <w:rPr>
          <w:rFonts w:hint="eastAsia"/>
          <w:b/>
          <w:sz w:val="32"/>
          <w:szCs w:val="32"/>
        </w:rPr>
        <w:t>总量控制</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spacing w:line="360" w:lineRule="auto"/>
              <w:rPr>
                <w:b/>
                <w:sz w:val="28"/>
                <w:szCs w:val="28"/>
              </w:rPr>
            </w:pPr>
            <w:bookmarkStart w:id="71" w:name="_Toc16533"/>
            <w:r>
              <w:rPr>
                <w:rFonts w:hint="eastAsia"/>
                <w:b/>
                <w:sz w:val="28"/>
                <w:szCs w:val="28"/>
              </w:rPr>
              <w:t>一、</w:t>
            </w:r>
            <w:r>
              <w:rPr>
                <w:b/>
                <w:sz w:val="28"/>
                <w:szCs w:val="28"/>
              </w:rPr>
              <w:t>总量控制分析</w:t>
            </w:r>
            <w:bookmarkEnd w:id="71"/>
          </w:p>
          <w:p>
            <w:pPr>
              <w:spacing w:line="360" w:lineRule="auto"/>
              <w:ind w:firstLine="480" w:firstLineChars="200"/>
              <w:rPr>
                <w:sz w:val="24"/>
              </w:rPr>
            </w:pPr>
            <w:r>
              <w:rPr>
                <w:sz w:val="24"/>
              </w:rPr>
              <w:t>根据《建设项目环境保护管理条例》（中华人民共和国国务院682号令，2017年10月1日）中第三条规定：建设产生污染的建设项目，必须遵守污染物排放的国家标准和地方标准；在实施重点污染物排放总量控制的区域内，还必须符合重点污染物排放总量控制的要求。</w:t>
            </w:r>
          </w:p>
          <w:p>
            <w:pPr>
              <w:spacing w:line="360" w:lineRule="auto"/>
              <w:rPr>
                <w:rFonts w:hint="eastAsia"/>
                <w:b/>
                <w:sz w:val="28"/>
                <w:szCs w:val="28"/>
              </w:rPr>
            </w:pPr>
            <w:r>
              <w:rPr>
                <w:rFonts w:hint="eastAsia"/>
                <w:b/>
                <w:sz w:val="28"/>
                <w:szCs w:val="28"/>
              </w:rPr>
              <w:t>二、总量控制因子的确定</w:t>
            </w:r>
          </w:p>
          <w:p>
            <w:pPr>
              <w:spacing w:line="360" w:lineRule="auto"/>
              <w:ind w:firstLine="480" w:firstLineChars="200"/>
              <w:rPr>
                <w:sz w:val="24"/>
              </w:rPr>
            </w:pPr>
            <w:r>
              <w:rPr>
                <w:sz w:val="24"/>
              </w:rPr>
              <w:t>根据</w:t>
            </w:r>
            <w:bookmarkStart w:id="72" w:name="OLE_LINK13"/>
            <w:r>
              <w:rPr>
                <w:sz w:val="24"/>
              </w:rPr>
              <w:t>国家</w:t>
            </w:r>
            <w:r>
              <w:rPr>
                <w:rFonts w:hint="eastAsia"/>
                <w:sz w:val="24"/>
              </w:rPr>
              <w:t>“</w:t>
            </w:r>
            <w:r>
              <w:rPr>
                <w:sz w:val="24"/>
              </w:rPr>
              <w:t>十三五</w:t>
            </w:r>
            <w:r>
              <w:rPr>
                <w:rFonts w:hint="eastAsia"/>
                <w:sz w:val="24"/>
              </w:rPr>
              <w:t>”</w:t>
            </w:r>
            <w:r>
              <w:rPr>
                <w:sz w:val="24"/>
              </w:rPr>
              <w:t>期间对污染物排放总量控制指标要求</w:t>
            </w:r>
            <w:bookmarkEnd w:id="72"/>
            <w:r>
              <w:rPr>
                <w:sz w:val="24"/>
              </w:rPr>
              <w:t>及</w:t>
            </w:r>
            <w:r>
              <w:fldChar w:fldCharType="begin"/>
            </w:r>
            <w:r>
              <w:instrText xml:space="preserve"> HYPERLINK "https://baike.baidu.com/item/%E5%9B%BD%E5%8A%A1%E9%99%A2/343590" \t "https://baike.baidu.com/item/%E5%9B%BD%E5%8A%A1%E9%99%A2%E5%85%B3%E4%BA%8E%E5%8D%B0%E5%8F%91%E5%A4%A7%E6%B0%94%E6%B1%A1%E6%9F%93%E9%98%B2%E6%B2%BB%E8%A1%8C%E5%8A%A8%E8%AE%A1%E5%88%92%E7%9A%84%E9%80%9A%E7%9F%A5/_blank" </w:instrText>
            </w:r>
            <w:r>
              <w:fldChar w:fldCharType="separate"/>
            </w:r>
            <w:r>
              <w:rPr>
                <w:sz w:val="24"/>
              </w:rPr>
              <w:t>国务院</w:t>
            </w:r>
            <w:r>
              <w:rPr>
                <w:sz w:val="24"/>
              </w:rPr>
              <w:fldChar w:fldCharType="end"/>
            </w:r>
            <w:r>
              <w:rPr>
                <w:sz w:val="24"/>
              </w:rPr>
              <w:t>《关于印发大气污染防治行动计划的通知》国发</w:t>
            </w:r>
            <w:r>
              <w:rPr>
                <w:rFonts w:hint="eastAsia"/>
                <w:sz w:val="24"/>
              </w:rPr>
              <w:t>[2013]</w:t>
            </w:r>
            <w:r>
              <w:rPr>
                <w:sz w:val="24"/>
              </w:rPr>
              <w:t>37号，规定总量控制因子为COD</w:t>
            </w:r>
            <w:r>
              <w:rPr>
                <w:sz w:val="24"/>
                <w:vertAlign w:val="subscript"/>
              </w:rPr>
              <w:t>Cr</w:t>
            </w:r>
            <w:r>
              <w:rPr>
                <w:sz w:val="24"/>
              </w:rPr>
              <w:t xml:space="preserve">、氨氮、二氧化硫、氮氧化物、烟（粉尘）和挥发性有机物（VOCs）。 </w:t>
            </w:r>
          </w:p>
          <w:p>
            <w:pPr>
              <w:spacing w:line="360" w:lineRule="auto"/>
              <w:ind w:firstLine="480" w:firstLineChars="200"/>
              <w:rPr>
                <w:sz w:val="24"/>
              </w:rPr>
            </w:pPr>
            <w:r>
              <w:rPr>
                <w:sz w:val="24"/>
              </w:rPr>
              <w:t>根据国家环保部和湖南省环保厅要求对建设项目排放污染物实施总量控制的要求，针对本项目的具体排污情况，结合本项目排污特征，确定总量控制因子为：</w:t>
            </w:r>
          </w:p>
          <w:p>
            <w:pPr>
              <w:spacing w:line="360" w:lineRule="auto"/>
              <w:ind w:firstLine="480" w:firstLineChars="200"/>
              <w:rPr>
                <w:sz w:val="24"/>
              </w:rPr>
            </w:pPr>
            <w:r>
              <w:rPr>
                <w:rFonts w:hint="eastAsia"/>
                <w:sz w:val="24"/>
                <w:lang w:eastAsia="zh-CN"/>
              </w:rPr>
              <w:t>废水</w:t>
            </w:r>
            <w:r>
              <w:rPr>
                <w:sz w:val="24"/>
              </w:rPr>
              <w:t>污染物指标：</w:t>
            </w:r>
            <w:r>
              <w:rPr>
                <w:rFonts w:hint="eastAsia" w:ascii="Times New Roman" w:hAnsi="Times New Roman" w:cs="Times New Roman"/>
                <w:b w:val="0"/>
                <w:bCs/>
                <w:kern w:val="2"/>
                <w:sz w:val="24"/>
                <w:szCs w:val="24"/>
                <w:lang w:val="zh-CN" w:eastAsia="zh-CN"/>
              </w:rPr>
              <w:t>COD、NH</w:t>
            </w:r>
            <w:r>
              <w:rPr>
                <w:rFonts w:hint="eastAsia" w:ascii="Times New Roman" w:hAnsi="Times New Roman" w:cs="Times New Roman"/>
                <w:b w:val="0"/>
                <w:bCs/>
                <w:kern w:val="2"/>
                <w:sz w:val="24"/>
                <w:szCs w:val="24"/>
                <w:vertAlign w:val="subscript"/>
                <w:lang w:val="zh-CN" w:eastAsia="zh-CN"/>
              </w:rPr>
              <w:t>3</w:t>
            </w:r>
            <w:r>
              <w:rPr>
                <w:rFonts w:hint="eastAsia" w:ascii="Times New Roman" w:hAnsi="Times New Roman" w:cs="Times New Roman"/>
                <w:b w:val="0"/>
                <w:bCs/>
                <w:kern w:val="2"/>
                <w:sz w:val="24"/>
                <w:szCs w:val="24"/>
                <w:lang w:val="zh-CN" w:eastAsia="zh-CN"/>
              </w:rPr>
              <w:t>-N</w:t>
            </w:r>
            <w:r>
              <w:rPr>
                <w:sz w:val="24"/>
              </w:rPr>
              <w:t xml:space="preserve">。 </w:t>
            </w:r>
          </w:p>
          <w:p>
            <w:pPr>
              <w:spacing w:line="360" w:lineRule="auto"/>
              <w:rPr>
                <w:b/>
                <w:sz w:val="28"/>
                <w:szCs w:val="28"/>
              </w:rPr>
            </w:pPr>
            <w:r>
              <w:rPr>
                <w:rFonts w:hint="eastAsia"/>
                <w:b/>
                <w:sz w:val="28"/>
                <w:szCs w:val="28"/>
              </w:rPr>
              <w:t>三、</w:t>
            </w:r>
            <w:r>
              <w:rPr>
                <w:b/>
                <w:sz w:val="28"/>
                <w:szCs w:val="28"/>
              </w:rPr>
              <w:t xml:space="preserve">污染物总量核算 </w:t>
            </w:r>
          </w:p>
          <w:p>
            <w:pPr>
              <w:spacing w:line="360" w:lineRule="auto"/>
              <w:ind w:firstLine="480" w:firstLineChars="200"/>
              <w:rPr>
                <w:color w:val="000000" w:themeColor="text1"/>
                <w:sz w:val="24"/>
                <w:szCs w:val="22"/>
                <w:u w:val="none"/>
                <w14:textFill>
                  <w14:solidFill>
                    <w14:schemeClr w14:val="tx1"/>
                  </w14:solidFill>
                </w14:textFill>
              </w:rPr>
            </w:pPr>
            <w:r>
              <w:rPr>
                <w:rFonts w:hint="eastAsia" w:ascii="Times New Roman" w:hAnsi="Times New Roman" w:cs="Times New Roman"/>
                <w:b w:val="0"/>
                <w:bCs/>
                <w:kern w:val="2"/>
                <w:sz w:val="24"/>
                <w:szCs w:val="24"/>
                <w:lang w:val="zh-CN" w:eastAsia="zh-CN"/>
              </w:rPr>
              <w:t>本项目将COD、氨氮作为总量控制因子。根据工程分析本项目生活废水产生量为</w:t>
            </w:r>
            <w:r>
              <w:rPr>
                <w:rFonts w:hint="eastAsia" w:ascii="Times New Roman" w:hAnsi="Times New Roman" w:cs="Times New Roman"/>
                <w:b w:val="0"/>
                <w:bCs/>
                <w:kern w:val="2"/>
                <w:sz w:val="24"/>
                <w:szCs w:val="24"/>
                <w:lang w:val="en-US" w:eastAsia="zh-CN"/>
              </w:rPr>
              <w:t>0.0648万</w:t>
            </w:r>
            <w:r>
              <w:rPr>
                <w:rFonts w:hint="eastAsia" w:ascii="Times New Roman" w:hAnsi="Times New Roman" w:cs="Times New Roman"/>
                <w:b w:val="0"/>
                <w:bCs/>
                <w:kern w:val="2"/>
                <w:sz w:val="24"/>
                <w:szCs w:val="24"/>
                <w:lang w:val="zh-CN" w:eastAsia="zh-CN"/>
              </w:rPr>
              <w:t>m</w:t>
            </w:r>
            <w:r>
              <w:rPr>
                <w:rFonts w:hint="eastAsia" w:ascii="Times New Roman" w:hAnsi="Times New Roman" w:cs="Times New Roman"/>
                <w:b w:val="0"/>
                <w:bCs/>
                <w:kern w:val="2"/>
                <w:sz w:val="24"/>
                <w:szCs w:val="24"/>
                <w:vertAlign w:val="superscript"/>
                <w:lang w:val="zh-CN" w:eastAsia="zh-CN"/>
              </w:rPr>
              <w:t>3</w:t>
            </w:r>
            <w:r>
              <w:rPr>
                <w:rFonts w:hint="eastAsia" w:ascii="Times New Roman" w:hAnsi="Times New Roman" w:cs="Times New Roman"/>
                <w:b w:val="0"/>
                <w:bCs/>
                <w:kern w:val="2"/>
                <w:sz w:val="24"/>
                <w:szCs w:val="24"/>
                <w:lang w:val="zh-CN" w:eastAsia="zh-CN"/>
              </w:rPr>
              <w:t>/a，COD、氨氮的排放浓度均满足</w:t>
            </w:r>
            <w:r>
              <w:rPr>
                <w:rFonts w:hint="eastAsia" w:ascii="Times New Roman" w:hAnsi="Times New Roman" w:cs="Times New Roman"/>
                <w:sz w:val="24"/>
                <w:lang w:val="en-US" w:eastAsia="zh-CN"/>
              </w:rPr>
              <w:t>《城镇污水处理厂污染物排放标准》（GB18918-2002）中的一级A标准</w:t>
            </w:r>
            <w:r>
              <w:rPr>
                <w:rFonts w:hint="eastAsia" w:ascii="Times New Roman" w:hAnsi="Times New Roman" w:cs="Times New Roman"/>
                <w:b w:val="0"/>
                <w:bCs/>
                <w:kern w:val="2"/>
                <w:sz w:val="24"/>
                <w:szCs w:val="24"/>
                <w:lang w:val="zh-CN" w:eastAsia="zh-CN"/>
              </w:rPr>
              <w:t>，根据</w:t>
            </w:r>
            <w:r>
              <w:rPr>
                <w:rFonts w:hint="eastAsia" w:ascii="Times New Roman" w:hAnsi="Times New Roman" w:cs="Times New Roman"/>
                <w:sz w:val="24"/>
                <w:lang w:val="en-US" w:eastAsia="zh-CN"/>
              </w:rPr>
              <w:t>《城镇污水处理厂污染物排放标准》（GB18918-2002）中的一级A标准</w:t>
            </w:r>
            <w:r>
              <w:rPr>
                <w:rFonts w:hint="eastAsia" w:ascii="Times New Roman" w:hAnsi="Times New Roman" w:cs="Times New Roman"/>
                <w:b w:val="0"/>
                <w:bCs/>
                <w:kern w:val="2"/>
                <w:sz w:val="24"/>
                <w:szCs w:val="24"/>
                <w:lang w:val="zh-CN" w:eastAsia="zh-CN"/>
              </w:rPr>
              <w:t>（COD排放限值</w:t>
            </w:r>
            <w:r>
              <w:rPr>
                <w:rFonts w:hint="eastAsia" w:ascii="Times New Roman" w:hAnsi="Times New Roman" w:cs="Times New Roman"/>
                <w:b w:val="0"/>
                <w:bCs/>
                <w:kern w:val="2"/>
                <w:sz w:val="24"/>
                <w:szCs w:val="24"/>
                <w:lang w:val="en-US" w:eastAsia="zh-CN"/>
              </w:rPr>
              <w:t>50</w:t>
            </w:r>
            <w:r>
              <w:rPr>
                <w:rFonts w:hint="eastAsia" w:ascii="Times New Roman" w:hAnsi="Times New Roman" w:cs="Times New Roman"/>
                <w:b w:val="0"/>
                <w:bCs/>
                <w:kern w:val="2"/>
                <w:sz w:val="24"/>
                <w:szCs w:val="24"/>
                <w:lang w:val="zh-CN" w:eastAsia="zh-CN"/>
              </w:rPr>
              <w:t>mg/L，氨氮排放限值</w:t>
            </w:r>
            <w:r>
              <w:rPr>
                <w:rFonts w:hint="eastAsia" w:ascii="Times New Roman" w:hAnsi="Times New Roman" w:cs="Times New Roman"/>
                <w:b w:val="0"/>
                <w:bCs/>
                <w:kern w:val="2"/>
                <w:sz w:val="24"/>
                <w:szCs w:val="24"/>
                <w:lang w:val="en-US" w:eastAsia="zh-CN"/>
              </w:rPr>
              <w:t>5</w:t>
            </w:r>
            <w:r>
              <w:rPr>
                <w:rFonts w:hint="eastAsia" w:ascii="Times New Roman" w:hAnsi="Times New Roman" w:cs="Times New Roman"/>
                <w:b w:val="0"/>
                <w:bCs/>
                <w:kern w:val="2"/>
                <w:sz w:val="24"/>
                <w:szCs w:val="24"/>
                <w:lang w:val="zh-CN" w:eastAsia="zh-CN"/>
              </w:rPr>
              <w:t>mg/L），则COD总量指标为：</w:t>
            </w:r>
            <w:r>
              <w:rPr>
                <w:rFonts w:hint="eastAsia" w:ascii="Times New Roman" w:hAnsi="Times New Roman" w:cs="Times New Roman"/>
                <w:b w:val="0"/>
                <w:bCs/>
                <w:kern w:val="2"/>
                <w:sz w:val="24"/>
                <w:szCs w:val="24"/>
                <w:lang w:val="en-US" w:eastAsia="zh-CN"/>
              </w:rPr>
              <w:t>0.032</w:t>
            </w:r>
            <w:r>
              <w:rPr>
                <w:rFonts w:hint="eastAsia" w:ascii="Times New Roman" w:hAnsi="Times New Roman" w:cs="Times New Roman"/>
                <w:b w:val="0"/>
                <w:bCs/>
                <w:kern w:val="2"/>
                <w:sz w:val="24"/>
                <w:szCs w:val="24"/>
                <w:lang w:val="zh-CN" w:eastAsia="zh-CN"/>
              </w:rPr>
              <w:t>t/a；氨氮总量指标为：</w:t>
            </w:r>
            <w:r>
              <w:rPr>
                <w:rFonts w:hint="eastAsia" w:ascii="Times New Roman" w:hAnsi="Times New Roman" w:cs="Times New Roman"/>
                <w:b w:val="0"/>
                <w:bCs/>
                <w:kern w:val="2"/>
                <w:sz w:val="24"/>
                <w:szCs w:val="24"/>
                <w:lang w:val="en-US" w:eastAsia="zh-CN"/>
              </w:rPr>
              <w:t>0.0032</w:t>
            </w:r>
            <w:r>
              <w:rPr>
                <w:rFonts w:hint="eastAsia" w:ascii="Times New Roman" w:hAnsi="Times New Roman" w:cs="Times New Roman"/>
                <w:b w:val="0"/>
                <w:bCs/>
                <w:kern w:val="2"/>
                <w:sz w:val="24"/>
                <w:szCs w:val="24"/>
                <w:lang w:val="zh-CN" w:eastAsia="zh-CN"/>
              </w:rPr>
              <w:t>t/a。</w:t>
            </w:r>
          </w:p>
          <w:p>
            <w:pPr>
              <w:spacing w:line="360" w:lineRule="auto"/>
              <w:rPr>
                <w:b/>
                <w:sz w:val="28"/>
                <w:szCs w:val="28"/>
              </w:rPr>
            </w:pPr>
            <w:r>
              <w:rPr>
                <w:rFonts w:hint="eastAsia"/>
                <w:b/>
                <w:sz w:val="28"/>
                <w:szCs w:val="28"/>
              </w:rPr>
              <w:t>四、</w:t>
            </w:r>
            <w:r>
              <w:rPr>
                <w:b/>
                <w:sz w:val="28"/>
                <w:szCs w:val="28"/>
              </w:rPr>
              <w:t xml:space="preserve">总量控制指标来源 </w:t>
            </w:r>
          </w:p>
          <w:p>
            <w:pPr>
              <w:spacing w:line="360" w:lineRule="auto"/>
              <w:ind w:firstLine="480" w:firstLineChars="200"/>
              <w:rPr>
                <w:sz w:val="24"/>
                <w:szCs w:val="22"/>
              </w:rPr>
            </w:pPr>
            <w:r>
              <w:rPr>
                <w:rFonts w:hint="eastAsia" w:ascii="Times New Roman" w:hAnsi="Times New Roman" w:cs="Times New Roman"/>
                <w:b w:val="0"/>
                <w:bCs/>
                <w:kern w:val="2"/>
                <w:sz w:val="24"/>
                <w:szCs w:val="24"/>
                <w:lang w:val="en-US" w:eastAsia="zh-CN"/>
              </w:rPr>
              <w:t>本项目总量控制指标由当地环境保护主管部门确认，再通过常德市排污权交易中心购买。</w:t>
            </w:r>
          </w:p>
          <w:p>
            <w:pPr>
              <w:spacing w:line="440" w:lineRule="exact"/>
              <w:outlineLvl w:val="0"/>
              <w:rPr>
                <w:b/>
                <w:sz w:val="32"/>
                <w:szCs w:val="32"/>
              </w:rPr>
            </w:pPr>
          </w:p>
          <w:p>
            <w:pPr>
              <w:pStyle w:val="29"/>
              <w:rPr>
                <w:b/>
                <w:sz w:val="32"/>
                <w:szCs w:val="32"/>
              </w:rPr>
            </w:pPr>
          </w:p>
          <w:p>
            <w:pPr>
              <w:pStyle w:val="29"/>
              <w:rPr>
                <w:b/>
                <w:sz w:val="32"/>
                <w:szCs w:val="32"/>
              </w:rPr>
            </w:pPr>
          </w:p>
          <w:p>
            <w:pPr>
              <w:spacing w:line="440" w:lineRule="exact"/>
              <w:outlineLvl w:val="0"/>
              <w:rPr>
                <w:b/>
                <w:sz w:val="32"/>
                <w:szCs w:val="32"/>
              </w:rPr>
            </w:pPr>
          </w:p>
          <w:p>
            <w:pPr>
              <w:spacing w:line="440" w:lineRule="exact"/>
              <w:outlineLvl w:val="0"/>
              <w:rPr>
                <w:b/>
                <w:sz w:val="32"/>
                <w:szCs w:val="32"/>
              </w:rPr>
            </w:pPr>
          </w:p>
          <w:p>
            <w:pPr>
              <w:spacing w:line="440" w:lineRule="exact"/>
              <w:outlineLvl w:val="0"/>
              <w:rPr>
                <w:b/>
                <w:sz w:val="32"/>
                <w:szCs w:val="32"/>
              </w:rPr>
            </w:pPr>
          </w:p>
        </w:tc>
      </w:tr>
    </w:tbl>
    <w:p>
      <w:pPr>
        <w:spacing w:line="440" w:lineRule="exact"/>
        <w:outlineLvl w:val="0"/>
        <w:rPr>
          <w:b/>
          <w:sz w:val="32"/>
          <w:szCs w:val="32"/>
        </w:rPr>
      </w:pPr>
      <w:r>
        <w:rPr>
          <w:rFonts w:hint="eastAsia"/>
          <w:b/>
          <w:sz w:val="32"/>
          <w:szCs w:val="32"/>
          <w:lang w:val="en-US" w:eastAsia="zh-CN"/>
        </w:rPr>
        <w:t>14</w:t>
      </w:r>
      <w:r>
        <w:rPr>
          <w:rFonts w:hint="eastAsia"/>
          <w:b/>
          <w:sz w:val="32"/>
          <w:szCs w:val="32"/>
        </w:rPr>
        <w:t>结论与建议</w:t>
      </w:r>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spacing w:line="360" w:lineRule="auto"/>
              <w:rPr>
                <w:b/>
                <w:sz w:val="28"/>
                <w:szCs w:val="28"/>
              </w:rPr>
            </w:pPr>
            <w:r>
              <w:rPr>
                <w:b/>
                <w:sz w:val="28"/>
                <w:szCs w:val="28"/>
              </w:rPr>
              <w:t>一、结论</w:t>
            </w:r>
          </w:p>
          <w:p>
            <w:pPr>
              <w:spacing w:line="360" w:lineRule="auto"/>
              <w:ind w:firstLine="482" w:firstLineChars="200"/>
              <w:rPr>
                <w:b/>
                <w:sz w:val="24"/>
              </w:rPr>
            </w:pPr>
            <w:r>
              <w:rPr>
                <w:b/>
                <w:sz w:val="24"/>
              </w:rPr>
              <w:t>1、项目概况</w:t>
            </w:r>
          </w:p>
          <w:p>
            <w:pPr>
              <w:spacing w:line="360" w:lineRule="auto"/>
              <w:ind w:firstLine="470" w:firstLineChars="196"/>
              <w:rPr>
                <w:bCs/>
                <w:sz w:val="24"/>
              </w:rPr>
            </w:pPr>
            <w:r>
              <w:rPr>
                <w:rFonts w:hint="eastAsia" w:ascii="宋体" w:hAnsi="宋体" w:eastAsia="宋体" w:cs="宋体"/>
                <w:sz w:val="24"/>
                <w:szCs w:val="24"/>
                <w:lang w:eastAsia="zh-CN"/>
              </w:rPr>
              <w:t>常德市汇海饲料有限公司</w:t>
            </w:r>
            <w:r>
              <w:rPr>
                <w:rFonts w:ascii="宋体" w:hAnsi="宋体" w:eastAsia="宋体" w:cs="宋体"/>
                <w:sz w:val="24"/>
                <w:szCs w:val="24"/>
              </w:rPr>
              <w:t>拟投</w:t>
            </w:r>
            <w:r>
              <w:rPr>
                <w:rFonts w:hint="default" w:ascii="Times New Roman" w:hAnsi="Times New Roman" w:eastAsia="宋体" w:cs="Times New Roman"/>
                <w:sz w:val="24"/>
                <w:szCs w:val="24"/>
              </w:rPr>
              <w:t>资</w:t>
            </w:r>
            <w:r>
              <w:rPr>
                <w:rFonts w:hint="default" w:ascii="Times New Roman" w:hAnsi="Times New Roman" w:eastAsia="宋体" w:cs="Times New Roman"/>
                <w:sz w:val="24"/>
                <w:szCs w:val="24"/>
                <w:lang w:val="en-US" w:eastAsia="zh-CN"/>
              </w:rPr>
              <w:t>12000</w:t>
            </w:r>
            <w:r>
              <w:rPr>
                <w:rFonts w:hint="default" w:ascii="Times New Roman" w:hAnsi="Times New Roman" w:eastAsia="宋体" w:cs="Times New Roman"/>
                <w:sz w:val="24"/>
                <w:szCs w:val="24"/>
              </w:rPr>
              <w:t>万元在</w:t>
            </w:r>
            <w:r>
              <w:rPr>
                <w:rFonts w:hint="eastAsia" w:ascii="Times New Roman" w:hAnsi="Times New Roman" w:cs="Times New Roman"/>
                <w:sz w:val="24"/>
                <w:lang w:val="en-US" w:eastAsia="zh-CN"/>
              </w:rPr>
              <w:t>津市高新区周家铺路以西创业路以北地块新建</w:t>
            </w:r>
            <w:r>
              <w:rPr>
                <w:rFonts w:hint="eastAsia" w:ascii="宋体" w:hAnsi="宋体" w:eastAsia="宋体" w:cs="宋体"/>
                <w:sz w:val="24"/>
                <w:szCs w:val="24"/>
                <w:lang w:eastAsia="zh-CN"/>
              </w:rPr>
              <w:t>年产</w:t>
            </w:r>
            <w:r>
              <w:rPr>
                <w:rFonts w:hint="default" w:ascii="Times New Roman" w:hAnsi="Times New Roman" w:eastAsia="宋体" w:cs="Times New Roman"/>
                <w:sz w:val="24"/>
                <w:szCs w:val="24"/>
                <w:lang w:val="en-US" w:eastAsia="zh-CN"/>
              </w:rPr>
              <w:t>23万</w:t>
            </w:r>
            <w:r>
              <w:rPr>
                <w:rFonts w:hint="eastAsia" w:ascii="宋体" w:hAnsi="宋体" w:eastAsia="宋体" w:cs="宋体"/>
                <w:sz w:val="24"/>
                <w:szCs w:val="24"/>
                <w:lang w:val="en-US" w:eastAsia="zh-CN"/>
              </w:rPr>
              <w:t>吨环保型配合饲料项目</w:t>
            </w:r>
            <w:r>
              <w:rPr>
                <w:rFonts w:ascii="宋体" w:hAnsi="宋体" w:eastAsia="宋体" w:cs="宋体"/>
                <w:sz w:val="24"/>
                <w:szCs w:val="24"/>
              </w:rPr>
              <w:t>项目，主要生产</w:t>
            </w:r>
            <w:r>
              <w:rPr>
                <w:rFonts w:hint="eastAsia" w:ascii="宋体" w:hAnsi="宋体" w:eastAsia="宋体" w:cs="宋体"/>
                <w:sz w:val="24"/>
                <w:szCs w:val="24"/>
                <w:lang w:eastAsia="zh-CN"/>
              </w:rPr>
              <w:t>膨化水产料及环保型猪料</w:t>
            </w:r>
            <w:r>
              <w:rPr>
                <w:rFonts w:hint="eastAsia" w:ascii="Times New Roman" w:hAnsi="Times New Roman" w:cs="Times New Roman"/>
                <w:sz w:val="24"/>
                <w:lang w:val="en-US" w:eastAsia="zh-CN"/>
              </w:rPr>
              <w:t>，项目总占地面积</w:t>
            </w:r>
            <w:r>
              <w:rPr>
                <w:rFonts w:hint="eastAsia" w:ascii="Times New Roman" w:hAnsi="Times New Roman" w:cs="Times New Roman"/>
                <w:color w:val="000000"/>
                <w:sz w:val="24"/>
                <w:lang w:val="en-US" w:eastAsia="zh-CN"/>
              </w:rPr>
              <w:t>33743.2</w:t>
            </w:r>
            <w:r>
              <w:rPr>
                <w:rFonts w:hint="eastAsia" w:ascii="Times New Roman" w:hAnsi="Times New Roman" w:cs="Times New Roman"/>
                <w:color w:val="000000"/>
                <w:sz w:val="24"/>
              </w:rPr>
              <w:t>m</w:t>
            </w:r>
            <w:r>
              <w:rPr>
                <w:rFonts w:hint="eastAsia" w:ascii="Times New Roman" w:hAnsi="Times New Roman" w:cs="Times New Roman"/>
                <w:color w:val="000000"/>
                <w:sz w:val="24"/>
                <w:vertAlign w:val="superscript"/>
              </w:rPr>
              <w:t>2</w:t>
            </w:r>
            <w:r>
              <w:rPr>
                <w:rFonts w:hint="eastAsia" w:ascii="Times New Roman" w:hAnsi="Times New Roman" w:cs="Times New Roman"/>
                <w:color w:val="000000"/>
                <w:sz w:val="24"/>
                <w:vertAlign w:val="baseline"/>
                <w:lang w:eastAsia="zh-CN"/>
              </w:rPr>
              <w:t>，总投资</w:t>
            </w:r>
            <w:r>
              <w:rPr>
                <w:rFonts w:hint="eastAsia" w:ascii="Times New Roman" w:hAnsi="Times New Roman" w:cs="Times New Roman"/>
                <w:color w:val="000000"/>
                <w:sz w:val="24"/>
                <w:vertAlign w:val="baseline"/>
                <w:lang w:val="en-US" w:eastAsia="zh-CN"/>
              </w:rPr>
              <w:t>12000万元，</w:t>
            </w:r>
            <w:r>
              <w:rPr>
                <w:rFonts w:hint="eastAsia" w:ascii="Times New Roman" w:hAnsi="Times New Roman" w:cs="Times New Roman"/>
                <w:color w:val="000000"/>
                <w:sz w:val="24"/>
                <w:lang w:val="en-US" w:eastAsia="zh-CN"/>
              </w:rPr>
              <w:t>本项目主体工程新建主车间一栋、1#车间一栋、2#车间一栋，辅助工程新建综合楼及食堂各一栋、机修车间一栋，储运工程新建玉米及小麦筒仓10个，豆油储罐3个，配套建设废气、废水、噪声及固废等环保措施。</w:t>
            </w:r>
          </w:p>
          <w:p>
            <w:pPr>
              <w:spacing w:line="360" w:lineRule="auto"/>
              <w:ind w:right="50" w:firstLine="482" w:firstLineChars="200"/>
              <w:contextualSpacing/>
              <w:rPr>
                <w:b/>
                <w:bCs/>
                <w:sz w:val="24"/>
              </w:rPr>
            </w:pPr>
            <w:r>
              <w:rPr>
                <w:b/>
                <w:bCs/>
                <w:sz w:val="24"/>
              </w:rPr>
              <w:t>2、环境质量现状</w:t>
            </w:r>
            <w:r>
              <w:rPr>
                <w:rFonts w:hint="eastAsia"/>
                <w:b/>
                <w:bCs/>
                <w:sz w:val="24"/>
              </w:rPr>
              <w:t>结论</w:t>
            </w:r>
          </w:p>
          <w:p>
            <w:pPr>
              <w:pStyle w:val="10"/>
              <w:spacing w:line="360" w:lineRule="auto"/>
              <w:ind w:firstLine="480" w:firstLineChars="200"/>
              <w:rPr>
                <w:rFonts w:hint="default" w:ascii="Times New Roman" w:hAnsi="Times New Roman" w:cs="Times New Roman"/>
                <w:snapToGrid w:val="0"/>
                <w:kern w:val="0"/>
                <w:sz w:val="24"/>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环境空气质量现状</w:t>
            </w:r>
          </w:p>
          <w:p>
            <w:pPr>
              <w:pStyle w:val="1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津市市PM</w:t>
            </w:r>
            <w:r>
              <w:rPr>
                <w:rFonts w:hint="eastAsia" w:ascii="Times New Roman" w:hAnsi="Times New Roman" w:cs="Times New Roman"/>
                <w:sz w:val="24"/>
                <w:szCs w:val="24"/>
                <w:vertAlign w:val="subscript"/>
                <w:lang w:val="en-US" w:eastAsia="zh-CN"/>
              </w:rPr>
              <w:t>2.5</w:t>
            </w:r>
            <w:r>
              <w:rPr>
                <w:rFonts w:hint="eastAsia" w:ascii="Times New Roman" w:hAnsi="Times New Roman" w:cs="Times New Roman"/>
                <w:sz w:val="24"/>
                <w:szCs w:val="24"/>
                <w:lang w:val="en-US" w:eastAsia="zh-CN"/>
              </w:rPr>
              <w:t>年平均浓度和日平均第95百分位数均超过《环境空气质量标准》（GB3095-2012）中二级标准，其他各监测因子均符合《环境空气质量标准》（GB3095-2012）中二级标准，本项目所在区域环境空气质量不达标。</w:t>
            </w:r>
          </w:p>
          <w:p>
            <w:pPr>
              <w:pStyle w:val="1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由于项目所在区域为环境空气不达标区，常德市人民政府已陆续开展《常德市污染防治攻坚战三年行动计划（2018-2020年）》，用以作为限期达标规划。区域环境空气质量有望得到改善，能够限期达标。</w:t>
            </w:r>
          </w:p>
          <w:p>
            <w:pPr>
              <w:pStyle w:val="1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地表水环境质量现状</w:t>
            </w:r>
          </w:p>
          <w:p>
            <w:pPr>
              <w:pStyle w:val="1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napToGrid w:val="0"/>
                <w:kern w:val="0"/>
                <w:sz w:val="24"/>
                <w:lang w:val="en-US" w:eastAsia="zh-CN"/>
              </w:rPr>
              <w:t>澧水</w:t>
            </w:r>
            <w:r>
              <w:rPr>
                <w:rFonts w:hint="eastAsia" w:ascii="Times New Roman" w:hAnsi="Times New Roman" w:cs="Times New Roman"/>
                <w:sz w:val="24"/>
                <w:szCs w:val="24"/>
                <w:lang w:val="en-US" w:eastAsia="zh-CN"/>
              </w:rPr>
              <w:t>津市高新区工业污水处理厂排污口上游500m、澧水津市高新区工业污水处理厂排污口下游1500m断面各监测因子均满足《地表水环境质量标准》（GB3838-2002）</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 3 \* ROMAN \* MERGEFORMAT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III</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类标准要求。</w:t>
            </w:r>
          </w:p>
          <w:p>
            <w:pPr>
              <w:pStyle w:val="10"/>
              <w:spacing w:line="360" w:lineRule="auto"/>
              <w:ind w:firstLine="480" w:firstLineChars="200"/>
              <w:rPr>
                <w:rFonts w:hint="default" w:ascii="Times New Roman" w:hAnsi="Times New Roman" w:cs="Times New Roman"/>
                <w:snapToGrid w:val="0"/>
                <w:kern w:val="0"/>
                <w:sz w:val="24"/>
              </w:rPr>
            </w:pPr>
            <w:r>
              <w:rPr>
                <w:rFonts w:hint="eastAsia" w:ascii="Times New Roman" w:hAnsi="Times New Roman" w:cs="Times New Roman"/>
                <w:snapToGrid w:val="0"/>
                <w:kern w:val="0"/>
                <w:sz w:val="24"/>
                <w:lang w:val="en-US" w:eastAsia="zh-CN"/>
              </w:rPr>
              <w:t>（3）</w:t>
            </w:r>
            <w:r>
              <w:rPr>
                <w:rFonts w:hint="default" w:ascii="Times New Roman" w:hAnsi="Times New Roman" w:cs="Times New Roman"/>
                <w:snapToGrid w:val="0"/>
                <w:kern w:val="0"/>
                <w:sz w:val="24"/>
              </w:rPr>
              <w:t>地下水质量现状</w:t>
            </w:r>
          </w:p>
          <w:p>
            <w:pPr>
              <w:pStyle w:val="1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区域各地下水监测点各监测因子均达到《地下水质量标准》（GB/T14848-2017）中的Ⅲ类标准，项目建设地区域地下水环境质量满足功能要求。</w:t>
            </w:r>
          </w:p>
          <w:p>
            <w:pPr>
              <w:pStyle w:val="10"/>
              <w:spacing w:line="360" w:lineRule="auto"/>
              <w:ind w:firstLine="480" w:firstLineChars="200"/>
              <w:rPr>
                <w:rFonts w:hint="default" w:ascii="Times New Roman" w:hAnsi="Times New Roman" w:cs="Times New Roman"/>
                <w:snapToGrid w:val="0"/>
                <w:kern w:val="0"/>
                <w:sz w:val="24"/>
              </w:rPr>
            </w:pPr>
            <w:r>
              <w:rPr>
                <w:rFonts w:hint="eastAsia" w:ascii="Times New Roman" w:hAnsi="Times New Roman" w:cs="Times New Roman"/>
                <w:snapToGrid w:val="0"/>
                <w:kern w:val="0"/>
                <w:sz w:val="24"/>
                <w:lang w:val="en-US" w:eastAsia="zh-CN"/>
              </w:rPr>
              <w:t>（4）</w:t>
            </w:r>
            <w:r>
              <w:rPr>
                <w:rFonts w:hint="default" w:ascii="Times New Roman" w:hAnsi="Times New Roman" w:cs="Times New Roman"/>
                <w:snapToGrid w:val="0"/>
                <w:kern w:val="0"/>
                <w:sz w:val="24"/>
              </w:rPr>
              <w:t>声环境质量现状</w:t>
            </w:r>
          </w:p>
          <w:p>
            <w:pPr>
              <w:spacing w:line="360" w:lineRule="auto"/>
              <w:ind w:firstLine="480"/>
              <w:rPr>
                <w:sz w:val="24"/>
              </w:rPr>
            </w:pPr>
            <w:r>
              <w:rPr>
                <w:rFonts w:hint="default" w:ascii="Times New Roman" w:hAnsi="Times New Roman" w:cs="Times New Roman"/>
                <w:snapToGrid w:val="0"/>
                <w:kern w:val="0"/>
                <w:sz w:val="24"/>
              </w:rPr>
              <w:t>项目</w:t>
            </w:r>
            <w:r>
              <w:rPr>
                <w:rFonts w:hint="eastAsia" w:ascii="Times New Roman" w:hAnsi="Times New Roman" w:cs="Times New Roman"/>
                <w:snapToGrid w:val="0"/>
                <w:kern w:val="0"/>
                <w:sz w:val="24"/>
                <w:lang w:eastAsia="zh-CN"/>
              </w:rPr>
              <w:t>拟建地厂界东侧、南侧</w:t>
            </w:r>
            <w:r>
              <w:rPr>
                <w:rFonts w:hint="default" w:ascii="Times New Roman" w:hAnsi="Times New Roman" w:cs="Times New Roman"/>
                <w:snapToGrid w:val="0"/>
                <w:kern w:val="0"/>
                <w:sz w:val="24"/>
              </w:rPr>
              <w:t>昼</w:t>
            </w:r>
            <w:r>
              <w:rPr>
                <w:rFonts w:hint="eastAsia" w:ascii="Times New Roman" w:hAnsi="Times New Roman" w:cs="Times New Roman"/>
                <w:snapToGrid w:val="0"/>
                <w:kern w:val="0"/>
                <w:sz w:val="24"/>
                <w:lang w:eastAsia="zh-CN"/>
              </w:rPr>
              <w:t>、</w:t>
            </w:r>
            <w:r>
              <w:rPr>
                <w:rFonts w:hint="default" w:ascii="Times New Roman" w:hAnsi="Times New Roman" w:cs="Times New Roman"/>
                <w:snapToGrid w:val="0"/>
                <w:kern w:val="0"/>
                <w:sz w:val="24"/>
              </w:rPr>
              <w:t>夜声环境质量符合《声环境质量标准》（GB3096-2008）中</w:t>
            </w:r>
            <w:r>
              <w:rPr>
                <w:rFonts w:hint="eastAsia" w:ascii="Times New Roman" w:hAnsi="Times New Roman" w:cs="Times New Roman"/>
                <w:snapToGrid w:val="0"/>
                <w:kern w:val="0"/>
                <w:sz w:val="24"/>
                <w:lang w:val="en-US" w:eastAsia="zh-CN"/>
              </w:rPr>
              <w:t>4a</w:t>
            </w:r>
            <w:r>
              <w:rPr>
                <w:rFonts w:hint="default" w:ascii="Times New Roman" w:hAnsi="Times New Roman" w:cs="Times New Roman"/>
                <w:snapToGrid w:val="0"/>
                <w:kern w:val="0"/>
                <w:sz w:val="24"/>
              </w:rPr>
              <w:t>类标准</w:t>
            </w:r>
            <w:r>
              <w:rPr>
                <w:rFonts w:hint="eastAsia" w:ascii="Times New Roman" w:hAnsi="Times New Roman" w:cs="Times New Roman"/>
                <w:snapToGrid w:val="0"/>
                <w:kern w:val="0"/>
                <w:sz w:val="24"/>
                <w:lang w:eastAsia="zh-CN"/>
              </w:rPr>
              <w:t>，厂界西侧、北侧昼、夜声环境质量符合</w:t>
            </w:r>
            <w:r>
              <w:rPr>
                <w:rFonts w:hint="default" w:ascii="Times New Roman" w:hAnsi="Times New Roman" w:cs="Times New Roman"/>
                <w:snapToGrid w:val="0"/>
                <w:kern w:val="0"/>
                <w:sz w:val="24"/>
              </w:rPr>
              <w:t>《声环境质量标准》（GB3096-2008）中</w:t>
            </w:r>
            <w:r>
              <w:rPr>
                <w:rFonts w:hint="eastAsia" w:ascii="Times New Roman" w:hAnsi="Times New Roman" w:cs="Times New Roman"/>
                <w:snapToGrid w:val="0"/>
                <w:kern w:val="0"/>
                <w:sz w:val="24"/>
                <w:lang w:val="en-US" w:eastAsia="zh-CN"/>
              </w:rPr>
              <w:t>3</w:t>
            </w:r>
            <w:r>
              <w:rPr>
                <w:rFonts w:hint="default" w:ascii="Times New Roman" w:hAnsi="Times New Roman" w:cs="Times New Roman"/>
                <w:snapToGrid w:val="0"/>
                <w:kern w:val="0"/>
                <w:sz w:val="24"/>
              </w:rPr>
              <w:t>类标准</w:t>
            </w:r>
            <w:r>
              <w:rPr>
                <w:rFonts w:hint="eastAsia" w:ascii="Times New Roman" w:hAnsi="Times New Roman" w:cs="Times New Roman"/>
                <w:snapToGrid w:val="0"/>
                <w:kern w:val="0"/>
                <w:sz w:val="24"/>
                <w:lang w:eastAsia="zh-CN"/>
              </w:rPr>
              <w:t>。</w:t>
            </w:r>
          </w:p>
          <w:p>
            <w:pPr>
              <w:spacing w:line="360" w:lineRule="auto"/>
              <w:ind w:firstLine="482" w:firstLineChars="200"/>
              <w:rPr>
                <w:b/>
                <w:sz w:val="24"/>
              </w:rPr>
            </w:pPr>
            <w:r>
              <w:rPr>
                <w:b/>
                <w:sz w:val="24"/>
              </w:rPr>
              <w:t>3、环境影响分析</w:t>
            </w:r>
            <w:r>
              <w:rPr>
                <w:rFonts w:hint="eastAsia"/>
                <w:b/>
                <w:sz w:val="24"/>
              </w:rPr>
              <w:t>结论</w:t>
            </w:r>
          </w:p>
          <w:p>
            <w:pPr>
              <w:spacing w:line="360" w:lineRule="auto"/>
              <w:ind w:firstLine="360" w:firstLineChars="150"/>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）大气环</w:t>
            </w:r>
            <w:r>
              <w:rPr>
                <w:rFonts w:hint="eastAsia" w:ascii="宋体" w:hAnsi="宋体" w:cs="宋体"/>
                <w:sz w:val="24"/>
              </w:rPr>
              <w:t>境影响分析</w:t>
            </w:r>
          </w:p>
          <w:p>
            <w:pPr>
              <w:spacing w:line="360" w:lineRule="auto"/>
              <w:ind w:firstLine="480" w:firstLineChars="200"/>
              <w:outlineLvl w:val="9"/>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主车间风机风量</w:t>
            </w:r>
            <w:r>
              <w:rPr>
                <w:rFonts w:hint="eastAsia" w:cs="Times New Roman"/>
                <w:sz w:val="24"/>
                <w:szCs w:val="22"/>
                <w:lang w:val="en-US" w:eastAsia="zh-CN"/>
              </w:rPr>
              <w:t>3</w:t>
            </w:r>
            <w:r>
              <w:rPr>
                <w:rFonts w:hint="eastAsia" w:ascii="Times New Roman" w:hAnsi="Times New Roman" w:cs="Times New Roman"/>
                <w:sz w:val="24"/>
                <w:szCs w:val="22"/>
                <w:lang w:val="en-US" w:eastAsia="zh-CN"/>
              </w:rPr>
              <w:t>0000m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/h，处理后经</w:t>
            </w:r>
            <w:r>
              <w:rPr>
                <w:rFonts w:hint="eastAsia" w:cs="Times New Roman"/>
                <w:sz w:val="24"/>
                <w:szCs w:val="22"/>
                <w:lang w:val="en-US" w:eastAsia="zh-CN"/>
              </w:rPr>
              <w:t>4</w:t>
            </w:r>
            <w:r>
              <w:rPr>
                <w:rFonts w:hint="eastAsia" w:ascii="Times New Roman" w:hAnsi="Times New Roman" w:cs="Times New Roman"/>
                <w:sz w:val="24"/>
                <w:szCs w:val="22"/>
                <w:lang w:val="en-US" w:eastAsia="zh-CN"/>
              </w:rPr>
              <w:t>5m高排气筒（P</w:t>
            </w:r>
            <w:r>
              <w:rPr>
                <w:rFonts w:hint="eastAsia" w:cs="Times New Roman"/>
                <w:sz w:val="24"/>
                <w:szCs w:val="22"/>
                <w:lang w:val="en-US" w:eastAsia="zh-CN"/>
              </w:rPr>
              <w:t>2</w:t>
            </w:r>
            <w:r>
              <w:rPr>
                <w:rFonts w:hint="eastAsia" w:ascii="Times New Roman" w:hAnsi="Times New Roman" w:cs="Times New Roman"/>
                <w:sz w:val="24"/>
                <w:szCs w:val="22"/>
                <w:lang w:val="en-US" w:eastAsia="zh-CN"/>
              </w:rPr>
              <w:t>）排放，粉尘排放浓度4.58mg/m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，排放速率0.18kg/h；粉尘排放浓度和排放速率满足《大气污染物综合排放标准》（GB16297-1996）表2二级标准要求（最高允许排放浓度120mg/m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，15m排气筒最高允许排放速率3.5kg/h），对项目周围环境空气质量影响较小。</w:t>
            </w:r>
          </w:p>
          <w:p>
            <w:pPr>
              <w:pStyle w:val="10"/>
              <w:spacing w:line="360" w:lineRule="auto"/>
              <w:ind w:right="105" w:rightChars="50" w:firstLine="480" w:firstLineChars="200"/>
              <w:rPr>
                <w:rFonts w:hint="default" w:ascii="Times New Roman" w:hAnsi="Times New Roman" w:cs="Times New Roman"/>
                <w:sz w:val="24"/>
                <w:szCs w:val="24"/>
                <w:lang w:val="en-US" w:eastAsia="zh-CN"/>
              </w:rPr>
            </w:pPr>
            <w:r>
              <w:rPr>
                <w:rFonts w:hint="eastAsia" w:ascii="Times New Roman" w:hAnsi="Times New Roman" w:eastAsia="宋体" w:cs="Times New Roman"/>
                <w:kern w:val="2"/>
                <w:sz w:val="24"/>
                <w:szCs w:val="22"/>
                <w:lang w:val="en-US" w:eastAsia="zh-CN" w:bidi="ar-SA"/>
              </w:rPr>
              <w:t>本项目2#车间内发酵料生产线发酵床恶臭采用负压风机收集+环保水池+生物除臭喷淋塔+15m高排气筒（P3）</w:t>
            </w:r>
            <w:r>
              <w:rPr>
                <w:rFonts w:hint="eastAsia" w:ascii="Times New Roman" w:hAnsi="Times New Roman" w:cs="Times New Roman"/>
                <w:kern w:val="2"/>
                <w:sz w:val="24"/>
                <w:szCs w:val="22"/>
                <w:lang w:val="en-US" w:eastAsia="zh-CN" w:bidi="ar-SA"/>
              </w:rPr>
              <w:t>排放，</w:t>
            </w:r>
            <w:r>
              <w:rPr>
                <w:rFonts w:hint="eastAsia" w:ascii="Times New Roman" w:hAnsi="Times New Roman" w:eastAsia="宋体" w:cs="Times New Roman"/>
                <w:kern w:val="2"/>
                <w:sz w:val="24"/>
                <w:szCs w:val="22"/>
                <w:lang w:val="en-US" w:eastAsia="zh-CN" w:bidi="ar-SA"/>
              </w:rPr>
              <w:t>可达到《恶臭污染物排放标准》（GB14554-93）。</w:t>
            </w:r>
          </w:p>
          <w:p>
            <w:pPr>
              <w:spacing w:line="360" w:lineRule="auto"/>
              <w:ind w:right="105" w:rightChars="50" w:firstLine="480" w:firstLineChars="200"/>
              <w:contextualSpacing/>
              <w:rPr>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sz w:val="24"/>
              </w:rPr>
              <w:t>地表水</w:t>
            </w:r>
            <w:r>
              <w:rPr>
                <w:sz w:val="24"/>
              </w:rPr>
              <w:t>环境影响分析</w:t>
            </w:r>
          </w:p>
          <w:p>
            <w:pPr>
              <w:spacing w:line="360" w:lineRule="auto"/>
              <w:ind w:firstLine="360" w:firstLineChars="150"/>
              <w:contextualSpacing/>
              <w:outlineLvl w:val="0"/>
              <w:rPr>
                <w:sz w:val="24"/>
                <w:lang w:val="en-US"/>
              </w:rPr>
            </w:pPr>
            <w:r>
              <w:rPr>
                <w:rFonts w:hint="eastAsia" w:ascii="Times New Roman" w:hAnsi="Times New Roman" w:cs="Times New Roman"/>
                <w:sz w:val="24"/>
                <w:szCs w:val="22"/>
                <w:lang w:val="en-US" w:eastAsia="zh-CN"/>
              </w:rPr>
              <w:t>本项目排水实行“雨污分流，污污分流”排水体制，雨水经厂区雨水管道收集后排入市政雨水管网。生活废水经厂区隔油池及化粪池处理达《污水综合排放标准》（GB8978-1996）三级标准，同时满足津市高新区工业污水处理厂进水水质标准后排入市政污水管网，最终经津市高新区工业污水处理厂处理后排入澧水。</w:t>
            </w:r>
            <w:r>
              <w:rPr>
                <w:rFonts w:hint="eastAsia" w:ascii="Times New Roman" w:hAnsi="Times New Roman" w:cs="Times New Roman"/>
                <w:snapToGrid w:val="0"/>
                <w:kern w:val="0"/>
                <w:sz w:val="24"/>
                <w:szCs w:val="24"/>
                <w:lang w:val="en-US" w:eastAsia="zh-CN" w:bidi="ar-SA"/>
              </w:rPr>
              <w:t>本项目废水经预处理后外排废水不会对津市高新区工业污水处理厂产生冲击影响。废水经津市高新区工业污水处理厂处理，出水达到《城镇污水处理厂污染物排放标准》 (GB18918-2002)一级A标准。对最终纳污水体澧水的影响较小。</w:t>
            </w:r>
            <w:r>
              <w:rPr>
                <w:rFonts w:hint="eastAsia"/>
                <w:sz w:val="24"/>
              </w:rPr>
              <w:t>。</w:t>
            </w:r>
            <w:r>
              <w:rPr>
                <w:rFonts w:hint="eastAsia"/>
                <w:sz w:val="24"/>
                <w:lang w:val="en-US" w:eastAsia="zh-CN"/>
              </w:rPr>
              <w:t xml:space="preserve"> </w:t>
            </w:r>
          </w:p>
          <w:p>
            <w:pPr>
              <w:spacing w:line="360" w:lineRule="auto"/>
              <w:ind w:firstLine="480" w:firstLineChars="200"/>
              <w:contextualSpacing/>
              <w:outlineLvl w:val="0"/>
              <w:rPr>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声环境影响分析</w:t>
            </w:r>
          </w:p>
          <w:p>
            <w:pPr>
              <w:spacing w:line="360" w:lineRule="auto"/>
              <w:ind w:firstLine="480" w:firstLineChars="200"/>
              <w:rPr>
                <w:bCs/>
                <w:sz w:val="24"/>
                <w:szCs w:val="21"/>
              </w:rPr>
            </w:pPr>
            <w:r>
              <w:rPr>
                <w:rFonts w:hint="eastAsia" w:ascii="Times New Roman" w:hAnsi="Times New Roman" w:cs="Times New Roman"/>
                <w:snapToGrid w:val="0"/>
                <w:kern w:val="0"/>
                <w:sz w:val="24"/>
                <w:lang w:val="en-US" w:eastAsia="zh-CN"/>
              </w:rPr>
              <w:t>本项目设备噪声采取减震、隔声等措施后，运营期厂界东侧、南侧预测值满足《工业企业厂界环境噪声排放标准》(GB12348-2008)4类标准要求，厂界西侧、北侧预测值满足《工业企业厂界环境噪声排放标准》(GB12348-2008)3类标准要求，说明项目生产噪声经采取有效控制措施后，对周边环境影响较小</w:t>
            </w:r>
            <w:r>
              <w:rPr>
                <w:bCs/>
                <w:sz w:val="24"/>
                <w:szCs w:val="21"/>
              </w:rPr>
              <w:t>。</w:t>
            </w:r>
          </w:p>
          <w:p>
            <w:pPr>
              <w:spacing w:line="360" w:lineRule="auto"/>
              <w:ind w:firstLine="480" w:firstLineChars="200"/>
              <w:contextualSpacing/>
              <w:outlineLvl w:val="0"/>
              <w:rPr>
                <w:sz w:val="24"/>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固废环境影响分析</w:t>
            </w:r>
          </w:p>
          <w:p>
            <w:pPr>
              <w:pStyle w:val="10"/>
              <w:spacing w:line="360" w:lineRule="auto"/>
              <w:ind w:right="105" w:rightChars="50" w:firstLine="480" w:firstLineChars="200"/>
              <w:rPr>
                <w:sz w:val="24"/>
              </w:rPr>
            </w:pPr>
            <w:r>
              <w:rPr>
                <w:rFonts w:hint="eastAsia" w:ascii="Times New Roman" w:hAnsi="Times New Roman" w:cs="Times New Roman"/>
                <w:b w:val="0"/>
                <w:bCs/>
                <w:kern w:val="2"/>
                <w:sz w:val="24"/>
                <w:szCs w:val="24"/>
                <w:lang w:val="en-US" w:eastAsia="zh-CN"/>
              </w:rPr>
              <w:t>运营期</w:t>
            </w:r>
            <w:r>
              <w:rPr>
                <w:rFonts w:hint="default" w:ascii="Times New Roman" w:hAnsi="Times New Roman" w:cs="Times New Roman"/>
                <w:b w:val="0"/>
                <w:bCs/>
                <w:kern w:val="2"/>
                <w:sz w:val="24"/>
                <w:szCs w:val="24"/>
                <w:lang w:val="en-US" w:eastAsia="zh-CN"/>
              </w:rPr>
              <w:t>建设</w:t>
            </w:r>
            <w:r>
              <w:rPr>
                <w:rFonts w:hint="eastAsia" w:ascii="Times New Roman" w:hAnsi="Times New Roman" w:cs="Times New Roman"/>
                <w:b w:val="0"/>
                <w:bCs/>
                <w:kern w:val="2"/>
                <w:sz w:val="24"/>
                <w:szCs w:val="24"/>
                <w:lang w:val="en-US" w:eastAsia="zh-CN"/>
              </w:rPr>
              <w:t>危废</w:t>
            </w:r>
            <w:r>
              <w:rPr>
                <w:rFonts w:hint="default" w:ascii="Times New Roman" w:hAnsi="Times New Roman" w:cs="Times New Roman"/>
                <w:b w:val="0"/>
                <w:bCs/>
                <w:kern w:val="2"/>
                <w:sz w:val="24"/>
                <w:szCs w:val="24"/>
                <w:lang w:val="en-US" w:eastAsia="zh-CN"/>
              </w:rPr>
              <w:t>暂存间</w:t>
            </w:r>
            <w:r>
              <w:rPr>
                <w:rFonts w:hint="eastAsia" w:ascii="Times New Roman" w:hAnsi="Times New Roman" w:cs="Times New Roman"/>
                <w:b w:val="0"/>
                <w:bCs/>
                <w:kern w:val="2"/>
                <w:sz w:val="24"/>
                <w:szCs w:val="24"/>
                <w:lang w:val="en-US" w:eastAsia="zh-CN"/>
              </w:rPr>
              <w:t>（10m</w:t>
            </w:r>
            <w:r>
              <w:rPr>
                <w:rFonts w:hint="eastAsia" w:ascii="Times New Roman" w:hAnsi="Times New Roman" w:cs="Times New Roman"/>
                <w:b w:val="0"/>
                <w:bCs/>
                <w:kern w:val="2"/>
                <w:sz w:val="24"/>
                <w:szCs w:val="24"/>
                <w:vertAlign w:val="superscript"/>
                <w:lang w:val="en-US" w:eastAsia="zh-CN"/>
              </w:rPr>
              <w:t>2</w:t>
            </w:r>
            <w:r>
              <w:rPr>
                <w:rFonts w:hint="eastAsia" w:ascii="Times New Roman" w:hAnsi="Times New Roman" w:cs="Times New Roman"/>
                <w:b w:val="0"/>
                <w:bCs/>
                <w:kern w:val="2"/>
                <w:sz w:val="24"/>
                <w:szCs w:val="24"/>
                <w:lang w:val="en-US" w:eastAsia="zh-CN"/>
              </w:rPr>
              <w:t>）</w:t>
            </w:r>
            <w:r>
              <w:rPr>
                <w:rFonts w:hint="default" w:ascii="Times New Roman" w:hAnsi="Times New Roman" w:cs="Times New Roman"/>
                <w:b w:val="0"/>
                <w:bCs/>
                <w:kern w:val="2"/>
                <w:sz w:val="24"/>
                <w:szCs w:val="24"/>
                <w:lang w:val="en-US" w:eastAsia="zh-CN"/>
              </w:rPr>
              <w:t>，</w:t>
            </w:r>
            <w:r>
              <w:rPr>
                <w:rFonts w:hint="eastAsia" w:ascii="Times New Roman" w:hAnsi="Times New Roman" w:cs="Times New Roman"/>
                <w:b w:val="0"/>
                <w:bCs/>
                <w:kern w:val="2"/>
                <w:sz w:val="24"/>
                <w:szCs w:val="24"/>
                <w:lang w:val="en-US" w:eastAsia="zh-CN"/>
              </w:rPr>
              <w:t>委托有资质的单位对危险废物处置；建设一般固废暂存间（50m</w:t>
            </w:r>
            <w:r>
              <w:rPr>
                <w:rFonts w:hint="eastAsia" w:ascii="Times New Roman" w:hAnsi="Times New Roman" w:cs="Times New Roman"/>
                <w:b w:val="0"/>
                <w:bCs/>
                <w:kern w:val="2"/>
                <w:sz w:val="24"/>
                <w:szCs w:val="24"/>
                <w:vertAlign w:val="superscript"/>
                <w:lang w:val="en-US" w:eastAsia="zh-CN"/>
              </w:rPr>
              <w:t>2</w:t>
            </w:r>
            <w:r>
              <w:rPr>
                <w:rFonts w:hint="eastAsia" w:ascii="Times New Roman" w:hAnsi="Times New Roman" w:cs="Times New Roman"/>
                <w:b w:val="0"/>
                <w:bCs/>
                <w:kern w:val="2"/>
                <w:sz w:val="24"/>
                <w:szCs w:val="24"/>
                <w:lang w:val="en-US" w:eastAsia="zh-CN"/>
              </w:rPr>
              <w:t>）</w:t>
            </w:r>
            <w:r>
              <w:rPr>
                <w:rFonts w:hint="default" w:ascii="Times New Roman" w:hAnsi="Times New Roman" w:cs="Times New Roman"/>
                <w:b w:val="0"/>
                <w:bCs/>
                <w:kern w:val="2"/>
                <w:sz w:val="24"/>
                <w:szCs w:val="24"/>
                <w:lang w:val="en-US" w:eastAsia="zh-CN"/>
              </w:rPr>
              <w:t>，</w:t>
            </w:r>
            <w:r>
              <w:rPr>
                <w:rFonts w:hint="eastAsia" w:ascii="Times New Roman" w:hAnsi="Times New Roman" w:cs="Times New Roman"/>
                <w:b w:val="0"/>
                <w:bCs/>
                <w:kern w:val="2"/>
                <w:sz w:val="24"/>
                <w:szCs w:val="24"/>
                <w:lang w:val="en-US" w:eastAsia="zh-CN"/>
              </w:rPr>
              <w:t>一般固废定期外售给市场回收企业；生活垃圾委托环卫部门清运处置。项目产生的固废全部得到综合利用和安全处置，不会对周围环境产生不良影响</w:t>
            </w:r>
            <w:r>
              <w:rPr>
                <w:rFonts w:hint="eastAsia"/>
                <w:sz w:val="24"/>
                <w:szCs w:val="22"/>
              </w:rPr>
              <w:t>。</w:t>
            </w:r>
          </w:p>
          <w:p>
            <w:pPr>
              <w:spacing w:line="360" w:lineRule="auto"/>
              <w:ind w:firstLine="482" w:firstLineChars="200"/>
              <w:rPr>
                <w:b/>
                <w:sz w:val="24"/>
              </w:rPr>
            </w:pPr>
            <w:r>
              <w:rPr>
                <w:rFonts w:hint="eastAsia"/>
                <w:b/>
                <w:sz w:val="24"/>
              </w:rPr>
              <w:t>4</w:t>
            </w:r>
            <w:r>
              <w:rPr>
                <w:b/>
                <w:sz w:val="24"/>
              </w:rPr>
              <w:t>、</w:t>
            </w:r>
            <w:r>
              <w:rPr>
                <w:rFonts w:hint="eastAsia"/>
                <w:b/>
                <w:sz w:val="24"/>
              </w:rPr>
              <w:t>项目可行性分析结论</w:t>
            </w:r>
          </w:p>
          <w:p>
            <w:pPr>
              <w:spacing w:line="360" w:lineRule="auto"/>
              <w:ind w:firstLine="480" w:firstLineChars="200"/>
              <w:contextualSpacing/>
              <w:rPr>
                <w:sz w:val="24"/>
                <w:szCs w:val="22"/>
                <w:u w:val="none"/>
              </w:rPr>
            </w:pPr>
            <w:r>
              <w:rPr>
                <w:rFonts w:hint="eastAsia" w:ascii="Times New Roman" w:hAnsi="Times New Roman" w:eastAsia="宋体" w:cs="Times New Roman"/>
                <w:b w:val="0"/>
                <w:bCs/>
                <w:kern w:val="2"/>
                <w:sz w:val="24"/>
                <w:szCs w:val="24"/>
                <w:lang w:val="en-US" w:eastAsia="zh-CN" w:bidi="ar-SA"/>
              </w:rPr>
              <w:t>本项目不属于《产业结构调整指导目录（2019年本）》 中鼓励类、限制类和淘汰类，为允许类建设项目，符合国家产业政策</w:t>
            </w:r>
            <w:r>
              <w:rPr>
                <w:rFonts w:hint="default" w:ascii="Times New Roman" w:hAnsi="Times New Roman" w:eastAsia="宋体" w:cs="Times New Roman"/>
                <w:b w:val="0"/>
                <w:bCs/>
                <w:kern w:val="2"/>
                <w:sz w:val="24"/>
                <w:szCs w:val="24"/>
                <w:lang w:val="en-US" w:eastAsia="zh-CN" w:bidi="ar-SA"/>
              </w:rPr>
              <w:t>；</w:t>
            </w:r>
            <w:r>
              <w:rPr>
                <w:rFonts w:hint="eastAsia" w:ascii="Times New Roman" w:hAnsi="Times New Roman" w:eastAsia="宋体" w:cs="Times New Roman"/>
                <w:b w:val="0"/>
                <w:bCs/>
                <w:kern w:val="2"/>
                <w:sz w:val="24"/>
                <w:szCs w:val="24"/>
                <w:lang w:val="en-US" w:eastAsia="zh-CN" w:bidi="ar-SA"/>
              </w:rPr>
              <w:t>本项目用地属于二类工业用地，符合津市经济开发区用地规划</w:t>
            </w:r>
            <w:r>
              <w:rPr>
                <w:rFonts w:hint="default" w:ascii="Times New Roman" w:hAnsi="Times New Roman" w:eastAsia="宋体" w:cs="Times New Roman"/>
                <w:b w:val="0"/>
                <w:bCs/>
                <w:kern w:val="2"/>
                <w:sz w:val="24"/>
                <w:szCs w:val="24"/>
                <w:lang w:val="en-US" w:eastAsia="zh-CN" w:bidi="ar-SA"/>
              </w:rPr>
              <w:t>；符合</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三线一单</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的控制要求；符合环评文件审批要点中相关要求，项目的环境风险在落实本评价提出的环境保护措施的前提下可接受，大气污染物、废水及噪声可做到达标排放，固体废物可得到妥善处理处置，项目正常运行对周边环境的影响较小。</w:t>
            </w:r>
          </w:p>
          <w:p>
            <w:pPr>
              <w:spacing w:line="360" w:lineRule="auto"/>
              <w:ind w:firstLine="482" w:firstLineChars="200"/>
              <w:rPr>
                <w:b/>
                <w:sz w:val="24"/>
              </w:rPr>
            </w:pPr>
            <w:r>
              <w:rPr>
                <w:rFonts w:hint="eastAsia"/>
                <w:b/>
                <w:sz w:val="24"/>
              </w:rPr>
              <w:t>5</w:t>
            </w:r>
            <w:r>
              <w:rPr>
                <w:b/>
                <w:sz w:val="24"/>
              </w:rPr>
              <w:t>、项目</w:t>
            </w:r>
            <w:r>
              <w:rPr>
                <w:rFonts w:hint="eastAsia"/>
                <w:b/>
                <w:sz w:val="24"/>
              </w:rPr>
              <w:t>总体结论</w:t>
            </w:r>
          </w:p>
          <w:p>
            <w:pPr>
              <w:spacing w:line="360" w:lineRule="auto"/>
              <w:ind w:firstLine="480" w:firstLineChars="200"/>
              <w:contextualSpacing/>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本项目不属于《产业结构调整指导目录（2019年本）》 中鼓励类、限制类和淘汰类，为允许类建设项目，符合国家产业政策</w:t>
            </w:r>
            <w:r>
              <w:rPr>
                <w:rFonts w:hint="default" w:ascii="Times New Roman" w:hAnsi="Times New Roman" w:eastAsia="宋体" w:cs="Times New Roman"/>
                <w:b w:val="0"/>
                <w:bCs/>
                <w:kern w:val="2"/>
                <w:sz w:val="24"/>
                <w:szCs w:val="24"/>
                <w:lang w:val="en-US" w:eastAsia="zh-CN" w:bidi="ar-SA"/>
              </w:rPr>
              <w:t>；</w:t>
            </w:r>
            <w:r>
              <w:rPr>
                <w:rFonts w:hint="eastAsia" w:ascii="Times New Roman" w:hAnsi="Times New Roman" w:eastAsia="宋体" w:cs="Times New Roman"/>
                <w:b w:val="0"/>
                <w:bCs/>
                <w:kern w:val="2"/>
                <w:sz w:val="24"/>
                <w:szCs w:val="24"/>
                <w:lang w:val="en-US" w:eastAsia="zh-CN" w:bidi="ar-SA"/>
              </w:rPr>
              <w:t>本项目用地属于二类工业用地，符合津市经济开发区用地规划</w:t>
            </w:r>
            <w:r>
              <w:rPr>
                <w:rFonts w:hint="default" w:ascii="Times New Roman" w:hAnsi="Times New Roman" w:eastAsia="宋体" w:cs="Times New Roman"/>
                <w:b w:val="0"/>
                <w:bCs/>
                <w:kern w:val="2"/>
                <w:sz w:val="24"/>
                <w:szCs w:val="24"/>
                <w:lang w:val="en-US" w:eastAsia="zh-CN" w:bidi="ar-SA"/>
              </w:rPr>
              <w:t>；符合</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三线一单</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的控制要求；符合环评文件审批要点中相关要求，项目的环境风险在落实本评价提出的环境保护措施的前提下可接受，大气污染物、废水及噪声可做到达标排放，固体废物可得到妥善处理处置，项目正常运行对周边环境的影响较小；从环境保护的角度分析，本项目建设可行。</w:t>
            </w:r>
          </w:p>
          <w:p>
            <w:pPr>
              <w:spacing w:line="360" w:lineRule="auto"/>
              <w:rPr>
                <w:b/>
                <w:spacing w:val="4"/>
                <w:sz w:val="24"/>
              </w:rPr>
            </w:pPr>
            <w:r>
              <w:rPr>
                <w:b/>
                <w:spacing w:val="4"/>
                <w:sz w:val="24"/>
              </w:rPr>
              <w:t>二、建议</w:t>
            </w:r>
          </w:p>
          <w:p>
            <w:pPr>
              <w:spacing w:before="0" w:after="0" w:line="360" w:lineRule="auto"/>
              <w:ind w:firstLine="480" w:firstLineChars="200"/>
              <w:jc w:val="both"/>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1、在定期检修过程主体设备时，同时检查和维护废气处理设施，以确保其正常运行；对废气处理设施的易损易耗件应注重备用品的储存，确保设备发生故障时能得到及时的更换。</w:t>
            </w:r>
          </w:p>
          <w:p>
            <w:pPr>
              <w:spacing w:before="0" w:after="0" w:line="360" w:lineRule="auto"/>
              <w:ind w:firstLine="480" w:firstLineChars="200"/>
              <w:jc w:val="both"/>
              <w:outlineLvl w:val="9"/>
              <w:rPr>
                <w:rFonts w:hint="eastAsia" w:ascii="Times New Roman" w:hAnsi="Times New Roman" w:cs="Times New Roman"/>
                <w:b w:val="0"/>
                <w:bCs/>
                <w:kern w:val="2"/>
                <w:sz w:val="24"/>
                <w:szCs w:val="24"/>
                <w:lang w:val="en-US" w:eastAsia="zh-CN"/>
              </w:rPr>
            </w:pPr>
            <w:r>
              <w:rPr>
                <w:rFonts w:hint="eastAsia" w:ascii="Times New Roman" w:hAnsi="Times New Roman" w:cs="Times New Roman"/>
                <w:b w:val="0"/>
                <w:bCs/>
                <w:kern w:val="2"/>
                <w:sz w:val="24"/>
                <w:szCs w:val="24"/>
                <w:lang w:val="en-US" w:eastAsia="zh-CN"/>
              </w:rPr>
              <w:t>2、严格管理，强化生产装置的密闭性操作，杜绝生产过程中的跑、冒、滴、漏；针对拟建工程特点，制定一套科学、完整和严格的故障处理制度和应急措施，责任到人，以便发生故障时及时处理。</w:t>
            </w:r>
          </w:p>
          <w:p>
            <w:pPr>
              <w:spacing w:line="360" w:lineRule="auto"/>
              <w:ind w:firstLine="480" w:firstLineChars="200"/>
              <w:rPr>
                <w:sz w:val="24"/>
              </w:rPr>
            </w:pPr>
            <w:r>
              <w:rPr>
                <w:rFonts w:hint="eastAsia" w:ascii="Times New Roman" w:hAnsi="Times New Roman" w:cs="Times New Roman"/>
                <w:b w:val="0"/>
                <w:bCs/>
                <w:kern w:val="2"/>
                <w:sz w:val="24"/>
                <w:szCs w:val="24"/>
                <w:lang w:val="en-US" w:eastAsia="zh-CN"/>
              </w:rPr>
              <w:t>3、本项目建成投产后企业应设专职人员，实施环境管理职能和清洁生产管理职能，定期进行清洁生产审核，完善环境管理规章制度，加强环保设施的管理和维护，保证安全、正常运行，做到达标排放。</w:t>
            </w: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r>
              <w:rPr>
                <w:b/>
                <w:sz w:val="30"/>
                <w:szCs w:val="30"/>
              </w:rPr>
              <w:t>预审意见：</w:t>
            </w: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4950" w:firstLineChars="1650"/>
              <w:rPr>
                <w:sz w:val="30"/>
                <w:szCs w:val="30"/>
              </w:rPr>
            </w:pPr>
            <w:r>
              <w:rPr>
                <w:sz w:val="30"/>
                <w:szCs w:val="30"/>
              </w:rPr>
              <w:t xml:space="preserve">    </w:t>
            </w:r>
            <w:r>
              <w:rPr>
                <w:rFonts w:hint="eastAsia"/>
                <w:sz w:val="30"/>
                <w:szCs w:val="30"/>
              </w:rPr>
              <w:t xml:space="preserve"> </w:t>
            </w:r>
          </w:p>
          <w:p>
            <w:pPr>
              <w:ind w:firstLine="6600" w:firstLineChars="2200"/>
              <w:rPr>
                <w:sz w:val="30"/>
                <w:szCs w:val="30"/>
              </w:rPr>
            </w:pPr>
            <w:r>
              <w:rPr>
                <w:sz w:val="30"/>
                <w:szCs w:val="30"/>
              </w:rPr>
              <w:t>公    章</w:t>
            </w:r>
          </w:p>
          <w:p>
            <w:pPr>
              <w:rPr>
                <w:sz w:val="30"/>
                <w:szCs w:val="30"/>
              </w:rPr>
            </w:pPr>
            <w:r>
              <w:rPr>
                <w:sz w:val="30"/>
                <w:szCs w:val="30"/>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072" w:type="dxa"/>
          </w:tcPr>
          <w:p>
            <w:pPr>
              <w:rPr>
                <w:b/>
                <w:sz w:val="30"/>
                <w:szCs w:val="30"/>
              </w:rPr>
            </w:pPr>
            <w:r>
              <w:rPr>
                <w:b/>
                <w:sz w:val="30"/>
                <w:szCs w:val="30"/>
              </w:rPr>
              <w:t>下一级环境保护行政主管部门审查意见：</w:t>
            </w: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4950" w:firstLineChars="1650"/>
              <w:rPr>
                <w:sz w:val="30"/>
                <w:szCs w:val="30"/>
              </w:rPr>
            </w:pPr>
          </w:p>
          <w:p>
            <w:pPr>
              <w:ind w:firstLine="6600" w:firstLineChars="2200"/>
              <w:rPr>
                <w:sz w:val="30"/>
                <w:szCs w:val="30"/>
              </w:rPr>
            </w:pPr>
            <w:r>
              <w:rPr>
                <w:sz w:val="30"/>
                <w:szCs w:val="30"/>
              </w:rPr>
              <w:t>公    章</w:t>
            </w:r>
          </w:p>
          <w:p>
            <w:pPr>
              <w:rPr>
                <w:sz w:val="30"/>
                <w:szCs w:val="30"/>
              </w:rPr>
            </w:pPr>
            <w:r>
              <w:rPr>
                <w:sz w:val="30"/>
                <w:szCs w:val="30"/>
              </w:rPr>
              <w:t>经办人：                                 年    月    日</w:t>
            </w:r>
          </w:p>
          <w:p>
            <w:pPr>
              <w:rPr>
                <w:b/>
                <w:sz w:val="30"/>
                <w:szCs w:val="30"/>
              </w:rPr>
            </w:pPr>
            <w:r>
              <w:rPr>
                <w:b/>
                <w:sz w:val="30"/>
                <w:szCs w:val="30"/>
              </w:rPr>
              <w:t>审批意见：</w:t>
            </w: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p>
          <w:p>
            <w:pPr>
              <w:ind w:firstLine="600"/>
              <w:rPr>
                <w:sz w:val="30"/>
                <w:szCs w:val="30"/>
              </w:rPr>
            </w:pPr>
            <w:r>
              <w:rPr>
                <w:sz w:val="30"/>
                <w:szCs w:val="30"/>
              </w:rPr>
              <w:t xml:space="preserve">        </w:t>
            </w:r>
          </w:p>
          <w:p>
            <w:pPr>
              <w:ind w:firstLine="600"/>
              <w:rPr>
                <w:sz w:val="30"/>
                <w:szCs w:val="30"/>
              </w:rPr>
            </w:pPr>
            <w:r>
              <w:rPr>
                <w:rFonts w:hint="eastAsia"/>
                <w:sz w:val="30"/>
                <w:szCs w:val="30"/>
              </w:rPr>
              <w:t xml:space="preserve">                                         </w:t>
            </w:r>
            <w:r>
              <w:rPr>
                <w:sz w:val="30"/>
                <w:szCs w:val="30"/>
              </w:rPr>
              <w:t>公    章</w:t>
            </w:r>
          </w:p>
          <w:p>
            <w:pPr>
              <w:rPr>
                <w:sz w:val="30"/>
                <w:szCs w:val="30"/>
              </w:rPr>
            </w:pPr>
            <w:r>
              <w:rPr>
                <w:sz w:val="30"/>
                <w:szCs w:val="30"/>
              </w:rPr>
              <w:t>经办人：        主管领导：                年    月    日</w:t>
            </w:r>
          </w:p>
          <w:p>
            <w:pPr>
              <w:pStyle w:val="62"/>
              <w:ind w:firstLine="0" w:firstLineChars="0"/>
              <w:jc w:val="center"/>
              <w:rPr>
                <w:rFonts w:hAnsi="Times New Roman" w:cs="Times New Roman"/>
                <w:b/>
                <w:sz w:val="28"/>
                <w:szCs w:val="28"/>
              </w:rPr>
            </w:pPr>
            <w:r>
              <w:rPr>
                <w:rFonts w:hAnsi="Times New Roman" w:cs="Times New Roman"/>
                <w:b/>
                <w:sz w:val="28"/>
                <w:szCs w:val="28"/>
              </w:rPr>
              <w:t>注    释</w:t>
            </w:r>
          </w:p>
          <w:p>
            <w:pPr>
              <w:pStyle w:val="62"/>
              <w:numPr>
                <w:ilvl w:val="0"/>
                <w:numId w:val="1"/>
              </w:numPr>
              <w:rPr>
                <w:rFonts w:hAnsi="Times New Roman" w:cs="Times New Roman"/>
              </w:rPr>
            </w:pPr>
            <w:r>
              <w:rPr>
                <w:rFonts w:hAnsi="Times New Roman" w:cs="Times New Roman"/>
              </w:rPr>
              <w:t>本报告表应附以附件、附图：</w:t>
            </w:r>
          </w:p>
          <w:p>
            <w:pPr>
              <w:pStyle w:val="62"/>
              <w:ind w:firstLine="0" w:firstLineChars="0"/>
              <w:rPr>
                <w:rFonts w:hAnsi="Times New Roman" w:cs="Times New Roman"/>
              </w:rPr>
            </w:pPr>
            <w:r>
              <w:rPr>
                <w:rFonts w:hint="eastAsia" w:hAnsi="Times New Roman" w:cs="Times New Roman"/>
              </w:rPr>
              <w:t xml:space="preserve">    附件：</w:t>
            </w:r>
          </w:p>
          <w:p>
            <w:pPr>
              <w:pStyle w:val="62"/>
              <w:rPr>
                <w:rFonts w:hAnsi="Times New Roman" w:cs="Times New Roman"/>
              </w:rPr>
            </w:pPr>
            <w:r>
              <w:rPr>
                <w:rFonts w:hAnsi="Times New Roman" w:cs="Times New Roman"/>
              </w:rPr>
              <w:t xml:space="preserve">附件1 </w:t>
            </w:r>
            <w:r>
              <w:rPr>
                <w:rFonts w:hint="eastAsia" w:hAnsi="Times New Roman" w:cs="Times New Roman"/>
                <w:lang w:eastAsia="zh-CN"/>
              </w:rPr>
              <w:t>环评委托书</w:t>
            </w:r>
            <w:r>
              <w:rPr>
                <w:rFonts w:hint="eastAsia" w:hAnsi="Times New Roman" w:cs="Times New Roman"/>
              </w:rPr>
              <w:t>；</w:t>
            </w:r>
          </w:p>
          <w:p>
            <w:pPr>
              <w:pStyle w:val="62"/>
              <w:rPr>
                <w:rFonts w:hAnsi="Times New Roman" w:cs="Times New Roman"/>
              </w:rPr>
            </w:pPr>
            <w:r>
              <w:rPr>
                <w:rFonts w:hint="eastAsia" w:hAnsi="Times New Roman" w:cs="Times New Roman"/>
              </w:rPr>
              <w:t>附件</w:t>
            </w:r>
            <w:r>
              <w:rPr>
                <w:rFonts w:hint="eastAsia" w:hAnsi="Times New Roman" w:cs="Times New Roman"/>
                <w:lang w:val="en-US" w:eastAsia="zh-CN"/>
              </w:rPr>
              <w:t>2</w:t>
            </w:r>
            <w:r>
              <w:rPr>
                <w:rFonts w:hint="eastAsia" w:hAnsi="Times New Roman" w:cs="Times New Roman"/>
              </w:rPr>
              <w:t xml:space="preserve"> </w:t>
            </w:r>
            <w:r>
              <w:rPr>
                <w:rFonts w:hint="eastAsia" w:hAnsi="Times New Roman" w:cs="Times New Roman"/>
                <w:lang w:eastAsia="zh-CN"/>
              </w:rPr>
              <w:t>环境质量现状监测报告</w:t>
            </w:r>
            <w:r>
              <w:rPr>
                <w:rFonts w:hint="eastAsia" w:hAnsi="Times New Roman" w:cs="Times New Roman"/>
              </w:rPr>
              <w:t>；</w:t>
            </w:r>
          </w:p>
          <w:p>
            <w:pPr>
              <w:pStyle w:val="62"/>
              <w:rPr>
                <w:rFonts w:hint="eastAsia" w:hAnsi="Times New Roman" w:cs="Times New Roman"/>
                <w:lang w:eastAsia="zh-CN"/>
              </w:rPr>
            </w:pPr>
            <w:r>
              <w:rPr>
                <w:rFonts w:hint="eastAsia" w:hAnsi="Times New Roman" w:cs="Times New Roman"/>
              </w:rPr>
              <w:t>附件</w:t>
            </w:r>
            <w:r>
              <w:rPr>
                <w:rFonts w:hint="eastAsia" w:hAnsi="Times New Roman" w:cs="Times New Roman"/>
                <w:lang w:val="en-US" w:eastAsia="zh-CN"/>
              </w:rPr>
              <w:t>3</w:t>
            </w:r>
            <w:r>
              <w:rPr>
                <w:rFonts w:hint="eastAsia" w:hAnsi="Times New Roman" w:cs="Times New Roman"/>
              </w:rPr>
              <w:t xml:space="preserve"> </w:t>
            </w:r>
            <w:r>
              <w:rPr>
                <w:rFonts w:hint="eastAsia" w:hAnsi="Times New Roman" w:cs="Times New Roman"/>
                <w:lang w:eastAsia="zh-CN"/>
              </w:rPr>
              <w:t>发改委立项文件；</w:t>
            </w:r>
          </w:p>
          <w:p>
            <w:pPr>
              <w:pStyle w:val="62"/>
              <w:rPr>
                <w:rFonts w:hint="eastAsia" w:hAnsi="Times New Roman" w:cs="Times New Roman"/>
                <w:lang w:val="en-US" w:eastAsia="zh-CN"/>
              </w:rPr>
            </w:pPr>
            <w:r>
              <w:rPr>
                <w:rFonts w:hint="eastAsia" w:hAnsi="Times New Roman" w:cs="Times New Roman"/>
                <w:lang w:eastAsia="zh-CN"/>
              </w:rPr>
              <w:t>附件</w:t>
            </w:r>
            <w:r>
              <w:rPr>
                <w:rFonts w:hint="eastAsia" w:hAnsi="Times New Roman" w:cs="Times New Roman"/>
                <w:lang w:val="en-US" w:eastAsia="zh-CN"/>
              </w:rPr>
              <w:t>4 津市高新区环评批复</w:t>
            </w:r>
          </w:p>
          <w:p>
            <w:pPr>
              <w:pStyle w:val="62"/>
              <w:rPr>
                <w:rFonts w:hint="eastAsia" w:hAnsi="Times New Roman" w:cs="Times New Roman"/>
                <w:lang w:val="en-US" w:eastAsia="zh-CN"/>
              </w:rPr>
            </w:pPr>
            <w:r>
              <w:rPr>
                <w:rFonts w:hint="eastAsia" w:hAnsi="Times New Roman" w:cs="Times New Roman"/>
                <w:lang w:val="en-US" w:eastAsia="zh-CN"/>
              </w:rPr>
              <w:t>附件5 津市高新区扩区环评批复</w:t>
            </w:r>
          </w:p>
          <w:p>
            <w:pPr>
              <w:pStyle w:val="62"/>
              <w:rPr>
                <w:rFonts w:hint="default" w:hAnsi="Times New Roman" w:cs="Times New Roman"/>
                <w:lang w:val="en-US" w:eastAsia="zh-CN"/>
              </w:rPr>
            </w:pPr>
            <w:r>
              <w:rPr>
                <w:rFonts w:hint="eastAsia" w:hAnsi="Times New Roman" w:cs="Times New Roman"/>
                <w:lang w:val="en-US" w:eastAsia="zh-CN"/>
              </w:rPr>
              <w:t>附件6 营业执照</w:t>
            </w:r>
          </w:p>
          <w:p>
            <w:pPr>
              <w:pStyle w:val="62"/>
              <w:rPr>
                <w:rFonts w:hAnsi="Times New Roman" w:cs="Times New Roman"/>
              </w:rPr>
            </w:pPr>
            <w:r>
              <w:rPr>
                <w:rFonts w:hint="eastAsia" w:hAnsi="Times New Roman" w:cs="Times New Roman"/>
              </w:rPr>
              <w:t>附图：</w:t>
            </w:r>
          </w:p>
          <w:p>
            <w:pPr>
              <w:pStyle w:val="62"/>
              <w:rPr>
                <w:rFonts w:hAnsi="Times New Roman" w:cs="Times New Roman"/>
              </w:rPr>
            </w:pPr>
            <w:r>
              <w:rPr>
                <w:rFonts w:hAnsi="Times New Roman" w:cs="Times New Roman"/>
              </w:rPr>
              <w:t xml:space="preserve">附图1 </w:t>
            </w:r>
            <w:r>
              <w:rPr>
                <w:rFonts w:hint="eastAsia" w:hAnsi="Times New Roman" w:cs="Times New Roman"/>
              </w:rPr>
              <w:t>项目地理位置图</w:t>
            </w:r>
            <w:r>
              <w:rPr>
                <w:rFonts w:hAnsi="Times New Roman" w:cs="Times New Roman"/>
              </w:rPr>
              <w:t xml:space="preserve"> </w:t>
            </w:r>
            <w:r>
              <w:rPr>
                <w:rFonts w:hint="eastAsia" w:hAnsi="Times New Roman" w:cs="Times New Roman"/>
              </w:rPr>
              <w:t>；</w:t>
            </w:r>
          </w:p>
          <w:p>
            <w:pPr>
              <w:pStyle w:val="62"/>
              <w:rPr>
                <w:rFonts w:hAnsi="Times New Roman" w:cs="Times New Roman"/>
              </w:rPr>
            </w:pPr>
            <w:r>
              <w:rPr>
                <w:rFonts w:hint="eastAsia" w:hAnsi="Times New Roman" w:cs="Times New Roman"/>
              </w:rPr>
              <w:t>附图</w:t>
            </w:r>
            <w:r>
              <w:rPr>
                <w:rFonts w:hint="eastAsia" w:hAnsi="Times New Roman" w:cs="Times New Roman"/>
                <w:lang w:val="en-US" w:eastAsia="zh-CN"/>
              </w:rPr>
              <w:t>2</w:t>
            </w:r>
            <w:r>
              <w:rPr>
                <w:rFonts w:hint="eastAsia" w:hAnsi="Times New Roman" w:cs="Times New Roman"/>
              </w:rPr>
              <w:t xml:space="preserve"> </w:t>
            </w:r>
            <w:r>
              <w:rPr>
                <w:rFonts w:hint="eastAsia" w:ascii="Times New Roman" w:hAnsi="Times New Roman" w:cs="Times New Roman"/>
                <w:kern w:val="2"/>
                <w:sz w:val="24"/>
                <w:szCs w:val="24"/>
                <w:lang w:val="en-US" w:eastAsia="zh-CN" w:bidi="ar-SA"/>
              </w:rPr>
              <w:t>地表水、环境空气及噪声</w:t>
            </w:r>
            <w:r>
              <w:rPr>
                <w:rFonts w:hint="default" w:ascii="Times New Roman" w:hAnsi="Times New Roman" w:cs="Times New Roman"/>
                <w:kern w:val="2"/>
                <w:sz w:val="24"/>
                <w:szCs w:val="24"/>
                <w:lang w:val="en-US" w:eastAsia="zh-CN" w:bidi="ar-SA"/>
              </w:rPr>
              <w:t>监测布点图</w:t>
            </w:r>
            <w:r>
              <w:rPr>
                <w:rFonts w:hint="eastAsia" w:hAnsi="Times New Roman" w:cs="Times New Roman"/>
              </w:rPr>
              <w:t>；</w:t>
            </w:r>
          </w:p>
          <w:p>
            <w:pPr>
              <w:pStyle w:val="62"/>
              <w:rPr>
                <w:rFonts w:hAnsi="Times New Roman" w:cs="Times New Roman"/>
              </w:rPr>
            </w:pPr>
            <w:r>
              <w:rPr>
                <w:rFonts w:hint="eastAsia" w:hAnsi="Times New Roman" w:cs="Times New Roman"/>
              </w:rPr>
              <w:t>附图</w:t>
            </w:r>
            <w:r>
              <w:rPr>
                <w:rFonts w:hint="eastAsia" w:hAnsi="Times New Roman" w:cs="Times New Roman"/>
                <w:lang w:val="en-US" w:eastAsia="zh-CN"/>
              </w:rPr>
              <w:t>3</w:t>
            </w:r>
            <w:r>
              <w:rPr>
                <w:rFonts w:hint="eastAsia" w:hAnsi="Times New Roman" w:cs="Times New Roman"/>
              </w:rPr>
              <w:t xml:space="preserve"> </w:t>
            </w:r>
            <w:r>
              <w:rPr>
                <w:rFonts w:hint="eastAsia" w:ascii="Times New Roman" w:hAnsi="Times New Roman" w:cs="Times New Roman"/>
                <w:kern w:val="2"/>
                <w:sz w:val="24"/>
                <w:szCs w:val="24"/>
                <w:lang w:val="en-US" w:eastAsia="zh-CN" w:bidi="ar-SA"/>
              </w:rPr>
              <w:t>地下水</w:t>
            </w:r>
            <w:r>
              <w:rPr>
                <w:rFonts w:hint="default" w:ascii="Times New Roman" w:hAnsi="Times New Roman" w:cs="Times New Roman"/>
                <w:kern w:val="2"/>
                <w:sz w:val="24"/>
                <w:szCs w:val="24"/>
                <w:lang w:val="en-US" w:eastAsia="zh-CN" w:bidi="ar-SA"/>
              </w:rPr>
              <w:t>监测布点图</w:t>
            </w:r>
            <w:r>
              <w:rPr>
                <w:rFonts w:hint="eastAsia" w:hAnsi="Times New Roman" w:cs="Times New Roman"/>
              </w:rPr>
              <w:t>；</w:t>
            </w:r>
          </w:p>
          <w:p>
            <w:pPr>
              <w:pStyle w:val="62"/>
              <w:rPr>
                <w:rFonts w:hAnsi="Times New Roman" w:cs="Times New Roman"/>
              </w:rPr>
            </w:pPr>
            <w:r>
              <w:rPr>
                <w:rFonts w:hint="eastAsia" w:hAnsi="Times New Roman" w:cs="Times New Roman"/>
              </w:rPr>
              <w:t>附图</w:t>
            </w:r>
            <w:r>
              <w:rPr>
                <w:rFonts w:hint="eastAsia" w:hAnsi="Times New Roman" w:cs="Times New Roman"/>
                <w:lang w:val="en-US" w:eastAsia="zh-CN"/>
              </w:rPr>
              <w:t xml:space="preserve">4 </w:t>
            </w:r>
            <w:r>
              <w:rPr>
                <w:rFonts w:hint="eastAsia" w:ascii="Times New Roman" w:hAnsi="Times New Roman" w:cs="Times New Roman"/>
                <w:sz w:val="24"/>
                <w:szCs w:val="24"/>
                <w:lang w:val="en-US" w:eastAsia="zh-CN"/>
              </w:rPr>
              <w:t>环境敏感目标分布图</w:t>
            </w:r>
            <w:r>
              <w:rPr>
                <w:rFonts w:hint="eastAsia" w:hAnsi="Times New Roman" w:cs="Times New Roman"/>
              </w:rPr>
              <w:t xml:space="preserve">； </w:t>
            </w:r>
          </w:p>
          <w:p>
            <w:pPr>
              <w:pStyle w:val="62"/>
              <w:rPr>
                <w:rFonts w:hint="eastAsia" w:hAnsi="Times New Roman" w:cs="Times New Roman"/>
                <w:sz w:val="24"/>
                <w:szCs w:val="24"/>
                <w:lang w:val="en-US" w:eastAsia="zh-CN"/>
              </w:rPr>
            </w:pPr>
            <w:r>
              <w:rPr>
                <w:rFonts w:hint="eastAsia" w:hAnsi="Times New Roman" w:cs="Times New Roman"/>
              </w:rPr>
              <w:t>附图</w:t>
            </w:r>
            <w:r>
              <w:rPr>
                <w:rFonts w:hint="eastAsia" w:hAnsi="Times New Roman" w:cs="Times New Roman"/>
                <w:lang w:val="en-US" w:eastAsia="zh-CN"/>
              </w:rPr>
              <w:t>5</w:t>
            </w:r>
            <w:r>
              <w:rPr>
                <w:rFonts w:hint="eastAsia" w:hAnsi="Times New Roman" w:cs="Times New Roman"/>
              </w:rPr>
              <w:t xml:space="preserve"> </w:t>
            </w:r>
            <w:r>
              <w:rPr>
                <w:rFonts w:hint="eastAsia" w:ascii="Times New Roman" w:hAnsi="Times New Roman" w:cs="Times New Roman"/>
                <w:sz w:val="24"/>
                <w:szCs w:val="24"/>
                <w:lang w:val="en-US" w:eastAsia="zh-CN"/>
              </w:rPr>
              <w:t>津市高新区工业污水处理厂纳污范围图</w:t>
            </w:r>
            <w:r>
              <w:rPr>
                <w:rFonts w:hint="eastAsia" w:hAnsi="Times New Roman" w:cs="Times New Roman"/>
                <w:sz w:val="24"/>
                <w:szCs w:val="24"/>
                <w:lang w:val="en-US" w:eastAsia="zh-CN"/>
              </w:rPr>
              <w:t>；</w:t>
            </w:r>
          </w:p>
          <w:p>
            <w:pPr>
              <w:pStyle w:val="62"/>
              <w:rPr>
                <w:rFonts w:hint="eastAsia" w:hAnsi="Times New Roman" w:cs="Times New Roman"/>
                <w:sz w:val="24"/>
                <w:szCs w:val="24"/>
                <w:lang w:val="en-US" w:eastAsia="zh-CN"/>
              </w:rPr>
            </w:pPr>
            <w:r>
              <w:rPr>
                <w:rFonts w:hint="eastAsia" w:hAnsi="Times New Roman" w:cs="Times New Roman"/>
                <w:sz w:val="24"/>
                <w:szCs w:val="24"/>
                <w:lang w:val="en-US" w:eastAsia="zh-CN"/>
              </w:rPr>
              <w:t xml:space="preserve">附图6 </w:t>
            </w:r>
            <w:r>
              <w:rPr>
                <w:rFonts w:hint="eastAsia" w:ascii="Times New Roman" w:hAnsi="Times New Roman" w:cs="Times New Roman"/>
                <w:sz w:val="24"/>
                <w:szCs w:val="24"/>
                <w:lang w:val="en-US" w:eastAsia="zh-CN"/>
              </w:rPr>
              <w:t>项目拟建地及周边</w:t>
            </w:r>
            <w:r>
              <w:rPr>
                <w:rFonts w:hint="default" w:ascii="Times New Roman" w:hAnsi="Times New Roman" w:cs="Times New Roman"/>
                <w:sz w:val="24"/>
                <w:szCs w:val="24"/>
                <w:lang w:val="en-US" w:eastAsia="zh-CN"/>
              </w:rPr>
              <w:t>环境现状</w:t>
            </w:r>
            <w:r>
              <w:rPr>
                <w:rFonts w:hint="eastAsia" w:ascii="Times New Roman" w:hAnsi="Times New Roman" w:cs="Times New Roman"/>
                <w:sz w:val="24"/>
                <w:szCs w:val="24"/>
                <w:lang w:val="en-US" w:eastAsia="zh-CN"/>
              </w:rPr>
              <w:t>图</w:t>
            </w:r>
            <w:r>
              <w:rPr>
                <w:rFonts w:hint="eastAsia" w:hAnsi="Times New Roman" w:cs="Times New Roman"/>
                <w:sz w:val="24"/>
                <w:szCs w:val="24"/>
                <w:lang w:val="en-US" w:eastAsia="zh-CN"/>
              </w:rPr>
              <w:t>；</w:t>
            </w:r>
          </w:p>
          <w:p>
            <w:pPr>
              <w:pStyle w:val="62"/>
              <w:rPr>
                <w:rFonts w:hint="eastAsia" w:ascii="Times New Roman" w:hAnsi="Times New Roman" w:cs="Times New Roman"/>
                <w:sz w:val="24"/>
                <w:szCs w:val="24"/>
                <w:lang w:val="en-US" w:eastAsia="zh-CN"/>
              </w:rPr>
            </w:pPr>
            <w:r>
              <w:rPr>
                <w:rFonts w:hint="eastAsia" w:hAnsi="Times New Roman" w:cs="Times New Roman"/>
                <w:sz w:val="24"/>
                <w:szCs w:val="24"/>
                <w:lang w:val="en-US" w:eastAsia="zh-CN"/>
              </w:rPr>
              <w:t xml:space="preserve">附图7 </w:t>
            </w:r>
            <w:r>
              <w:rPr>
                <w:rFonts w:hint="eastAsia" w:ascii="Times New Roman" w:hAnsi="Times New Roman" w:cs="Times New Roman"/>
                <w:sz w:val="24"/>
                <w:szCs w:val="24"/>
                <w:lang w:val="en-US" w:eastAsia="zh-CN"/>
              </w:rPr>
              <w:t>本项目用地规划符合性图</w:t>
            </w:r>
          </w:p>
          <w:p>
            <w:pPr>
              <w:pStyle w:val="62"/>
              <w:rPr>
                <w:rFonts w:hint="default" w:ascii="Times New Roman" w:hAnsi="Times New Roman" w:cs="Times New Roman"/>
                <w:sz w:val="24"/>
                <w:szCs w:val="24"/>
                <w:lang w:val="en-US" w:eastAsia="zh-CN"/>
              </w:rPr>
            </w:pPr>
            <w:r>
              <w:rPr>
                <w:rFonts w:hint="eastAsia" w:hAnsi="Times New Roman" w:cs="Times New Roman"/>
                <w:sz w:val="24"/>
                <w:szCs w:val="24"/>
                <w:lang w:val="en-US" w:eastAsia="zh-CN"/>
              </w:rPr>
              <w:t xml:space="preserve">附图8 </w:t>
            </w:r>
            <w:r>
              <w:rPr>
                <w:rFonts w:hint="eastAsia" w:ascii="Times New Roman" w:hAnsi="Times New Roman" w:cs="Times New Roman"/>
                <w:sz w:val="24"/>
                <w:szCs w:val="24"/>
                <w:lang w:val="en-US" w:eastAsia="zh-CN"/>
              </w:rPr>
              <w:t>本项目平面布置图</w:t>
            </w:r>
          </w:p>
          <w:p>
            <w:pPr>
              <w:pStyle w:val="62"/>
              <w:rPr>
                <w:rFonts w:hAnsi="Times New Roman" w:cs="Times New Roman"/>
              </w:rPr>
            </w:pPr>
            <w:r>
              <w:rPr>
                <w:rFonts w:hAnsi="Times New Roman" w:cs="Times New Roman"/>
              </w:rPr>
              <w:t>二、如果本报告表不能说明项目产生的污染及对环境造成的影响，应进行专项评价。根据建设项目的特点和当地环境特征，应选下列1—2项进行专项评价。</w:t>
            </w:r>
          </w:p>
          <w:p>
            <w:pPr>
              <w:pStyle w:val="62"/>
              <w:rPr>
                <w:rFonts w:hAnsi="Times New Roman" w:cs="Times New Roman"/>
              </w:rPr>
            </w:pPr>
            <w:r>
              <w:rPr>
                <w:rFonts w:hAnsi="Times New Roman" w:cs="Times New Roman"/>
              </w:rPr>
              <w:t>1、大气环境影响专项评价</w:t>
            </w:r>
          </w:p>
          <w:p>
            <w:pPr>
              <w:pStyle w:val="62"/>
              <w:rPr>
                <w:rFonts w:hAnsi="Times New Roman" w:cs="Times New Roman"/>
              </w:rPr>
            </w:pPr>
            <w:r>
              <w:rPr>
                <w:rFonts w:hAnsi="Times New Roman" w:cs="Times New Roman"/>
              </w:rPr>
              <w:t>2、水环境影响专项评价（包括地表水和地下水）</w:t>
            </w:r>
          </w:p>
          <w:p>
            <w:pPr>
              <w:pStyle w:val="62"/>
              <w:rPr>
                <w:rFonts w:hAnsi="Times New Roman" w:cs="Times New Roman"/>
              </w:rPr>
            </w:pPr>
            <w:r>
              <w:rPr>
                <w:rFonts w:hAnsi="Times New Roman" w:cs="Times New Roman"/>
              </w:rPr>
              <w:t>3、生态影响专项评价</w:t>
            </w:r>
          </w:p>
          <w:p>
            <w:pPr>
              <w:pStyle w:val="62"/>
              <w:rPr>
                <w:rFonts w:hAnsi="Times New Roman" w:cs="Times New Roman"/>
              </w:rPr>
            </w:pPr>
            <w:r>
              <w:rPr>
                <w:rFonts w:hAnsi="Times New Roman" w:cs="Times New Roman"/>
              </w:rPr>
              <w:t>4、声影响专项评价</w:t>
            </w:r>
          </w:p>
          <w:p>
            <w:pPr>
              <w:pStyle w:val="62"/>
              <w:rPr>
                <w:rFonts w:hAnsi="Times New Roman" w:cs="Times New Roman"/>
              </w:rPr>
            </w:pPr>
            <w:r>
              <w:rPr>
                <w:rFonts w:hAnsi="Times New Roman" w:cs="Times New Roman"/>
              </w:rPr>
              <w:t>5、土壤影响专项评价</w:t>
            </w:r>
          </w:p>
          <w:p>
            <w:pPr>
              <w:pStyle w:val="62"/>
              <w:rPr>
                <w:rFonts w:hAnsi="Times New Roman" w:cs="Times New Roman"/>
              </w:rPr>
            </w:pPr>
            <w:r>
              <w:rPr>
                <w:rFonts w:hAnsi="Times New Roman" w:cs="Times New Roman"/>
              </w:rPr>
              <w:t>6、固体废物影响专项评价</w:t>
            </w:r>
          </w:p>
          <w:p>
            <w:pPr>
              <w:pStyle w:val="62"/>
              <w:ind w:firstLine="504"/>
              <w:rPr>
                <w:rFonts w:hAnsi="Times New Roman" w:cs="Times New Roman"/>
                <w:spacing w:val="6"/>
              </w:rPr>
            </w:pPr>
            <w:r>
              <w:rPr>
                <w:rFonts w:hAnsi="Times New Roman" w:cs="Times New Roman"/>
                <w:spacing w:val="6"/>
              </w:rPr>
              <w:t>以上专项评价未包括的可列专项，专项评价按照《环境影响评价技术导则》中的要求进行。</w:t>
            </w:r>
          </w:p>
          <w:p>
            <w:pPr>
              <w:pStyle w:val="62"/>
              <w:ind w:left="0" w:leftChars="0" w:firstLine="0" w:firstLineChars="0"/>
              <w:rPr>
                <w:rFonts w:hAnsi="Times New Roman" w:cs="Times New Roman"/>
                <w:spacing w:val="6"/>
              </w:rPr>
            </w:pPr>
          </w:p>
        </w:tc>
      </w:tr>
    </w:tbl>
    <w:p/>
    <w:sectPr>
      <w:footerReference r:id="rId5" w:type="default"/>
      <w:pgSz w:w="11906" w:h="16838"/>
      <w:pgMar w:top="1417" w:right="1587" w:bottom="1417" w:left="1587" w:header="851" w:footer="992" w:gutter="0"/>
      <w:pgBorders>
        <w:top w:val="none" w:sz="0" w:space="0"/>
        <w:left w:val="none" w:sz="0" w:space="0"/>
        <w:bottom w:val="none" w:sz="0" w:space="0"/>
        <w:right w:val="none" w:sz="0" w:space="0"/>
      </w:pgBorders>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DengXian">
    <w:altName w:val="宋体"/>
    <w:panose1 w:val="02010600030101010101"/>
    <w:charset w:val="86"/>
    <w:family w:val="auto"/>
    <w:pitch w:val="default"/>
    <w:sig w:usb0="00000000" w:usb1="00000000" w:usb2="00000016" w:usb3="00000000" w:csb0="0004000F" w:csb1="00000000"/>
  </w:font>
  <w:font w:name="TT5Co00">
    <w:altName w:val="Times New Roman"/>
    <w:panose1 w:val="00000000000000000000"/>
    <w:charset w:val="00"/>
    <w:family w:val="roman"/>
    <w:pitch w:val="default"/>
    <w:sig w:usb0="00000000" w:usb1="00000000" w:usb2="00000000" w:usb3="00000000" w:csb0="00040001" w:csb1="00000000"/>
  </w:font>
  <w:font w:name="MS UI Gothic">
    <w:panose1 w:val="020B0600070205080204"/>
    <w:charset w:val="80"/>
    <w:family w:val="swiss"/>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4474655"/>
    </w:sdtPr>
    <w:sdtContent>
      <w:p>
        <w:pPr>
          <w:pStyle w:val="13"/>
          <w:jc w:val="center"/>
        </w:pPr>
        <w:r>
          <w:fldChar w:fldCharType="begin"/>
        </w:r>
        <w:r>
          <w:instrText xml:space="preserve">PAGE   \* MERGEFORMAT</w:instrText>
        </w:r>
        <w:r>
          <w:fldChar w:fldCharType="separate"/>
        </w:r>
        <w:r>
          <w:rPr>
            <w:lang w:val="zh-CN"/>
          </w:rPr>
          <w:t>9</w:t>
        </w:r>
        <w:r>
          <w:rPr>
            <w:lang w:val="zh-CN"/>
          </w:rP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BAF4E"/>
    <w:multiLevelType w:val="singleLevel"/>
    <w:tmpl w:val="582BAF4E"/>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397"/>
    <w:rsid w:val="00000B21"/>
    <w:rsid w:val="000010D4"/>
    <w:rsid w:val="00001399"/>
    <w:rsid w:val="0000188B"/>
    <w:rsid w:val="00001AEF"/>
    <w:rsid w:val="00001B26"/>
    <w:rsid w:val="0000233E"/>
    <w:rsid w:val="00002443"/>
    <w:rsid w:val="00002812"/>
    <w:rsid w:val="00003628"/>
    <w:rsid w:val="00003794"/>
    <w:rsid w:val="00003B00"/>
    <w:rsid w:val="00003D12"/>
    <w:rsid w:val="00003FA2"/>
    <w:rsid w:val="0000458B"/>
    <w:rsid w:val="00004C1A"/>
    <w:rsid w:val="00005030"/>
    <w:rsid w:val="000051B0"/>
    <w:rsid w:val="00005626"/>
    <w:rsid w:val="0000565F"/>
    <w:rsid w:val="0000587E"/>
    <w:rsid w:val="00005914"/>
    <w:rsid w:val="00005966"/>
    <w:rsid w:val="00005B19"/>
    <w:rsid w:val="00005CE7"/>
    <w:rsid w:val="00005EBE"/>
    <w:rsid w:val="00006077"/>
    <w:rsid w:val="00006377"/>
    <w:rsid w:val="000067A5"/>
    <w:rsid w:val="000068EE"/>
    <w:rsid w:val="00007314"/>
    <w:rsid w:val="00007336"/>
    <w:rsid w:val="0000741A"/>
    <w:rsid w:val="00007B33"/>
    <w:rsid w:val="0001045C"/>
    <w:rsid w:val="00010731"/>
    <w:rsid w:val="000109FB"/>
    <w:rsid w:val="00010AF1"/>
    <w:rsid w:val="00011099"/>
    <w:rsid w:val="000111D4"/>
    <w:rsid w:val="0001161B"/>
    <w:rsid w:val="000116F5"/>
    <w:rsid w:val="000118AC"/>
    <w:rsid w:val="00011F9C"/>
    <w:rsid w:val="0001253E"/>
    <w:rsid w:val="00012875"/>
    <w:rsid w:val="000128DB"/>
    <w:rsid w:val="00012CFD"/>
    <w:rsid w:val="00012D4E"/>
    <w:rsid w:val="000131E7"/>
    <w:rsid w:val="000138A4"/>
    <w:rsid w:val="00013FEA"/>
    <w:rsid w:val="00014C1B"/>
    <w:rsid w:val="00015047"/>
    <w:rsid w:val="000150DB"/>
    <w:rsid w:val="0001532E"/>
    <w:rsid w:val="00015363"/>
    <w:rsid w:val="00015B90"/>
    <w:rsid w:val="00016586"/>
    <w:rsid w:val="000166C7"/>
    <w:rsid w:val="00016820"/>
    <w:rsid w:val="00016931"/>
    <w:rsid w:val="00016DD0"/>
    <w:rsid w:val="000170F7"/>
    <w:rsid w:val="000174CF"/>
    <w:rsid w:val="00017551"/>
    <w:rsid w:val="00017943"/>
    <w:rsid w:val="00017A42"/>
    <w:rsid w:val="00017D24"/>
    <w:rsid w:val="000201B6"/>
    <w:rsid w:val="00020667"/>
    <w:rsid w:val="00020D43"/>
    <w:rsid w:val="00020E25"/>
    <w:rsid w:val="00020E7B"/>
    <w:rsid w:val="00020ED4"/>
    <w:rsid w:val="0002178D"/>
    <w:rsid w:val="00021904"/>
    <w:rsid w:val="00021C6B"/>
    <w:rsid w:val="000226AD"/>
    <w:rsid w:val="000226DE"/>
    <w:rsid w:val="0002289D"/>
    <w:rsid w:val="000229B9"/>
    <w:rsid w:val="0002340B"/>
    <w:rsid w:val="00023655"/>
    <w:rsid w:val="000238CE"/>
    <w:rsid w:val="00023A25"/>
    <w:rsid w:val="00023FE3"/>
    <w:rsid w:val="000248D7"/>
    <w:rsid w:val="00024B03"/>
    <w:rsid w:val="00024FF2"/>
    <w:rsid w:val="00025434"/>
    <w:rsid w:val="00025835"/>
    <w:rsid w:val="00025F3B"/>
    <w:rsid w:val="00027D02"/>
    <w:rsid w:val="00027E62"/>
    <w:rsid w:val="000300E9"/>
    <w:rsid w:val="0003063F"/>
    <w:rsid w:val="00030703"/>
    <w:rsid w:val="000308BA"/>
    <w:rsid w:val="0003090B"/>
    <w:rsid w:val="00030DAF"/>
    <w:rsid w:val="000313B7"/>
    <w:rsid w:val="000316B4"/>
    <w:rsid w:val="000317CF"/>
    <w:rsid w:val="00031CB0"/>
    <w:rsid w:val="00031D18"/>
    <w:rsid w:val="00031F02"/>
    <w:rsid w:val="00032276"/>
    <w:rsid w:val="000323ED"/>
    <w:rsid w:val="00032D4A"/>
    <w:rsid w:val="00032E71"/>
    <w:rsid w:val="000358CA"/>
    <w:rsid w:val="0003637C"/>
    <w:rsid w:val="0003642C"/>
    <w:rsid w:val="000364D9"/>
    <w:rsid w:val="000365C7"/>
    <w:rsid w:val="0003676B"/>
    <w:rsid w:val="000370F3"/>
    <w:rsid w:val="0003713D"/>
    <w:rsid w:val="00040455"/>
    <w:rsid w:val="00040DB4"/>
    <w:rsid w:val="00041414"/>
    <w:rsid w:val="00041903"/>
    <w:rsid w:val="00041EA2"/>
    <w:rsid w:val="00041FEF"/>
    <w:rsid w:val="00042C1E"/>
    <w:rsid w:val="00042D8D"/>
    <w:rsid w:val="000430DA"/>
    <w:rsid w:val="00043374"/>
    <w:rsid w:val="000433CC"/>
    <w:rsid w:val="0004374D"/>
    <w:rsid w:val="000437CA"/>
    <w:rsid w:val="00043E16"/>
    <w:rsid w:val="00043FA0"/>
    <w:rsid w:val="00044027"/>
    <w:rsid w:val="000440D1"/>
    <w:rsid w:val="000441B6"/>
    <w:rsid w:val="00044459"/>
    <w:rsid w:val="00044BD0"/>
    <w:rsid w:val="000453A6"/>
    <w:rsid w:val="000455D2"/>
    <w:rsid w:val="00045922"/>
    <w:rsid w:val="00045C69"/>
    <w:rsid w:val="00045FC5"/>
    <w:rsid w:val="00046C78"/>
    <w:rsid w:val="00046E09"/>
    <w:rsid w:val="00046E74"/>
    <w:rsid w:val="00047922"/>
    <w:rsid w:val="00047DFF"/>
    <w:rsid w:val="00047E34"/>
    <w:rsid w:val="000500FD"/>
    <w:rsid w:val="000503A9"/>
    <w:rsid w:val="00050AA6"/>
    <w:rsid w:val="0005121C"/>
    <w:rsid w:val="000512BC"/>
    <w:rsid w:val="00051B17"/>
    <w:rsid w:val="00052429"/>
    <w:rsid w:val="00052707"/>
    <w:rsid w:val="0005275E"/>
    <w:rsid w:val="00052769"/>
    <w:rsid w:val="00052AFC"/>
    <w:rsid w:val="00052C1C"/>
    <w:rsid w:val="0005301F"/>
    <w:rsid w:val="0005355D"/>
    <w:rsid w:val="00053939"/>
    <w:rsid w:val="00053AB4"/>
    <w:rsid w:val="000540F8"/>
    <w:rsid w:val="000543D4"/>
    <w:rsid w:val="0005455F"/>
    <w:rsid w:val="00054C74"/>
    <w:rsid w:val="00054D82"/>
    <w:rsid w:val="0005526A"/>
    <w:rsid w:val="00055C73"/>
    <w:rsid w:val="00056404"/>
    <w:rsid w:val="00056BB3"/>
    <w:rsid w:val="00056C87"/>
    <w:rsid w:val="00056C92"/>
    <w:rsid w:val="000570AC"/>
    <w:rsid w:val="00057819"/>
    <w:rsid w:val="00057A82"/>
    <w:rsid w:val="000600BB"/>
    <w:rsid w:val="0006022C"/>
    <w:rsid w:val="00060769"/>
    <w:rsid w:val="00060CD8"/>
    <w:rsid w:val="00060EDC"/>
    <w:rsid w:val="00061037"/>
    <w:rsid w:val="000619F6"/>
    <w:rsid w:val="00061D36"/>
    <w:rsid w:val="00061EDE"/>
    <w:rsid w:val="000625C0"/>
    <w:rsid w:val="00062973"/>
    <w:rsid w:val="000629B5"/>
    <w:rsid w:val="00062D9E"/>
    <w:rsid w:val="000634A4"/>
    <w:rsid w:val="00063B29"/>
    <w:rsid w:val="00063E42"/>
    <w:rsid w:val="000642B2"/>
    <w:rsid w:val="000642B4"/>
    <w:rsid w:val="000642F1"/>
    <w:rsid w:val="0006463C"/>
    <w:rsid w:val="0006467D"/>
    <w:rsid w:val="00064692"/>
    <w:rsid w:val="000648C3"/>
    <w:rsid w:val="000649A7"/>
    <w:rsid w:val="00064ABB"/>
    <w:rsid w:val="000655EC"/>
    <w:rsid w:val="00066561"/>
    <w:rsid w:val="00066650"/>
    <w:rsid w:val="0006699C"/>
    <w:rsid w:val="00067467"/>
    <w:rsid w:val="0006749C"/>
    <w:rsid w:val="00067755"/>
    <w:rsid w:val="00067AEB"/>
    <w:rsid w:val="00067BFE"/>
    <w:rsid w:val="00067EFD"/>
    <w:rsid w:val="0007019C"/>
    <w:rsid w:val="00070456"/>
    <w:rsid w:val="00070516"/>
    <w:rsid w:val="000707D9"/>
    <w:rsid w:val="00070988"/>
    <w:rsid w:val="00070B7E"/>
    <w:rsid w:val="00070F37"/>
    <w:rsid w:val="000712CE"/>
    <w:rsid w:val="00071ED1"/>
    <w:rsid w:val="000726A3"/>
    <w:rsid w:val="00072B83"/>
    <w:rsid w:val="00072CC7"/>
    <w:rsid w:val="00072EBC"/>
    <w:rsid w:val="00073B3B"/>
    <w:rsid w:val="00073BE3"/>
    <w:rsid w:val="00073D1C"/>
    <w:rsid w:val="00073D48"/>
    <w:rsid w:val="00073D86"/>
    <w:rsid w:val="000749CC"/>
    <w:rsid w:val="000749D9"/>
    <w:rsid w:val="00074A95"/>
    <w:rsid w:val="00074B90"/>
    <w:rsid w:val="00074BFC"/>
    <w:rsid w:val="00074C07"/>
    <w:rsid w:val="00074D25"/>
    <w:rsid w:val="0007558B"/>
    <w:rsid w:val="00075F53"/>
    <w:rsid w:val="00076121"/>
    <w:rsid w:val="00076149"/>
    <w:rsid w:val="00076154"/>
    <w:rsid w:val="0007637E"/>
    <w:rsid w:val="00076712"/>
    <w:rsid w:val="00076883"/>
    <w:rsid w:val="00076ECF"/>
    <w:rsid w:val="00076EE1"/>
    <w:rsid w:val="00077188"/>
    <w:rsid w:val="000776C0"/>
    <w:rsid w:val="00077A8B"/>
    <w:rsid w:val="00077C3A"/>
    <w:rsid w:val="00080440"/>
    <w:rsid w:val="00081438"/>
    <w:rsid w:val="000821FB"/>
    <w:rsid w:val="0008252E"/>
    <w:rsid w:val="00082BE3"/>
    <w:rsid w:val="00083123"/>
    <w:rsid w:val="000839AF"/>
    <w:rsid w:val="00084301"/>
    <w:rsid w:val="00084485"/>
    <w:rsid w:val="00084A71"/>
    <w:rsid w:val="00084B3C"/>
    <w:rsid w:val="00084F39"/>
    <w:rsid w:val="000851F2"/>
    <w:rsid w:val="00085684"/>
    <w:rsid w:val="00085836"/>
    <w:rsid w:val="00085A64"/>
    <w:rsid w:val="00086A41"/>
    <w:rsid w:val="00087813"/>
    <w:rsid w:val="00087839"/>
    <w:rsid w:val="00087A33"/>
    <w:rsid w:val="00087BF7"/>
    <w:rsid w:val="000900DA"/>
    <w:rsid w:val="0009033A"/>
    <w:rsid w:val="0009060A"/>
    <w:rsid w:val="00090875"/>
    <w:rsid w:val="00090EED"/>
    <w:rsid w:val="000918B5"/>
    <w:rsid w:val="00091CA0"/>
    <w:rsid w:val="00091D57"/>
    <w:rsid w:val="00091E54"/>
    <w:rsid w:val="00091E68"/>
    <w:rsid w:val="00092519"/>
    <w:rsid w:val="00092736"/>
    <w:rsid w:val="00092952"/>
    <w:rsid w:val="00092D9B"/>
    <w:rsid w:val="00093B48"/>
    <w:rsid w:val="00093D17"/>
    <w:rsid w:val="00093E22"/>
    <w:rsid w:val="0009435D"/>
    <w:rsid w:val="000946BF"/>
    <w:rsid w:val="000946CB"/>
    <w:rsid w:val="00094A50"/>
    <w:rsid w:val="00094F70"/>
    <w:rsid w:val="0009527D"/>
    <w:rsid w:val="0009533E"/>
    <w:rsid w:val="0009573B"/>
    <w:rsid w:val="00095CB3"/>
    <w:rsid w:val="00095E50"/>
    <w:rsid w:val="00096AB6"/>
    <w:rsid w:val="00096B51"/>
    <w:rsid w:val="00096E1B"/>
    <w:rsid w:val="000970FA"/>
    <w:rsid w:val="000971D6"/>
    <w:rsid w:val="0009751A"/>
    <w:rsid w:val="0009798A"/>
    <w:rsid w:val="000A0B0E"/>
    <w:rsid w:val="000A0C63"/>
    <w:rsid w:val="000A1361"/>
    <w:rsid w:val="000A178F"/>
    <w:rsid w:val="000A19A8"/>
    <w:rsid w:val="000A23C6"/>
    <w:rsid w:val="000A25E1"/>
    <w:rsid w:val="000A30FA"/>
    <w:rsid w:val="000A326B"/>
    <w:rsid w:val="000A3394"/>
    <w:rsid w:val="000A38C6"/>
    <w:rsid w:val="000A3A82"/>
    <w:rsid w:val="000A3B0B"/>
    <w:rsid w:val="000A4087"/>
    <w:rsid w:val="000A4A44"/>
    <w:rsid w:val="000A4BD1"/>
    <w:rsid w:val="000A4DBC"/>
    <w:rsid w:val="000A4DFC"/>
    <w:rsid w:val="000A50F1"/>
    <w:rsid w:val="000A552C"/>
    <w:rsid w:val="000A5674"/>
    <w:rsid w:val="000A5805"/>
    <w:rsid w:val="000A5BF0"/>
    <w:rsid w:val="000A6EF3"/>
    <w:rsid w:val="000A6F1F"/>
    <w:rsid w:val="000A710C"/>
    <w:rsid w:val="000A7358"/>
    <w:rsid w:val="000A7A22"/>
    <w:rsid w:val="000A7AF3"/>
    <w:rsid w:val="000A7D67"/>
    <w:rsid w:val="000A7F21"/>
    <w:rsid w:val="000B00CC"/>
    <w:rsid w:val="000B00E2"/>
    <w:rsid w:val="000B0419"/>
    <w:rsid w:val="000B060F"/>
    <w:rsid w:val="000B08E5"/>
    <w:rsid w:val="000B08FC"/>
    <w:rsid w:val="000B09E3"/>
    <w:rsid w:val="000B0D7E"/>
    <w:rsid w:val="000B1322"/>
    <w:rsid w:val="000B14FC"/>
    <w:rsid w:val="000B159D"/>
    <w:rsid w:val="000B19A9"/>
    <w:rsid w:val="000B1DDB"/>
    <w:rsid w:val="000B265B"/>
    <w:rsid w:val="000B28DA"/>
    <w:rsid w:val="000B2CD3"/>
    <w:rsid w:val="000B2D70"/>
    <w:rsid w:val="000B303D"/>
    <w:rsid w:val="000B332F"/>
    <w:rsid w:val="000B363A"/>
    <w:rsid w:val="000B404B"/>
    <w:rsid w:val="000B40D1"/>
    <w:rsid w:val="000B4124"/>
    <w:rsid w:val="000B4500"/>
    <w:rsid w:val="000B4AB2"/>
    <w:rsid w:val="000B6120"/>
    <w:rsid w:val="000B61CC"/>
    <w:rsid w:val="000B67EB"/>
    <w:rsid w:val="000B696D"/>
    <w:rsid w:val="000B6B82"/>
    <w:rsid w:val="000B6EB6"/>
    <w:rsid w:val="000B6EC3"/>
    <w:rsid w:val="000B727A"/>
    <w:rsid w:val="000B7422"/>
    <w:rsid w:val="000B7B91"/>
    <w:rsid w:val="000B7F3F"/>
    <w:rsid w:val="000C0775"/>
    <w:rsid w:val="000C08CF"/>
    <w:rsid w:val="000C0F6E"/>
    <w:rsid w:val="000C10AC"/>
    <w:rsid w:val="000C1927"/>
    <w:rsid w:val="000C1E4B"/>
    <w:rsid w:val="000C2753"/>
    <w:rsid w:val="000C2821"/>
    <w:rsid w:val="000C2970"/>
    <w:rsid w:val="000C2C38"/>
    <w:rsid w:val="000C2C7B"/>
    <w:rsid w:val="000C2CCE"/>
    <w:rsid w:val="000C2D2A"/>
    <w:rsid w:val="000C3591"/>
    <w:rsid w:val="000C370A"/>
    <w:rsid w:val="000C3D75"/>
    <w:rsid w:val="000C4C10"/>
    <w:rsid w:val="000C4F16"/>
    <w:rsid w:val="000C4FC1"/>
    <w:rsid w:val="000C509B"/>
    <w:rsid w:val="000C52DF"/>
    <w:rsid w:val="000C53F2"/>
    <w:rsid w:val="000C543B"/>
    <w:rsid w:val="000C55C1"/>
    <w:rsid w:val="000C55D3"/>
    <w:rsid w:val="000C5A19"/>
    <w:rsid w:val="000C5EE2"/>
    <w:rsid w:val="000C6081"/>
    <w:rsid w:val="000C6129"/>
    <w:rsid w:val="000C6390"/>
    <w:rsid w:val="000C6491"/>
    <w:rsid w:val="000C6810"/>
    <w:rsid w:val="000C6A95"/>
    <w:rsid w:val="000C6C73"/>
    <w:rsid w:val="000C7C07"/>
    <w:rsid w:val="000C7C08"/>
    <w:rsid w:val="000C7ECC"/>
    <w:rsid w:val="000D04F8"/>
    <w:rsid w:val="000D07D7"/>
    <w:rsid w:val="000D07ED"/>
    <w:rsid w:val="000D0962"/>
    <w:rsid w:val="000D0A46"/>
    <w:rsid w:val="000D0DA3"/>
    <w:rsid w:val="000D1108"/>
    <w:rsid w:val="000D1231"/>
    <w:rsid w:val="000D152A"/>
    <w:rsid w:val="000D15DB"/>
    <w:rsid w:val="000D1954"/>
    <w:rsid w:val="000D1B72"/>
    <w:rsid w:val="000D1BB4"/>
    <w:rsid w:val="000D25AA"/>
    <w:rsid w:val="000D2821"/>
    <w:rsid w:val="000D2CB9"/>
    <w:rsid w:val="000D39AF"/>
    <w:rsid w:val="000D404A"/>
    <w:rsid w:val="000D42E6"/>
    <w:rsid w:val="000D4555"/>
    <w:rsid w:val="000D4E29"/>
    <w:rsid w:val="000D4E59"/>
    <w:rsid w:val="000D4ECA"/>
    <w:rsid w:val="000D5078"/>
    <w:rsid w:val="000D549E"/>
    <w:rsid w:val="000D5EB2"/>
    <w:rsid w:val="000D5F2D"/>
    <w:rsid w:val="000D6426"/>
    <w:rsid w:val="000D6739"/>
    <w:rsid w:val="000D7168"/>
    <w:rsid w:val="000D74B9"/>
    <w:rsid w:val="000D76B4"/>
    <w:rsid w:val="000D7A25"/>
    <w:rsid w:val="000D7B10"/>
    <w:rsid w:val="000D7B97"/>
    <w:rsid w:val="000D7C17"/>
    <w:rsid w:val="000D7C53"/>
    <w:rsid w:val="000D7F93"/>
    <w:rsid w:val="000E0320"/>
    <w:rsid w:val="000E05B9"/>
    <w:rsid w:val="000E0837"/>
    <w:rsid w:val="000E0FB5"/>
    <w:rsid w:val="000E1B4A"/>
    <w:rsid w:val="000E1F7C"/>
    <w:rsid w:val="000E21B2"/>
    <w:rsid w:val="000E2200"/>
    <w:rsid w:val="000E2353"/>
    <w:rsid w:val="000E29A2"/>
    <w:rsid w:val="000E2E4A"/>
    <w:rsid w:val="000E2F53"/>
    <w:rsid w:val="000E33ED"/>
    <w:rsid w:val="000E368B"/>
    <w:rsid w:val="000E381D"/>
    <w:rsid w:val="000E3D13"/>
    <w:rsid w:val="000E3EF5"/>
    <w:rsid w:val="000E40B5"/>
    <w:rsid w:val="000E41AD"/>
    <w:rsid w:val="000E43CA"/>
    <w:rsid w:val="000E44FA"/>
    <w:rsid w:val="000E4545"/>
    <w:rsid w:val="000E4A8F"/>
    <w:rsid w:val="000E55ED"/>
    <w:rsid w:val="000E5E70"/>
    <w:rsid w:val="000E6001"/>
    <w:rsid w:val="000E650D"/>
    <w:rsid w:val="000E6539"/>
    <w:rsid w:val="000E6FAC"/>
    <w:rsid w:val="000E7801"/>
    <w:rsid w:val="000E7CAA"/>
    <w:rsid w:val="000E7EDF"/>
    <w:rsid w:val="000E7FF6"/>
    <w:rsid w:val="000F0089"/>
    <w:rsid w:val="000F033F"/>
    <w:rsid w:val="000F041C"/>
    <w:rsid w:val="000F0688"/>
    <w:rsid w:val="000F08D2"/>
    <w:rsid w:val="000F0B42"/>
    <w:rsid w:val="000F161D"/>
    <w:rsid w:val="000F1AA4"/>
    <w:rsid w:val="000F2388"/>
    <w:rsid w:val="000F24AA"/>
    <w:rsid w:val="000F2728"/>
    <w:rsid w:val="000F2E71"/>
    <w:rsid w:val="000F2E8D"/>
    <w:rsid w:val="000F2ECB"/>
    <w:rsid w:val="000F2ED9"/>
    <w:rsid w:val="000F3539"/>
    <w:rsid w:val="000F395F"/>
    <w:rsid w:val="000F3DE2"/>
    <w:rsid w:val="000F3F56"/>
    <w:rsid w:val="000F47A9"/>
    <w:rsid w:val="000F4A6A"/>
    <w:rsid w:val="000F4A91"/>
    <w:rsid w:val="000F4CB8"/>
    <w:rsid w:val="000F4E94"/>
    <w:rsid w:val="000F51BD"/>
    <w:rsid w:val="000F54CB"/>
    <w:rsid w:val="000F5515"/>
    <w:rsid w:val="000F562D"/>
    <w:rsid w:val="000F567D"/>
    <w:rsid w:val="000F6F32"/>
    <w:rsid w:val="000F738E"/>
    <w:rsid w:val="000F743C"/>
    <w:rsid w:val="000F748B"/>
    <w:rsid w:val="000F7A93"/>
    <w:rsid w:val="000F7DE5"/>
    <w:rsid w:val="000F7FE4"/>
    <w:rsid w:val="00100489"/>
    <w:rsid w:val="001006AE"/>
    <w:rsid w:val="001007E2"/>
    <w:rsid w:val="00100C4E"/>
    <w:rsid w:val="00100D4D"/>
    <w:rsid w:val="00100F7A"/>
    <w:rsid w:val="001011A5"/>
    <w:rsid w:val="00101A19"/>
    <w:rsid w:val="00101AA3"/>
    <w:rsid w:val="001023BB"/>
    <w:rsid w:val="001028DE"/>
    <w:rsid w:val="00102A5F"/>
    <w:rsid w:val="00102BB1"/>
    <w:rsid w:val="001031F0"/>
    <w:rsid w:val="00103291"/>
    <w:rsid w:val="00103E4D"/>
    <w:rsid w:val="00104092"/>
    <w:rsid w:val="0010474F"/>
    <w:rsid w:val="00105679"/>
    <w:rsid w:val="0010708D"/>
    <w:rsid w:val="001070D6"/>
    <w:rsid w:val="00107552"/>
    <w:rsid w:val="00107618"/>
    <w:rsid w:val="001077F5"/>
    <w:rsid w:val="00110336"/>
    <w:rsid w:val="00110B19"/>
    <w:rsid w:val="00110DAB"/>
    <w:rsid w:val="00110E07"/>
    <w:rsid w:val="00111519"/>
    <w:rsid w:val="0011175B"/>
    <w:rsid w:val="00111819"/>
    <w:rsid w:val="0011194A"/>
    <w:rsid w:val="001127C4"/>
    <w:rsid w:val="001127E4"/>
    <w:rsid w:val="00112B8D"/>
    <w:rsid w:val="00112F32"/>
    <w:rsid w:val="0011332A"/>
    <w:rsid w:val="00113408"/>
    <w:rsid w:val="0011343D"/>
    <w:rsid w:val="00113594"/>
    <w:rsid w:val="001135DF"/>
    <w:rsid w:val="001135EB"/>
    <w:rsid w:val="00113816"/>
    <w:rsid w:val="0011497C"/>
    <w:rsid w:val="00114D2B"/>
    <w:rsid w:val="00115072"/>
    <w:rsid w:val="00115639"/>
    <w:rsid w:val="00115645"/>
    <w:rsid w:val="0011598B"/>
    <w:rsid w:val="00115B7C"/>
    <w:rsid w:val="00116065"/>
    <w:rsid w:val="00116208"/>
    <w:rsid w:val="001163F7"/>
    <w:rsid w:val="00116A58"/>
    <w:rsid w:val="00116C2E"/>
    <w:rsid w:val="00116CC6"/>
    <w:rsid w:val="001174CD"/>
    <w:rsid w:val="00117584"/>
    <w:rsid w:val="0011780C"/>
    <w:rsid w:val="00117927"/>
    <w:rsid w:val="0011798A"/>
    <w:rsid w:val="00120053"/>
    <w:rsid w:val="0012037E"/>
    <w:rsid w:val="001206FA"/>
    <w:rsid w:val="00120D0E"/>
    <w:rsid w:val="00120DDE"/>
    <w:rsid w:val="0012107A"/>
    <w:rsid w:val="001214E2"/>
    <w:rsid w:val="00121D0F"/>
    <w:rsid w:val="00121DF4"/>
    <w:rsid w:val="00122402"/>
    <w:rsid w:val="001225A8"/>
    <w:rsid w:val="001237FF"/>
    <w:rsid w:val="00123E11"/>
    <w:rsid w:val="001245EE"/>
    <w:rsid w:val="00124CA3"/>
    <w:rsid w:val="00124E08"/>
    <w:rsid w:val="0012523F"/>
    <w:rsid w:val="0012536C"/>
    <w:rsid w:val="0012545F"/>
    <w:rsid w:val="0012648C"/>
    <w:rsid w:val="0012649D"/>
    <w:rsid w:val="001264EA"/>
    <w:rsid w:val="00126722"/>
    <w:rsid w:val="001267B6"/>
    <w:rsid w:val="001275B8"/>
    <w:rsid w:val="00127733"/>
    <w:rsid w:val="001277F6"/>
    <w:rsid w:val="00130137"/>
    <w:rsid w:val="00130444"/>
    <w:rsid w:val="00130D51"/>
    <w:rsid w:val="00130E37"/>
    <w:rsid w:val="00131242"/>
    <w:rsid w:val="00131DAA"/>
    <w:rsid w:val="0013235B"/>
    <w:rsid w:val="001324C0"/>
    <w:rsid w:val="00132881"/>
    <w:rsid w:val="001329B9"/>
    <w:rsid w:val="00132B45"/>
    <w:rsid w:val="00132D3E"/>
    <w:rsid w:val="001330E9"/>
    <w:rsid w:val="00133281"/>
    <w:rsid w:val="00133AE7"/>
    <w:rsid w:val="00133BA2"/>
    <w:rsid w:val="00133D3D"/>
    <w:rsid w:val="00134166"/>
    <w:rsid w:val="00134847"/>
    <w:rsid w:val="001353D0"/>
    <w:rsid w:val="00135EDA"/>
    <w:rsid w:val="0013629F"/>
    <w:rsid w:val="0013664E"/>
    <w:rsid w:val="0013672D"/>
    <w:rsid w:val="00136738"/>
    <w:rsid w:val="00136AE1"/>
    <w:rsid w:val="00136DD7"/>
    <w:rsid w:val="00136E81"/>
    <w:rsid w:val="0014088F"/>
    <w:rsid w:val="00140C3C"/>
    <w:rsid w:val="00140D4B"/>
    <w:rsid w:val="00141186"/>
    <w:rsid w:val="0014126F"/>
    <w:rsid w:val="00141A62"/>
    <w:rsid w:val="00141D4C"/>
    <w:rsid w:val="00141F27"/>
    <w:rsid w:val="00142091"/>
    <w:rsid w:val="001420A9"/>
    <w:rsid w:val="00142217"/>
    <w:rsid w:val="001423D2"/>
    <w:rsid w:val="0014260E"/>
    <w:rsid w:val="00142AB9"/>
    <w:rsid w:val="00143256"/>
    <w:rsid w:val="0014345B"/>
    <w:rsid w:val="0014371A"/>
    <w:rsid w:val="00143826"/>
    <w:rsid w:val="00143C7A"/>
    <w:rsid w:val="00143F63"/>
    <w:rsid w:val="00143FE1"/>
    <w:rsid w:val="001451A4"/>
    <w:rsid w:val="0014525A"/>
    <w:rsid w:val="001459F6"/>
    <w:rsid w:val="00146597"/>
    <w:rsid w:val="001470CD"/>
    <w:rsid w:val="0014756C"/>
    <w:rsid w:val="00147D23"/>
    <w:rsid w:val="00147D62"/>
    <w:rsid w:val="001502CB"/>
    <w:rsid w:val="00150E37"/>
    <w:rsid w:val="00151BED"/>
    <w:rsid w:val="00151CD8"/>
    <w:rsid w:val="00152029"/>
    <w:rsid w:val="0015211F"/>
    <w:rsid w:val="00153024"/>
    <w:rsid w:val="001531F3"/>
    <w:rsid w:val="00153599"/>
    <w:rsid w:val="00153B61"/>
    <w:rsid w:val="00153E70"/>
    <w:rsid w:val="0015400C"/>
    <w:rsid w:val="001542AF"/>
    <w:rsid w:val="001545A6"/>
    <w:rsid w:val="0015471F"/>
    <w:rsid w:val="00154AC7"/>
    <w:rsid w:val="00154DAC"/>
    <w:rsid w:val="001550FB"/>
    <w:rsid w:val="001558E0"/>
    <w:rsid w:val="0015593E"/>
    <w:rsid w:val="00155B6A"/>
    <w:rsid w:val="00155D36"/>
    <w:rsid w:val="001566AE"/>
    <w:rsid w:val="00157F0A"/>
    <w:rsid w:val="00160FA5"/>
    <w:rsid w:val="00161020"/>
    <w:rsid w:val="001611FF"/>
    <w:rsid w:val="00161DBC"/>
    <w:rsid w:val="00161E29"/>
    <w:rsid w:val="00162738"/>
    <w:rsid w:val="00162982"/>
    <w:rsid w:val="00162E96"/>
    <w:rsid w:val="00163125"/>
    <w:rsid w:val="00163212"/>
    <w:rsid w:val="0016359B"/>
    <w:rsid w:val="00163EF2"/>
    <w:rsid w:val="00164587"/>
    <w:rsid w:val="00164BCA"/>
    <w:rsid w:val="001655E5"/>
    <w:rsid w:val="001658E2"/>
    <w:rsid w:val="00165D2F"/>
    <w:rsid w:val="00165D74"/>
    <w:rsid w:val="00166294"/>
    <w:rsid w:val="00166D11"/>
    <w:rsid w:val="00166D70"/>
    <w:rsid w:val="00166F37"/>
    <w:rsid w:val="00167144"/>
    <w:rsid w:val="001673A6"/>
    <w:rsid w:val="001676B2"/>
    <w:rsid w:val="00167723"/>
    <w:rsid w:val="001679CC"/>
    <w:rsid w:val="00170126"/>
    <w:rsid w:val="001703F4"/>
    <w:rsid w:val="00170544"/>
    <w:rsid w:val="0017071D"/>
    <w:rsid w:val="001708B4"/>
    <w:rsid w:val="00170990"/>
    <w:rsid w:val="00170AC3"/>
    <w:rsid w:val="00170B7A"/>
    <w:rsid w:val="00171238"/>
    <w:rsid w:val="00171942"/>
    <w:rsid w:val="001719D3"/>
    <w:rsid w:val="00171B54"/>
    <w:rsid w:val="00171C0A"/>
    <w:rsid w:val="00171E0A"/>
    <w:rsid w:val="00171E58"/>
    <w:rsid w:val="00171EFD"/>
    <w:rsid w:val="001723AD"/>
    <w:rsid w:val="00172514"/>
    <w:rsid w:val="00172584"/>
    <w:rsid w:val="00172D5C"/>
    <w:rsid w:val="00172E23"/>
    <w:rsid w:val="0017323A"/>
    <w:rsid w:val="001736A6"/>
    <w:rsid w:val="00173C8A"/>
    <w:rsid w:val="00174060"/>
    <w:rsid w:val="00174334"/>
    <w:rsid w:val="00174829"/>
    <w:rsid w:val="00175B66"/>
    <w:rsid w:val="00175EE4"/>
    <w:rsid w:val="00175FB2"/>
    <w:rsid w:val="00176B56"/>
    <w:rsid w:val="00176B94"/>
    <w:rsid w:val="00176E07"/>
    <w:rsid w:val="00176E66"/>
    <w:rsid w:val="001770AD"/>
    <w:rsid w:val="0017779E"/>
    <w:rsid w:val="00177ED6"/>
    <w:rsid w:val="00177F10"/>
    <w:rsid w:val="00177F44"/>
    <w:rsid w:val="0018007A"/>
    <w:rsid w:val="001801AD"/>
    <w:rsid w:val="001801E0"/>
    <w:rsid w:val="0018056B"/>
    <w:rsid w:val="00180600"/>
    <w:rsid w:val="0018071E"/>
    <w:rsid w:val="00180759"/>
    <w:rsid w:val="0018083A"/>
    <w:rsid w:val="00180AB4"/>
    <w:rsid w:val="00180D53"/>
    <w:rsid w:val="00180D89"/>
    <w:rsid w:val="00181289"/>
    <w:rsid w:val="001816A3"/>
    <w:rsid w:val="001817D1"/>
    <w:rsid w:val="00181867"/>
    <w:rsid w:val="00182485"/>
    <w:rsid w:val="00182812"/>
    <w:rsid w:val="00182831"/>
    <w:rsid w:val="00183689"/>
    <w:rsid w:val="00183827"/>
    <w:rsid w:val="00183C05"/>
    <w:rsid w:val="00183DB9"/>
    <w:rsid w:val="0018400F"/>
    <w:rsid w:val="00184184"/>
    <w:rsid w:val="0018449A"/>
    <w:rsid w:val="00184599"/>
    <w:rsid w:val="00184664"/>
    <w:rsid w:val="00184689"/>
    <w:rsid w:val="00184FDD"/>
    <w:rsid w:val="0018540B"/>
    <w:rsid w:val="001858AA"/>
    <w:rsid w:val="0018590E"/>
    <w:rsid w:val="00187397"/>
    <w:rsid w:val="00187D73"/>
    <w:rsid w:val="00190299"/>
    <w:rsid w:val="001903AD"/>
    <w:rsid w:val="001905FB"/>
    <w:rsid w:val="00190B23"/>
    <w:rsid w:val="001916AB"/>
    <w:rsid w:val="00191793"/>
    <w:rsid w:val="00191820"/>
    <w:rsid w:val="00191D90"/>
    <w:rsid w:val="001926E4"/>
    <w:rsid w:val="00193791"/>
    <w:rsid w:val="00193AF1"/>
    <w:rsid w:val="00193D42"/>
    <w:rsid w:val="001940A8"/>
    <w:rsid w:val="001942EE"/>
    <w:rsid w:val="001945D9"/>
    <w:rsid w:val="00194611"/>
    <w:rsid w:val="00194805"/>
    <w:rsid w:val="00194E18"/>
    <w:rsid w:val="00195DB2"/>
    <w:rsid w:val="00195EE9"/>
    <w:rsid w:val="00196A8B"/>
    <w:rsid w:val="00196B0B"/>
    <w:rsid w:val="00196D4C"/>
    <w:rsid w:val="00196E57"/>
    <w:rsid w:val="00197202"/>
    <w:rsid w:val="00197ABD"/>
    <w:rsid w:val="001A0964"/>
    <w:rsid w:val="001A09A4"/>
    <w:rsid w:val="001A0A39"/>
    <w:rsid w:val="001A1109"/>
    <w:rsid w:val="001A19BC"/>
    <w:rsid w:val="001A1B6F"/>
    <w:rsid w:val="001A3574"/>
    <w:rsid w:val="001A3583"/>
    <w:rsid w:val="001A3868"/>
    <w:rsid w:val="001A398D"/>
    <w:rsid w:val="001A39A2"/>
    <w:rsid w:val="001A3D24"/>
    <w:rsid w:val="001A4A75"/>
    <w:rsid w:val="001A4B7C"/>
    <w:rsid w:val="001A53D0"/>
    <w:rsid w:val="001A54ED"/>
    <w:rsid w:val="001A6C45"/>
    <w:rsid w:val="001A6F45"/>
    <w:rsid w:val="001A6F8F"/>
    <w:rsid w:val="001A7605"/>
    <w:rsid w:val="001B054D"/>
    <w:rsid w:val="001B0736"/>
    <w:rsid w:val="001B0AA0"/>
    <w:rsid w:val="001B0C81"/>
    <w:rsid w:val="001B0FFC"/>
    <w:rsid w:val="001B100F"/>
    <w:rsid w:val="001B11B7"/>
    <w:rsid w:val="001B12FB"/>
    <w:rsid w:val="001B1D47"/>
    <w:rsid w:val="001B239B"/>
    <w:rsid w:val="001B267E"/>
    <w:rsid w:val="001B26F2"/>
    <w:rsid w:val="001B2B32"/>
    <w:rsid w:val="001B2BC9"/>
    <w:rsid w:val="001B2C6B"/>
    <w:rsid w:val="001B2E78"/>
    <w:rsid w:val="001B2F8C"/>
    <w:rsid w:val="001B3359"/>
    <w:rsid w:val="001B38FF"/>
    <w:rsid w:val="001B3973"/>
    <w:rsid w:val="001B3C74"/>
    <w:rsid w:val="001B3F04"/>
    <w:rsid w:val="001B4DEE"/>
    <w:rsid w:val="001B5614"/>
    <w:rsid w:val="001B588B"/>
    <w:rsid w:val="001B589D"/>
    <w:rsid w:val="001B6372"/>
    <w:rsid w:val="001B63E5"/>
    <w:rsid w:val="001B6D85"/>
    <w:rsid w:val="001B6DC2"/>
    <w:rsid w:val="001B7132"/>
    <w:rsid w:val="001B74DC"/>
    <w:rsid w:val="001B7895"/>
    <w:rsid w:val="001B78E1"/>
    <w:rsid w:val="001C0134"/>
    <w:rsid w:val="001C01AB"/>
    <w:rsid w:val="001C01B7"/>
    <w:rsid w:val="001C0973"/>
    <w:rsid w:val="001C09A8"/>
    <w:rsid w:val="001C09DD"/>
    <w:rsid w:val="001C0B79"/>
    <w:rsid w:val="001C10BD"/>
    <w:rsid w:val="001C127E"/>
    <w:rsid w:val="001C14E6"/>
    <w:rsid w:val="001C16FD"/>
    <w:rsid w:val="001C188D"/>
    <w:rsid w:val="001C1A7B"/>
    <w:rsid w:val="001C1EDB"/>
    <w:rsid w:val="001C2644"/>
    <w:rsid w:val="001C290B"/>
    <w:rsid w:val="001C4164"/>
    <w:rsid w:val="001C48B5"/>
    <w:rsid w:val="001C4B35"/>
    <w:rsid w:val="001C4C19"/>
    <w:rsid w:val="001C5092"/>
    <w:rsid w:val="001C53F4"/>
    <w:rsid w:val="001C55F2"/>
    <w:rsid w:val="001C5771"/>
    <w:rsid w:val="001C59AD"/>
    <w:rsid w:val="001C5E28"/>
    <w:rsid w:val="001C5FB2"/>
    <w:rsid w:val="001C6433"/>
    <w:rsid w:val="001C68CF"/>
    <w:rsid w:val="001C6E2B"/>
    <w:rsid w:val="001C6F83"/>
    <w:rsid w:val="001C7154"/>
    <w:rsid w:val="001C77A3"/>
    <w:rsid w:val="001D0298"/>
    <w:rsid w:val="001D0B67"/>
    <w:rsid w:val="001D0F9A"/>
    <w:rsid w:val="001D1B7B"/>
    <w:rsid w:val="001D1BC1"/>
    <w:rsid w:val="001D1D98"/>
    <w:rsid w:val="001D2118"/>
    <w:rsid w:val="001D2289"/>
    <w:rsid w:val="001D2717"/>
    <w:rsid w:val="001D28F0"/>
    <w:rsid w:val="001D2A1A"/>
    <w:rsid w:val="001D32D3"/>
    <w:rsid w:val="001D356B"/>
    <w:rsid w:val="001D381C"/>
    <w:rsid w:val="001D4231"/>
    <w:rsid w:val="001D48BF"/>
    <w:rsid w:val="001D4EB7"/>
    <w:rsid w:val="001D4F24"/>
    <w:rsid w:val="001D50AF"/>
    <w:rsid w:val="001D51CD"/>
    <w:rsid w:val="001D5670"/>
    <w:rsid w:val="001D5769"/>
    <w:rsid w:val="001D5B01"/>
    <w:rsid w:val="001D6093"/>
    <w:rsid w:val="001D6443"/>
    <w:rsid w:val="001D6464"/>
    <w:rsid w:val="001D6640"/>
    <w:rsid w:val="001D6747"/>
    <w:rsid w:val="001D6DC9"/>
    <w:rsid w:val="001D6E05"/>
    <w:rsid w:val="001D6F85"/>
    <w:rsid w:val="001D7B69"/>
    <w:rsid w:val="001E039D"/>
    <w:rsid w:val="001E05AD"/>
    <w:rsid w:val="001E0A3C"/>
    <w:rsid w:val="001E0B88"/>
    <w:rsid w:val="001E0DD1"/>
    <w:rsid w:val="001E0FA9"/>
    <w:rsid w:val="001E10C3"/>
    <w:rsid w:val="001E17CA"/>
    <w:rsid w:val="001E181F"/>
    <w:rsid w:val="001E24D0"/>
    <w:rsid w:val="001E2729"/>
    <w:rsid w:val="001E27E5"/>
    <w:rsid w:val="001E2B5D"/>
    <w:rsid w:val="001E2C4D"/>
    <w:rsid w:val="001E3463"/>
    <w:rsid w:val="001E3657"/>
    <w:rsid w:val="001E3F48"/>
    <w:rsid w:val="001E4096"/>
    <w:rsid w:val="001E43E3"/>
    <w:rsid w:val="001E453C"/>
    <w:rsid w:val="001E45F7"/>
    <w:rsid w:val="001E4B11"/>
    <w:rsid w:val="001E512D"/>
    <w:rsid w:val="001E523B"/>
    <w:rsid w:val="001E5310"/>
    <w:rsid w:val="001E57DC"/>
    <w:rsid w:val="001E584D"/>
    <w:rsid w:val="001E5D48"/>
    <w:rsid w:val="001E5E59"/>
    <w:rsid w:val="001E67BC"/>
    <w:rsid w:val="001E6E2B"/>
    <w:rsid w:val="001E7173"/>
    <w:rsid w:val="001E774D"/>
    <w:rsid w:val="001E7974"/>
    <w:rsid w:val="001F0094"/>
    <w:rsid w:val="001F0214"/>
    <w:rsid w:val="001F02A3"/>
    <w:rsid w:val="001F090B"/>
    <w:rsid w:val="001F0D44"/>
    <w:rsid w:val="001F11E3"/>
    <w:rsid w:val="001F1247"/>
    <w:rsid w:val="001F1273"/>
    <w:rsid w:val="001F14B2"/>
    <w:rsid w:val="001F1581"/>
    <w:rsid w:val="001F1AB7"/>
    <w:rsid w:val="001F2000"/>
    <w:rsid w:val="001F32BB"/>
    <w:rsid w:val="001F36F5"/>
    <w:rsid w:val="001F37AA"/>
    <w:rsid w:val="001F392C"/>
    <w:rsid w:val="001F4010"/>
    <w:rsid w:val="001F40B3"/>
    <w:rsid w:val="001F43BA"/>
    <w:rsid w:val="001F4411"/>
    <w:rsid w:val="001F4690"/>
    <w:rsid w:val="001F47F0"/>
    <w:rsid w:val="001F48E4"/>
    <w:rsid w:val="001F4A70"/>
    <w:rsid w:val="001F5282"/>
    <w:rsid w:val="001F54D3"/>
    <w:rsid w:val="001F5606"/>
    <w:rsid w:val="001F58F8"/>
    <w:rsid w:val="001F5E96"/>
    <w:rsid w:val="001F6676"/>
    <w:rsid w:val="001F66C6"/>
    <w:rsid w:val="001F69C9"/>
    <w:rsid w:val="001F6FA2"/>
    <w:rsid w:val="001F71FF"/>
    <w:rsid w:val="001F7618"/>
    <w:rsid w:val="001F7B04"/>
    <w:rsid w:val="001F7B45"/>
    <w:rsid w:val="00200174"/>
    <w:rsid w:val="00200668"/>
    <w:rsid w:val="00200A20"/>
    <w:rsid w:val="00200D6E"/>
    <w:rsid w:val="00200DF7"/>
    <w:rsid w:val="00200F70"/>
    <w:rsid w:val="00201247"/>
    <w:rsid w:val="002013C6"/>
    <w:rsid w:val="00201695"/>
    <w:rsid w:val="00202610"/>
    <w:rsid w:val="002026ED"/>
    <w:rsid w:val="00202F19"/>
    <w:rsid w:val="00203F04"/>
    <w:rsid w:val="0020446C"/>
    <w:rsid w:val="002054FD"/>
    <w:rsid w:val="00205C5F"/>
    <w:rsid w:val="00205D19"/>
    <w:rsid w:val="0020628A"/>
    <w:rsid w:val="00206775"/>
    <w:rsid w:val="00206E55"/>
    <w:rsid w:val="0020768B"/>
    <w:rsid w:val="00207CD3"/>
    <w:rsid w:val="0021042D"/>
    <w:rsid w:val="0021050D"/>
    <w:rsid w:val="00210CF3"/>
    <w:rsid w:val="00211012"/>
    <w:rsid w:val="00211119"/>
    <w:rsid w:val="002113F0"/>
    <w:rsid w:val="00211DE1"/>
    <w:rsid w:val="00211EB1"/>
    <w:rsid w:val="00212796"/>
    <w:rsid w:val="00212AAD"/>
    <w:rsid w:val="002130CF"/>
    <w:rsid w:val="002137B3"/>
    <w:rsid w:val="00213F70"/>
    <w:rsid w:val="0021405B"/>
    <w:rsid w:val="002142E6"/>
    <w:rsid w:val="00214EDC"/>
    <w:rsid w:val="002153BE"/>
    <w:rsid w:val="00215C17"/>
    <w:rsid w:val="002161EB"/>
    <w:rsid w:val="002162E7"/>
    <w:rsid w:val="0021635B"/>
    <w:rsid w:val="00216884"/>
    <w:rsid w:val="00216ACF"/>
    <w:rsid w:val="00216D2D"/>
    <w:rsid w:val="00217136"/>
    <w:rsid w:val="002177F6"/>
    <w:rsid w:val="00217924"/>
    <w:rsid w:val="00217B4B"/>
    <w:rsid w:val="00217E95"/>
    <w:rsid w:val="00217EB5"/>
    <w:rsid w:val="002200BB"/>
    <w:rsid w:val="002203FE"/>
    <w:rsid w:val="0022044B"/>
    <w:rsid w:val="00220666"/>
    <w:rsid w:val="002208DA"/>
    <w:rsid w:val="00220C4E"/>
    <w:rsid w:val="002211CB"/>
    <w:rsid w:val="00221B2E"/>
    <w:rsid w:val="00221CC5"/>
    <w:rsid w:val="002227B8"/>
    <w:rsid w:val="002227C5"/>
    <w:rsid w:val="00222A48"/>
    <w:rsid w:val="00223475"/>
    <w:rsid w:val="002236A3"/>
    <w:rsid w:val="00223AC8"/>
    <w:rsid w:val="00223B55"/>
    <w:rsid w:val="00223DA2"/>
    <w:rsid w:val="002240C1"/>
    <w:rsid w:val="00224DD4"/>
    <w:rsid w:val="002250B6"/>
    <w:rsid w:val="002250D3"/>
    <w:rsid w:val="00225126"/>
    <w:rsid w:val="002254AC"/>
    <w:rsid w:val="002255EA"/>
    <w:rsid w:val="00225E1A"/>
    <w:rsid w:val="00226015"/>
    <w:rsid w:val="002261D6"/>
    <w:rsid w:val="002264EA"/>
    <w:rsid w:val="002266F7"/>
    <w:rsid w:val="00226A1C"/>
    <w:rsid w:val="00226C8B"/>
    <w:rsid w:val="00226EA8"/>
    <w:rsid w:val="00227226"/>
    <w:rsid w:val="00227E3D"/>
    <w:rsid w:val="00227F93"/>
    <w:rsid w:val="002302CC"/>
    <w:rsid w:val="002303DB"/>
    <w:rsid w:val="00230998"/>
    <w:rsid w:val="00230E44"/>
    <w:rsid w:val="002312C2"/>
    <w:rsid w:val="002314B2"/>
    <w:rsid w:val="00231AF5"/>
    <w:rsid w:val="002320A9"/>
    <w:rsid w:val="00232281"/>
    <w:rsid w:val="002324BF"/>
    <w:rsid w:val="00232BAF"/>
    <w:rsid w:val="00232F60"/>
    <w:rsid w:val="002336D9"/>
    <w:rsid w:val="00233C16"/>
    <w:rsid w:val="00233CA0"/>
    <w:rsid w:val="002340CF"/>
    <w:rsid w:val="00234ADB"/>
    <w:rsid w:val="0023506A"/>
    <w:rsid w:val="002352E0"/>
    <w:rsid w:val="002365BB"/>
    <w:rsid w:val="002368E3"/>
    <w:rsid w:val="002371C0"/>
    <w:rsid w:val="00237CC1"/>
    <w:rsid w:val="00237E36"/>
    <w:rsid w:val="00240261"/>
    <w:rsid w:val="002403A3"/>
    <w:rsid w:val="002405E6"/>
    <w:rsid w:val="002409A2"/>
    <w:rsid w:val="00240ABB"/>
    <w:rsid w:val="00240B64"/>
    <w:rsid w:val="00240C8E"/>
    <w:rsid w:val="00240D41"/>
    <w:rsid w:val="0024102A"/>
    <w:rsid w:val="002410DB"/>
    <w:rsid w:val="00241991"/>
    <w:rsid w:val="00241A10"/>
    <w:rsid w:val="00241AE0"/>
    <w:rsid w:val="00241C17"/>
    <w:rsid w:val="00241F38"/>
    <w:rsid w:val="002421C6"/>
    <w:rsid w:val="002424BF"/>
    <w:rsid w:val="002439E2"/>
    <w:rsid w:val="00243C14"/>
    <w:rsid w:val="00243F46"/>
    <w:rsid w:val="00243F4D"/>
    <w:rsid w:val="00243FC3"/>
    <w:rsid w:val="002446DA"/>
    <w:rsid w:val="00244EF8"/>
    <w:rsid w:val="00245056"/>
    <w:rsid w:val="0024545E"/>
    <w:rsid w:val="00245EB3"/>
    <w:rsid w:val="00245ED0"/>
    <w:rsid w:val="00245FE5"/>
    <w:rsid w:val="00246B39"/>
    <w:rsid w:val="00246CF1"/>
    <w:rsid w:val="00247F45"/>
    <w:rsid w:val="00250628"/>
    <w:rsid w:val="002506D9"/>
    <w:rsid w:val="00250AD5"/>
    <w:rsid w:val="00250CE0"/>
    <w:rsid w:val="00250E8A"/>
    <w:rsid w:val="00251078"/>
    <w:rsid w:val="002511DA"/>
    <w:rsid w:val="002512FD"/>
    <w:rsid w:val="0025139E"/>
    <w:rsid w:val="002518F7"/>
    <w:rsid w:val="00251C87"/>
    <w:rsid w:val="00251DF2"/>
    <w:rsid w:val="00251E6A"/>
    <w:rsid w:val="00252274"/>
    <w:rsid w:val="00252EAE"/>
    <w:rsid w:val="00253296"/>
    <w:rsid w:val="0025370C"/>
    <w:rsid w:val="00253832"/>
    <w:rsid w:val="00253881"/>
    <w:rsid w:val="00253987"/>
    <w:rsid w:val="00253E3D"/>
    <w:rsid w:val="002548D4"/>
    <w:rsid w:val="00254A07"/>
    <w:rsid w:val="00254AF4"/>
    <w:rsid w:val="00254BEB"/>
    <w:rsid w:val="00254ED9"/>
    <w:rsid w:val="00255676"/>
    <w:rsid w:val="0025570A"/>
    <w:rsid w:val="002558FE"/>
    <w:rsid w:val="002559CA"/>
    <w:rsid w:val="002559F6"/>
    <w:rsid w:val="00255F39"/>
    <w:rsid w:val="00256197"/>
    <w:rsid w:val="00256439"/>
    <w:rsid w:val="002564A5"/>
    <w:rsid w:val="00256BC2"/>
    <w:rsid w:val="00256FEE"/>
    <w:rsid w:val="0025710A"/>
    <w:rsid w:val="00257AEE"/>
    <w:rsid w:val="00260472"/>
    <w:rsid w:val="00260CB5"/>
    <w:rsid w:val="002610A1"/>
    <w:rsid w:val="0026115D"/>
    <w:rsid w:val="0026133B"/>
    <w:rsid w:val="00261A4B"/>
    <w:rsid w:val="00261D63"/>
    <w:rsid w:val="00261DBF"/>
    <w:rsid w:val="0026234F"/>
    <w:rsid w:val="002626DD"/>
    <w:rsid w:val="00262E9D"/>
    <w:rsid w:val="00263118"/>
    <w:rsid w:val="00263429"/>
    <w:rsid w:val="00263877"/>
    <w:rsid w:val="00263B08"/>
    <w:rsid w:val="00263B54"/>
    <w:rsid w:val="002646E7"/>
    <w:rsid w:val="00264924"/>
    <w:rsid w:val="00264935"/>
    <w:rsid w:val="00264A8A"/>
    <w:rsid w:val="00264F91"/>
    <w:rsid w:val="00265003"/>
    <w:rsid w:val="0026509C"/>
    <w:rsid w:val="00265174"/>
    <w:rsid w:val="00265481"/>
    <w:rsid w:val="00265780"/>
    <w:rsid w:val="002658DE"/>
    <w:rsid w:val="00265EB3"/>
    <w:rsid w:val="00266299"/>
    <w:rsid w:val="00266484"/>
    <w:rsid w:val="0026683B"/>
    <w:rsid w:val="00266AFC"/>
    <w:rsid w:val="00266EB0"/>
    <w:rsid w:val="00266FB4"/>
    <w:rsid w:val="002673DC"/>
    <w:rsid w:val="00267549"/>
    <w:rsid w:val="002679FB"/>
    <w:rsid w:val="00267B4E"/>
    <w:rsid w:val="00267FD6"/>
    <w:rsid w:val="00270563"/>
    <w:rsid w:val="00270917"/>
    <w:rsid w:val="00270B31"/>
    <w:rsid w:val="00270F02"/>
    <w:rsid w:val="0027134F"/>
    <w:rsid w:val="00271A7D"/>
    <w:rsid w:val="00271CD7"/>
    <w:rsid w:val="0027268B"/>
    <w:rsid w:val="00272A54"/>
    <w:rsid w:val="00272E76"/>
    <w:rsid w:val="0027303B"/>
    <w:rsid w:val="002732C3"/>
    <w:rsid w:val="00273C6F"/>
    <w:rsid w:val="00274EA9"/>
    <w:rsid w:val="00274EC1"/>
    <w:rsid w:val="0027562E"/>
    <w:rsid w:val="00275BF1"/>
    <w:rsid w:val="00277112"/>
    <w:rsid w:val="002773E3"/>
    <w:rsid w:val="00277496"/>
    <w:rsid w:val="002778D7"/>
    <w:rsid w:val="00277ADF"/>
    <w:rsid w:val="00277F95"/>
    <w:rsid w:val="00280C30"/>
    <w:rsid w:val="00280DE2"/>
    <w:rsid w:val="00281853"/>
    <w:rsid w:val="00281A08"/>
    <w:rsid w:val="00281A17"/>
    <w:rsid w:val="00281CED"/>
    <w:rsid w:val="00282321"/>
    <w:rsid w:val="00282825"/>
    <w:rsid w:val="00282BB7"/>
    <w:rsid w:val="002839CC"/>
    <w:rsid w:val="00283C73"/>
    <w:rsid w:val="00283DB1"/>
    <w:rsid w:val="00283F9F"/>
    <w:rsid w:val="00284667"/>
    <w:rsid w:val="00284B50"/>
    <w:rsid w:val="00284CFE"/>
    <w:rsid w:val="00285C79"/>
    <w:rsid w:val="00285D8B"/>
    <w:rsid w:val="00285DAC"/>
    <w:rsid w:val="00285E05"/>
    <w:rsid w:val="00286147"/>
    <w:rsid w:val="0028665F"/>
    <w:rsid w:val="00286B16"/>
    <w:rsid w:val="00286B98"/>
    <w:rsid w:val="00286BFD"/>
    <w:rsid w:val="00286E15"/>
    <w:rsid w:val="00286EAA"/>
    <w:rsid w:val="00286FD3"/>
    <w:rsid w:val="0028777A"/>
    <w:rsid w:val="00290085"/>
    <w:rsid w:val="00290268"/>
    <w:rsid w:val="002907DB"/>
    <w:rsid w:val="00290C6B"/>
    <w:rsid w:val="00291404"/>
    <w:rsid w:val="002915C3"/>
    <w:rsid w:val="002917AA"/>
    <w:rsid w:val="00291DE9"/>
    <w:rsid w:val="0029209D"/>
    <w:rsid w:val="00292532"/>
    <w:rsid w:val="002926C2"/>
    <w:rsid w:val="0029272A"/>
    <w:rsid w:val="00292B2E"/>
    <w:rsid w:val="00292BF9"/>
    <w:rsid w:val="00293330"/>
    <w:rsid w:val="00293768"/>
    <w:rsid w:val="002938EE"/>
    <w:rsid w:val="00293994"/>
    <w:rsid w:val="002939F0"/>
    <w:rsid w:val="00293B45"/>
    <w:rsid w:val="0029441F"/>
    <w:rsid w:val="00294747"/>
    <w:rsid w:val="002948A4"/>
    <w:rsid w:val="002949BE"/>
    <w:rsid w:val="002949C2"/>
    <w:rsid w:val="00294B0E"/>
    <w:rsid w:val="002950B8"/>
    <w:rsid w:val="00295463"/>
    <w:rsid w:val="00295C24"/>
    <w:rsid w:val="00295DD9"/>
    <w:rsid w:val="002961D7"/>
    <w:rsid w:val="0029698B"/>
    <w:rsid w:val="002969E3"/>
    <w:rsid w:val="00296D95"/>
    <w:rsid w:val="00296E67"/>
    <w:rsid w:val="00297115"/>
    <w:rsid w:val="002973DF"/>
    <w:rsid w:val="002973E6"/>
    <w:rsid w:val="002975E4"/>
    <w:rsid w:val="0029763D"/>
    <w:rsid w:val="0029788D"/>
    <w:rsid w:val="00297937"/>
    <w:rsid w:val="00297BAA"/>
    <w:rsid w:val="00297C3A"/>
    <w:rsid w:val="002A0289"/>
    <w:rsid w:val="002A07E8"/>
    <w:rsid w:val="002A092E"/>
    <w:rsid w:val="002A0ADF"/>
    <w:rsid w:val="002A1116"/>
    <w:rsid w:val="002A177D"/>
    <w:rsid w:val="002A1B62"/>
    <w:rsid w:val="002A2008"/>
    <w:rsid w:val="002A20DF"/>
    <w:rsid w:val="002A2C7C"/>
    <w:rsid w:val="002A2C8E"/>
    <w:rsid w:val="002A2D3F"/>
    <w:rsid w:val="002A307B"/>
    <w:rsid w:val="002A32C4"/>
    <w:rsid w:val="002A3485"/>
    <w:rsid w:val="002A3611"/>
    <w:rsid w:val="002A3692"/>
    <w:rsid w:val="002A3BB2"/>
    <w:rsid w:val="002A4274"/>
    <w:rsid w:val="002A4ED1"/>
    <w:rsid w:val="002A5068"/>
    <w:rsid w:val="002A50AF"/>
    <w:rsid w:val="002A5CAE"/>
    <w:rsid w:val="002A5E50"/>
    <w:rsid w:val="002A629C"/>
    <w:rsid w:val="002A67CF"/>
    <w:rsid w:val="002A6D00"/>
    <w:rsid w:val="002A6EA2"/>
    <w:rsid w:val="002A6F24"/>
    <w:rsid w:val="002A7852"/>
    <w:rsid w:val="002B0CE3"/>
    <w:rsid w:val="002B1493"/>
    <w:rsid w:val="002B1E06"/>
    <w:rsid w:val="002B2131"/>
    <w:rsid w:val="002B28F6"/>
    <w:rsid w:val="002B2C79"/>
    <w:rsid w:val="002B3018"/>
    <w:rsid w:val="002B328D"/>
    <w:rsid w:val="002B35BB"/>
    <w:rsid w:val="002B380E"/>
    <w:rsid w:val="002B4E4F"/>
    <w:rsid w:val="002B4F8B"/>
    <w:rsid w:val="002B51B7"/>
    <w:rsid w:val="002B5224"/>
    <w:rsid w:val="002B5613"/>
    <w:rsid w:val="002B570E"/>
    <w:rsid w:val="002B5840"/>
    <w:rsid w:val="002B5D83"/>
    <w:rsid w:val="002B6F40"/>
    <w:rsid w:val="002B72B4"/>
    <w:rsid w:val="002B75B9"/>
    <w:rsid w:val="002B7672"/>
    <w:rsid w:val="002B7A64"/>
    <w:rsid w:val="002C00E9"/>
    <w:rsid w:val="002C0160"/>
    <w:rsid w:val="002C0739"/>
    <w:rsid w:val="002C0784"/>
    <w:rsid w:val="002C0891"/>
    <w:rsid w:val="002C0B5D"/>
    <w:rsid w:val="002C138F"/>
    <w:rsid w:val="002C15E9"/>
    <w:rsid w:val="002C1DFB"/>
    <w:rsid w:val="002C2857"/>
    <w:rsid w:val="002C2B6F"/>
    <w:rsid w:val="002C3670"/>
    <w:rsid w:val="002C387A"/>
    <w:rsid w:val="002C38AF"/>
    <w:rsid w:val="002C3A7B"/>
    <w:rsid w:val="002C3A80"/>
    <w:rsid w:val="002C3ED5"/>
    <w:rsid w:val="002C43B3"/>
    <w:rsid w:val="002C4FEE"/>
    <w:rsid w:val="002C5618"/>
    <w:rsid w:val="002C5E36"/>
    <w:rsid w:val="002C6490"/>
    <w:rsid w:val="002C64AC"/>
    <w:rsid w:val="002C64BF"/>
    <w:rsid w:val="002C6969"/>
    <w:rsid w:val="002C6A6B"/>
    <w:rsid w:val="002C6F29"/>
    <w:rsid w:val="002C72CB"/>
    <w:rsid w:val="002C73CA"/>
    <w:rsid w:val="002C764F"/>
    <w:rsid w:val="002C770F"/>
    <w:rsid w:val="002C7888"/>
    <w:rsid w:val="002C79B4"/>
    <w:rsid w:val="002D02AE"/>
    <w:rsid w:val="002D0351"/>
    <w:rsid w:val="002D0577"/>
    <w:rsid w:val="002D0979"/>
    <w:rsid w:val="002D112D"/>
    <w:rsid w:val="002D174F"/>
    <w:rsid w:val="002D1B69"/>
    <w:rsid w:val="002D1BA1"/>
    <w:rsid w:val="002D2392"/>
    <w:rsid w:val="002D25B1"/>
    <w:rsid w:val="002D2A35"/>
    <w:rsid w:val="002D2BCE"/>
    <w:rsid w:val="002D3247"/>
    <w:rsid w:val="002D33F4"/>
    <w:rsid w:val="002D3965"/>
    <w:rsid w:val="002D3B5C"/>
    <w:rsid w:val="002D3F7E"/>
    <w:rsid w:val="002D4075"/>
    <w:rsid w:val="002D46B9"/>
    <w:rsid w:val="002D495C"/>
    <w:rsid w:val="002D5584"/>
    <w:rsid w:val="002D587D"/>
    <w:rsid w:val="002D6B02"/>
    <w:rsid w:val="002D6D2D"/>
    <w:rsid w:val="002D6D4A"/>
    <w:rsid w:val="002D6E7C"/>
    <w:rsid w:val="002D6FA7"/>
    <w:rsid w:val="002D7068"/>
    <w:rsid w:val="002D70C7"/>
    <w:rsid w:val="002D770C"/>
    <w:rsid w:val="002D7B7D"/>
    <w:rsid w:val="002E066E"/>
    <w:rsid w:val="002E074C"/>
    <w:rsid w:val="002E0BA9"/>
    <w:rsid w:val="002E0EF7"/>
    <w:rsid w:val="002E1007"/>
    <w:rsid w:val="002E150F"/>
    <w:rsid w:val="002E1B9E"/>
    <w:rsid w:val="002E1BAD"/>
    <w:rsid w:val="002E1F82"/>
    <w:rsid w:val="002E2314"/>
    <w:rsid w:val="002E2669"/>
    <w:rsid w:val="002E2866"/>
    <w:rsid w:val="002E30E5"/>
    <w:rsid w:val="002E343E"/>
    <w:rsid w:val="002E358D"/>
    <w:rsid w:val="002E3611"/>
    <w:rsid w:val="002E36F1"/>
    <w:rsid w:val="002E38F9"/>
    <w:rsid w:val="002E4192"/>
    <w:rsid w:val="002E4990"/>
    <w:rsid w:val="002E4997"/>
    <w:rsid w:val="002E5341"/>
    <w:rsid w:val="002E598B"/>
    <w:rsid w:val="002E5F61"/>
    <w:rsid w:val="002E6774"/>
    <w:rsid w:val="002E6B66"/>
    <w:rsid w:val="002E6DF5"/>
    <w:rsid w:val="002E6F07"/>
    <w:rsid w:val="002E7270"/>
    <w:rsid w:val="002E72C9"/>
    <w:rsid w:val="002E7A50"/>
    <w:rsid w:val="002E7B06"/>
    <w:rsid w:val="002E7DE7"/>
    <w:rsid w:val="002E7E3B"/>
    <w:rsid w:val="002F02CB"/>
    <w:rsid w:val="002F0669"/>
    <w:rsid w:val="002F0970"/>
    <w:rsid w:val="002F1287"/>
    <w:rsid w:val="002F1410"/>
    <w:rsid w:val="002F1452"/>
    <w:rsid w:val="002F16F3"/>
    <w:rsid w:val="002F1A9A"/>
    <w:rsid w:val="002F1BB2"/>
    <w:rsid w:val="002F1E6C"/>
    <w:rsid w:val="002F1FDC"/>
    <w:rsid w:val="002F26B6"/>
    <w:rsid w:val="002F2AE0"/>
    <w:rsid w:val="002F2FB0"/>
    <w:rsid w:val="002F3304"/>
    <w:rsid w:val="002F33C3"/>
    <w:rsid w:val="002F34B8"/>
    <w:rsid w:val="002F3769"/>
    <w:rsid w:val="002F3971"/>
    <w:rsid w:val="002F3A2D"/>
    <w:rsid w:val="002F492C"/>
    <w:rsid w:val="002F4937"/>
    <w:rsid w:val="002F5DDA"/>
    <w:rsid w:val="002F6081"/>
    <w:rsid w:val="002F6DA4"/>
    <w:rsid w:val="002F6E7C"/>
    <w:rsid w:val="002F707B"/>
    <w:rsid w:val="002F7365"/>
    <w:rsid w:val="002F78E6"/>
    <w:rsid w:val="002F7B10"/>
    <w:rsid w:val="002F7BD1"/>
    <w:rsid w:val="003001E4"/>
    <w:rsid w:val="00300224"/>
    <w:rsid w:val="00300695"/>
    <w:rsid w:val="00300BF9"/>
    <w:rsid w:val="003010E2"/>
    <w:rsid w:val="00301101"/>
    <w:rsid w:val="003012CC"/>
    <w:rsid w:val="00301403"/>
    <w:rsid w:val="0030182C"/>
    <w:rsid w:val="00301B87"/>
    <w:rsid w:val="00302797"/>
    <w:rsid w:val="003029D0"/>
    <w:rsid w:val="00303080"/>
    <w:rsid w:val="00303107"/>
    <w:rsid w:val="00303275"/>
    <w:rsid w:val="00303534"/>
    <w:rsid w:val="0030377C"/>
    <w:rsid w:val="00303BF2"/>
    <w:rsid w:val="003044B1"/>
    <w:rsid w:val="003044D3"/>
    <w:rsid w:val="0030512A"/>
    <w:rsid w:val="003051A5"/>
    <w:rsid w:val="0030538D"/>
    <w:rsid w:val="00305576"/>
    <w:rsid w:val="00305861"/>
    <w:rsid w:val="00305A28"/>
    <w:rsid w:val="00305A76"/>
    <w:rsid w:val="00305DB6"/>
    <w:rsid w:val="003069BB"/>
    <w:rsid w:val="0030731C"/>
    <w:rsid w:val="00307CC9"/>
    <w:rsid w:val="00307D0D"/>
    <w:rsid w:val="00310122"/>
    <w:rsid w:val="00310B4B"/>
    <w:rsid w:val="00310BC5"/>
    <w:rsid w:val="003112E9"/>
    <w:rsid w:val="00311352"/>
    <w:rsid w:val="003116C6"/>
    <w:rsid w:val="00311B23"/>
    <w:rsid w:val="00311DC5"/>
    <w:rsid w:val="00311DEC"/>
    <w:rsid w:val="00312278"/>
    <w:rsid w:val="003127D4"/>
    <w:rsid w:val="003128CF"/>
    <w:rsid w:val="00312CA1"/>
    <w:rsid w:val="00313431"/>
    <w:rsid w:val="00313585"/>
    <w:rsid w:val="00313993"/>
    <w:rsid w:val="00313DE0"/>
    <w:rsid w:val="00313DE2"/>
    <w:rsid w:val="003141A4"/>
    <w:rsid w:val="003142FE"/>
    <w:rsid w:val="0031430E"/>
    <w:rsid w:val="00314611"/>
    <w:rsid w:val="00314657"/>
    <w:rsid w:val="00314EAA"/>
    <w:rsid w:val="00315006"/>
    <w:rsid w:val="00315478"/>
    <w:rsid w:val="00315A24"/>
    <w:rsid w:val="00315A31"/>
    <w:rsid w:val="00315B88"/>
    <w:rsid w:val="00315CD6"/>
    <w:rsid w:val="00315F07"/>
    <w:rsid w:val="0031708B"/>
    <w:rsid w:val="0031724B"/>
    <w:rsid w:val="00317A5B"/>
    <w:rsid w:val="00317E88"/>
    <w:rsid w:val="00317E91"/>
    <w:rsid w:val="00317F6A"/>
    <w:rsid w:val="003200BC"/>
    <w:rsid w:val="00320856"/>
    <w:rsid w:val="00320C22"/>
    <w:rsid w:val="00320E12"/>
    <w:rsid w:val="003210D7"/>
    <w:rsid w:val="0032165C"/>
    <w:rsid w:val="00321774"/>
    <w:rsid w:val="00321AF9"/>
    <w:rsid w:val="00321E97"/>
    <w:rsid w:val="00322C82"/>
    <w:rsid w:val="00322CC7"/>
    <w:rsid w:val="00322D9F"/>
    <w:rsid w:val="00323706"/>
    <w:rsid w:val="00324384"/>
    <w:rsid w:val="00324842"/>
    <w:rsid w:val="00324ACA"/>
    <w:rsid w:val="00324C88"/>
    <w:rsid w:val="00325476"/>
    <w:rsid w:val="0032547F"/>
    <w:rsid w:val="00325591"/>
    <w:rsid w:val="00325763"/>
    <w:rsid w:val="0032592A"/>
    <w:rsid w:val="00325C81"/>
    <w:rsid w:val="00325F69"/>
    <w:rsid w:val="00326612"/>
    <w:rsid w:val="0032676E"/>
    <w:rsid w:val="003269CD"/>
    <w:rsid w:val="00326BDE"/>
    <w:rsid w:val="00327350"/>
    <w:rsid w:val="00327843"/>
    <w:rsid w:val="00327D16"/>
    <w:rsid w:val="00330353"/>
    <w:rsid w:val="00330BFC"/>
    <w:rsid w:val="00330CCD"/>
    <w:rsid w:val="00330EA0"/>
    <w:rsid w:val="00330F28"/>
    <w:rsid w:val="00331E7E"/>
    <w:rsid w:val="003321F1"/>
    <w:rsid w:val="00332221"/>
    <w:rsid w:val="0033264E"/>
    <w:rsid w:val="003327BE"/>
    <w:rsid w:val="0033289D"/>
    <w:rsid w:val="00332A6A"/>
    <w:rsid w:val="00332D35"/>
    <w:rsid w:val="00332EAF"/>
    <w:rsid w:val="0033335B"/>
    <w:rsid w:val="00333AA2"/>
    <w:rsid w:val="00333FA3"/>
    <w:rsid w:val="0033473D"/>
    <w:rsid w:val="0033482C"/>
    <w:rsid w:val="00334C7B"/>
    <w:rsid w:val="00334FDA"/>
    <w:rsid w:val="0033501A"/>
    <w:rsid w:val="0033519D"/>
    <w:rsid w:val="0033556D"/>
    <w:rsid w:val="00335582"/>
    <w:rsid w:val="00335A8E"/>
    <w:rsid w:val="00335B06"/>
    <w:rsid w:val="00335E53"/>
    <w:rsid w:val="003368E8"/>
    <w:rsid w:val="00336A3D"/>
    <w:rsid w:val="00336AC0"/>
    <w:rsid w:val="00337042"/>
    <w:rsid w:val="003375A9"/>
    <w:rsid w:val="00337BFB"/>
    <w:rsid w:val="0034005B"/>
    <w:rsid w:val="003403E4"/>
    <w:rsid w:val="003406AF"/>
    <w:rsid w:val="00340702"/>
    <w:rsid w:val="0034113B"/>
    <w:rsid w:val="003412E7"/>
    <w:rsid w:val="00341679"/>
    <w:rsid w:val="00341778"/>
    <w:rsid w:val="003417A9"/>
    <w:rsid w:val="003418EB"/>
    <w:rsid w:val="00341AEC"/>
    <w:rsid w:val="00341B9B"/>
    <w:rsid w:val="00341BB5"/>
    <w:rsid w:val="00341D3B"/>
    <w:rsid w:val="0034210D"/>
    <w:rsid w:val="00342267"/>
    <w:rsid w:val="00342656"/>
    <w:rsid w:val="00342ABF"/>
    <w:rsid w:val="003434CB"/>
    <w:rsid w:val="00343E7E"/>
    <w:rsid w:val="00343EB2"/>
    <w:rsid w:val="003442D1"/>
    <w:rsid w:val="003443BE"/>
    <w:rsid w:val="00344681"/>
    <w:rsid w:val="00345270"/>
    <w:rsid w:val="003453DB"/>
    <w:rsid w:val="00345406"/>
    <w:rsid w:val="00346154"/>
    <w:rsid w:val="003462F4"/>
    <w:rsid w:val="003467DC"/>
    <w:rsid w:val="00346B73"/>
    <w:rsid w:val="00347416"/>
    <w:rsid w:val="00347BD2"/>
    <w:rsid w:val="00350088"/>
    <w:rsid w:val="00350370"/>
    <w:rsid w:val="003505EB"/>
    <w:rsid w:val="003509F4"/>
    <w:rsid w:val="00351A3E"/>
    <w:rsid w:val="00351AB0"/>
    <w:rsid w:val="00351D42"/>
    <w:rsid w:val="003524B3"/>
    <w:rsid w:val="00352D2B"/>
    <w:rsid w:val="0035313B"/>
    <w:rsid w:val="003531FE"/>
    <w:rsid w:val="003533B1"/>
    <w:rsid w:val="00353778"/>
    <w:rsid w:val="00353C30"/>
    <w:rsid w:val="00354420"/>
    <w:rsid w:val="00354955"/>
    <w:rsid w:val="00354C2F"/>
    <w:rsid w:val="003554DD"/>
    <w:rsid w:val="00355961"/>
    <w:rsid w:val="0035610A"/>
    <w:rsid w:val="0035624A"/>
    <w:rsid w:val="003562F1"/>
    <w:rsid w:val="003564B6"/>
    <w:rsid w:val="00356585"/>
    <w:rsid w:val="003566F9"/>
    <w:rsid w:val="00356AEF"/>
    <w:rsid w:val="00356D6F"/>
    <w:rsid w:val="00356D7E"/>
    <w:rsid w:val="00356F1A"/>
    <w:rsid w:val="003573B6"/>
    <w:rsid w:val="0035783B"/>
    <w:rsid w:val="00357F9C"/>
    <w:rsid w:val="0036023B"/>
    <w:rsid w:val="0036039A"/>
    <w:rsid w:val="00360AEE"/>
    <w:rsid w:val="00360D52"/>
    <w:rsid w:val="00360EF9"/>
    <w:rsid w:val="00360FE1"/>
    <w:rsid w:val="003610FF"/>
    <w:rsid w:val="00361380"/>
    <w:rsid w:val="003617E8"/>
    <w:rsid w:val="00362732"/>
    <w:rsid w:val="00362CBA"/>
    <w:rsid w:val="003635C7"/>
    <w:rsid w:val="003635E1"/>
    <w:rsid w:val="003646BA"/>
    <w:rsid w:val="00364B70"/>
    <w:rsid w:val="00364E6A"/>
    <w:rsid w:val="00365260"/>
    <w:rsid w:val="003656A0"/>
    <w:rsid w:val="00365902"/>
    <w:rsid w:val="0036624B"/>
    <w:rsid w:val="00366784"/>
    <w:rsid w:val="003670F8"/>
    <w:rsid w:val="00367367"/>
    <w:rsid w:val="0036758A"/>
    <w:rsid w:val="003679BE"/>
    <w:rsid w:val="00367FD3"/>
    <w:rsid w:val="00370135"/>
    <w:rsid w:val="003703BC"/>
    <w:rsid w:val="00370CF6"/>
    <w:rsid w:val="00371E09"/>
    <w:rsid w:val="00371FB8"/>
    <w:rsid w:val="003727ED"/>
    <w:rsid w:val="00372CA3"/>
    <w:rsid w:val="00372D6E"/>
    <w:rsid w:val="003732AE"/>
    <w:rsid w:val="00373EF3"/>
    <w:rsid w:val="0037433E"/>
    <w:rsid w:val="0037461C"/>
    <w:rsid w:val="00374CEF"/>
    <w:rsid w:val="00375016"/>
    <w:rsid w:val="00375487"/>
    <w:rsid w:val="00375589"/>
    <w:rsid w:val="0037559F"/>
    <w:rsid w:val="003755EA"/>
    <w:rsid w:val="00375E8F"/>
    <w:rsid w:val="003761B0"/>
    <w:rsid w:val="00376A06"/>
    <w:rsid w:val="00376E10"/>
    <w:rsid w:val="00377542"/>
    <w:rsid w:val="00377712"/>
    <w:rsid w:val="00377BA6"/>
    <w:rsid w:val="00377EA6"/>
    <w:rsid w:val="003808ED"/>
    <w:rsid w:val="00380D8F"/>
    <w:rsid w:val="0038135D"/>
    <w:rsid w:val="00381E1B"/>
    <w:rsid w:val="00381F94"/>
    <w:rsid w:val="003821A5"/>
    <w:rsid w:val="003827F4"/>
    <w:rsid w:val="003829B4"/>
    <w:rsid w:val="00383036"/>
    <w:rsid w:val="003831E4"/>
    <w:rsid w:val="003832A4"/>
    <w:rsid w:val="0038357C"/>
    <w:rsid w:val="0038465A"/>
    <w:rsid w:val="003849E2"/>
    <w:rsid w:val="00384B39"/>
    <w:rsid w:val="00385017"/>
    <w:rsid w:val="0038511A"/>
    <w:rsid w:val="003861EC"/>
    <w:rsid w:val="00386C55"/>
    <w:rsid w:val="00386EEB"/>
    <w:rsid w:val="0038719D"/>
    <w:rsid w:val="00387EC5"/>
    <w:rsid w:val="00387F2B"/>
    <w:rsid w:val="0039045A"/>
    <w:rsid w:val="003905AF"/>
    <w:rsid w:val="00390636"/>
    <w:rsid w:val="003907BE"/>
    <w:rsid w:val="003909EA"/>
    <w:rsid w:val="00391020"/>
    <w:rsid w:val="003919B0"/>
    <w:rsid w:val="00391D56"/>
    <w:rsid w:val="00391DA3"/>
    <w:rsid w:val="00392295"/>
    <w:rsid w:val="003923A4"/>
    <w:rsid w:val="00392DD2"/>
    <w:rsid w:val="00392E24"/>
    <w:rsid w:val="00393012"/>
    <w:rsid w:val="003933AD"/>
    <w:rsid w:val="00393541"/>
    <w:rsid w:val="00393B18"/>
    <w:rsid w:val="00393E01"/>
    <w:rsid w:val="00393F0A"/>
    <w:rsid w:val="003940CE"/>
    <w:rsid w:val="00394109"/>
    <w:rsid w:val="00394573"/>
    <w:rsid w:val="00394607"/>
    <w:rsid w:val="00394996"/>
    <w:rsid w:val="00394BCB"/>
    <w:rsid w:val="00394C0A"/>
    <w:rsid w:val="00394C5E"/>
    <w:rsid w:val="00395157"/>
    <w:rsid w:val="00395210"/>
    <w:rsid w:val="003954F2"/>
    <w:rsid w:val="00395A09"/>
    <w:rsid w:val="00396991"/>
    <w:rsid w:val="003976CB"/>
    <w:rsid w:val="003977BD"/>
    <w:rsid w:val="003A0886"/>
    <w:rsid w:val="003A0AF5"/>
    <w:rsid w:val="003A0AFA"/>
    <w:rsid w:val="003A0D65"/>
    <w:rsid w:val="003A10DC"/>
    <w:rsid w:val="003A17BF"/>
    <w:rsid w:val="003A1E08"/>
    <w:rsid w:val="003A1F3B"/>
    <w:rsid w:val="003A215E"/>
    <w:rsid w:val="003A281C"/>
    <w:rsid w:val="003A2F11"/>
    <w:rsid w:val="003A310A"/>
    <w:rsid w:val="003A347A"/>
    <w:rsid w:val="003A36C4"/>
    <w:rsid w:val="003A3B75"/>
    <w:rsid w:val="003A3E0C"/>
    <w:rsid w:val="003A45D2"/>
    <w:rsid w:val="003A4CE0"/>
    <w:rsid w:val="003A4D1D"/>
    <w:rsid w:val="003A4ED3"/>
    <w:rsid w:val="003A4F32"/>
    <w:rsid w:val="003A50C7"/>
    <w:rsid w:val="003A5200"/>
    <w:rsid w:val="003A53FE"/>
    <w:rsid w:val="003A5687"/>
    <w:rsid w:val="003A5848"/>
    <w:rsid w:val="003A5944"/>
    <w:rsid w:val="003A5BF8"/>
    <w:rsid w:val="003A5D16"/>
    <w:rsid w:val="003A62E3"/>
    <w:rsid w:val="003A636F"/>
    <w:rsid w:val="003A66FC"/>
    <w:rsid w:val="003A674E"/>
    <w:rsid w:val="003A69CF"/>
    <w:rsid w:val="003A6B7F"/>
    <w:rsid w:val="003A714B"/>
    <w:rsid w:val="003A74D3"/>
    <w:rsid w:val="003B021A"/>
    <w:rsid w:val="003B027F"/>
    <w:rsid w:val="003B039E"/>
    <w:rsid w:val="003B162D"/>
    <w:rsid w:val="003B2C59"/>
    <w:rsid w:val="003B2D34"/>
    <w:rsid w:val="003B30A7"/>
    <w:rsid w:val="003B350C"/>
    <w:rsid w:val="003B36A1"/>
    <w:rsid w:val="003B36E1"/>
    <w:rsid w:val="003B3732"/>
    <w:rsid w:val="003B4777"/>
    <w:rsid w:val="003B4D10"/>
    <w:rsid w:val="003B4E64"/>
    <w:rsid w:val="003B54F6"/>
    <w:rsid w:val="003B5883"/>
    <w:rsid w:val="003B5DAD"/>
    <w:rsid w:val="003B61A8"/>
    <w:rsid w:val="003B6480"/>
    <w:rsid w:val="003B673C"/>
    <w:rsid w:val="003B6850"/>
    <w:rsid w:val="003B68DD"/>
    <w:rsid w:val="003B69D4"/>
    <w:rsid w:val="003B6D40"/>
    <w:rsid w:val="003B6F07"/>
    <w:rsid w:val="003B6F5D"/>
    <w:rsid w:val="003B707A"/>
    <w:rsid w:val="003B7205"/>
    <w:rsid w:val="003B76A5"/>
    <w:rsid w:val="003B77E6"/>
    <w:rsid w:val="003B7985"/>
    <w:rsid w:val="003B7D1E"/>
    <w:rsid w:val="003C0281"/>
    <w:rsid w:val="003C02E7"/>
    <w:rsid w:val="003C0483"/>
    <w:rsid w:val="003C0A85"/>
    <w:rsid w:val="003C0C1F"/>
    <w:rsid w:val="003C0F05"/>
    <w:rsid w:val="003C12C3"/>
    <w:rsid w:val="003C139F"/>
    <w:rsid w:val="003C1706"/>
    <w:rsid w:val="003C187C"/>
    <w:rsid w:val="003C258E"/>
    <w:rsid w:val="003C2C6A"/>
    <w:rsid w:val="003C2F91"/>
    <w:rsid w:val="003C339F"/>
    <w:rsid w:val="003C399D"/>
    <w:rsid w:val="003C3E0A"/>
    <w:rsid w:val="003C5B67"/>
    <w:rsid w:val="003C5F6C"/>
    <w:rsid w:val="003C658E"/>
    <w:rsid w:val="003C65EA"/>
    <w:rsid w:val="003C6AF9"/>
    <w:rsid w:val="003C6E91"/>
    <w:rsid w:val="003C6EFE"/>
    <w:rsid w:val="003C6F7F"/>
    <w:rsid w:val="003C6F88"/>
    <w:rsid w:val="003C728E"/>
    <w:rsid w:val="003C7327"/>
    <w:rsid w:val="003C7388"/>
    <w:rsid w:val="003D06F8"/>
    <w:rsid w:val="003D075E"/>
    <w:rsid w:val="003D0A6B"/>
    <w:rsid w:val="003D0EC5"/>
    <w:rsid w:val="003D0EDC"/>
    <w:rsid w:val="003D113F"/>
    <w:rsid w:val="003D170C"/>
    <w:rsid w:val="003D1949"/>
    <w:rsid w:val="003D205A"/>
    <w:rsid w:val="003D2432"/>
    <w:rsid w:val="003D28AB"/>
    <w:rsid w:val="003D2DFB"/>
    <w:rsid w:val="003D2EB6"/>
    <w:rsid w:val="003D30B2"/>
    <w:rsid w:val="003D34C1"/>
    <w:rsid w:val="003D3C28"/>
    <w:rsid w:val="003D3FFA"/>
    <w:rsid w:val="003D4CC9"/>
    <w:rsid w:val="003D5213"/>
    <w:rsid w:val="003D55DE"/>
    <w:rsid w:val="003D55E4"/>
    <w:rsid w:val="003D579A"/>
    <w:rsid w:val="003D63FE"/>
    <w:rsid w:val="003D66FE"/>
    <w:rsid w:val="003D67BE"/>
    <w:rsid w:val="003D68D9"/>
    <w:rsid w:val="003D6EA0"/>
    <w:rsid w:val="003D73B9"/>
    <w:rsid w:val="003D78D0"/>
    <w:rsid w:val="003E0473"/>
    <w:rsid w:val="003E0C1A"/>
    <w:rsid w:val="003E195D"/>
    <w:rsid w:val="003E1DC9"/>
    <w:rsid w:val="003E20B4"/>
    <w:rsid w:val="003E2596"/>
    <w:rsid w:val="003E25D3"/>
    <w:rsid w:val="003E2E50"/>
    <w:rsid w:val="003E2EF2"/>
    <w:rsid w:val="003E3621"/>
    <w:rsid w:val="003E398C"/>
    <w:rsid w:val="003E3ADC"/>
    <w:rsid w:val="003E3D8F"/>
    <w:rsid w:val="003E3E40"/>
    <w:rsid w:val="003E43FA"/>
    <w:rsid w:val="003E443E"/>
    <w:rsid w:val="003E4943"/>
    <w:rsid w:val="003E4BC9"/>
    <w:rsid w:val="003E4DFD"/>
    <w:rsid w:val="003E4E51"/>
    <w:rsid w:val="003E5201"/>
    <w:rsid w:val="003E5491"/>
    <w:rsid w:val="003E57F6"/>
    <w:rsid w:val="003E5DD7"/>
    <w:rsid w:val="003E5F2E"/>
    <w:rsid w:val="003E6B97"/>
    <w:rsid w:val="003E6C48"/>
    <w:rsid w:val="003E765C"/>
    <w:rsid w:val="003E7996"/>
    <w:rsid w:val="003E7C74"/>
    <w:rsid w:val="003E7D7C"/>
    <w:rsid w:val="003E7F97"/>
    <w:rsid w:val="003E7FB6"/>
    <w:rsid w:val="003F004E"/>
    <w:rsid w:val="003F045E"/>
    <w:rsid w:val="003F05FA"/>
    <w:rsid w:val="003F0D2D"/>
    <w:rsid w:val="003F101A"/>
    <w:rsid w:val="003F2205"/>
    <w:rsid w:val="003F2472"/>
    <w:rsid w:val="003F2E0E"/>
    <w:rsid w:val="003F2EB5"/>
    <w:rsid w:val="003F2FE9"/>
    <w:rsid w:val="003F324E"/>
    <w:rsid w:val="003F380E"/>
    <w:rsid w:val="003F3B69"/>
    <w:rsid w:val="003F43DE"/>
    <w:rsid w:val="003F4D7F"/>
    <w:rsid w:val="003F501D"/>
    <w:rsid w:val="003F54D2"/>
    <w:rsid w:val="003F555F"/>
    <w:rsid w:val="003F5BE1"/>
    <w:rsid w:val="003F5D6F"/>
    <w:rsid w:val="003F606E"/>
    <w:rsid w:val="003F628D"/>
    <w:rsid w:val="003F62C7"/>
    <w:rsid w:val="003F62D4"/>
    <w:rsid w:val="003F62DC"/>
    <w:rsid w:val="003F65EC"/>
    <w:rsid w:val="003F671F"/>
    <w:rsid w:val="003F77A3"/>
    <w:rsid w:val="003F7825"/>
    <w:rsid w:val="003F7DC7"/>
    <w:rsid w:val="00400E9C"/>
    <w:rsid w:val="0040119A"/>
    <w:rsid w:val="00401580"/>
    <w:rsid w:val="004015D9"/>
    <w:rsid w:val="004019A8"/>
    <w:rsid w:val="00402943"/>
    <w:rsid w:val="00403446"/>
    <w:rsid w:val="004038E8"/>
    <w:rsid w:val="00403A03"/>
    <w:rsid w:val="00403CC6"/>
    <w:rsid w:val="00403FF0"/>
    <w:rsid w:val="0040480E"/>
    <w:rsid w:val="00404A5C"/>
    <w:rsid w:val="00404E33"/>
    <w:rsid w:val="00404E43"/>
    <w:rsid w:val="0040543C"/>
    <w:rsid w:val="00405A47"/>
    <w:rsid w:val="00405D91"/>
    <w:rsid w:val="00405DB1"/>
    <w:rsid w:val="00405F95"/>
    <w:rsid w:val="0040608C"/>
    <w:rsid w:val="00406238"/>
    <w:rsid w:val="0040637C"/>
    <w:rsid w:val="0040640B"/>
    <w:rsid w:val="00406CF2"/>
    <w:rsid w:val="00407037"/>
    <w:rsid w:val="004079E8"/>
    <w:rsid w:val="00407D3D"/>
    <w:rsid w:val="00407D68"/>
    <w:rsid w:val="00407DE7"/>
    <w:rsid w:val="00410D43"/>
    <w:rsid w:val="00411378"/>
    <w:rsid w:val="004113E5"/>
    <w:rsid w:val="00411464"/>
    <w:rsid w:val="004116DD"/>
    <w:rsid w:val="004119F5"/>
    <w:rsid w:val="004119F7"/>
    <w:rsid w:val="00412014"/>
    <w:rsid w:val="0041209A"/>
    <w:rsid w:val="0041217E"/>
    <w:rsid w:val="004127D6"/>
    <w:rsid w:val="004134C6"/>
    <w:rsid w:val="00413669"/>
    <w:rsid w:val="00413AC5"/>
    <w:rsid w:val="004141B6"/>
    <w:rsid w:val="00414FDB"/>
    <w:rsid w:val="0041533E"/>
    <w:rsid w:val="00415445"/>
    <w:rsid w:val="00416438"/>
    <w:rsid w:val="004165B4"/>
    <w:rsid w:val="004165FD"/>
    <w:rsid w:val="0041669F"/>
    <w:rsid w:val="0041672A"/>
    <w:rsid w:val="0041674F"/>
    <w:rsid w:val="0041688D"/>
    <w:rsid w:val="004169D4"/>
    <w:rsid w:val="00416B32"/>
    <w:rsid w:val="004170EA"/>
    <w:rsid w:val="00417181"/>
    <w:rsid w:val="00417588"/>
    <w:rsid w:val="0041793C"/>
    <w:rsid w:val="00417C78"/>
    <w:rsid w:val="0042017C"/>
    <w:rsid w:val="004201ED"/>
    <w:rsid w:val="0042118C"/>
    <w:rsid w:val="0042170F"/>
    <w:rsid w:val="004218D8"/>
    <w:rsid w:val="00421BE7"/>
    <w:rsid w:val="004220C9"/>
    <w:rsid w:val="0042269C"/>
    <w:rsid w:val="00422C76"/>
    <w:rsid w:val="00423057"/>
    <w:rsid w:val="00423342"/>
    <w:rsid w:val="004250E5"/>
    <w:rsid w:val="004251FA"/>
    <w:rsid w:val="004252FC"/>
    <w:rsid w:val="004256B0"/>
    <w:rsid w:val="00425F92"/>
    <w:rsid w:val="00426C44"/>
    <w:rsid w:val="0042785D"/>
    <w:rsid w:val="00427E6F"/>
    <w:rsid w:val="0043025F"/>
    <w:rsid w:val="0043026C"/>
    <w:rsid w:val="00430319"/>
    <w:rsid w:val="00430369"/>
    <w:rsid w:val="004304B1"/>
    <w:rsid w:val="0043165A"/>
    <w:rsid w:val="0043167A"/>
    <w:rsid w:val="0043170B"/>
    <w:rsid w:val="004317CF"/>
    <w:rsid w:val="00431BD5"/>
    <w:rsid w:val="00431D63"/>
    <w:rsid w:val="00432319"/>
    <w:rsid w:val="004325EF"/>
    <w:rsid w:val="00433247"/>
    <w:rsid w:val="00433AC5"/>
    <w:rsid w:val="00433B80"/>
    <w:rsid w:val="00433D19"/>
    <w:rsid w:val="00434563"/>
    <w:rsid w:val="00434BAA"/>
    <w:rsid w:val="00434F23"/>
    <w:rsid w:val="0043552F"/>
    <w:rsid w:val="004358AF"/>
    <w:rsid w:val="00435A9B"/>
    <w:rsid w:val="004360BD"/>
    <w:rsid w:val="00436113"/>
    <w:rsid w:val="0043614D"/>
    <w:rsid w:val="004365DC"/>
    <w:rsid w:val="004366E9"/>
    <w:rsid w:val="00436771"/>
    <w:rsid w:val="00436E23"/>
    <w:rsid w:val="004377B9"/>
    <w:rsid w:val="00437BFF"/>
    <w:rsid w:val="00437C5B"/>
    <w:rsid w:val="00437E2C"/>
    <w:rsid w:val="004401EF"/>
    <w:rsid w:val="004402B4"/>
    <w:rsid w:val="004402C9"/>
    <w:rsid w:val="0044056E"/>
    <w:rsid w:val="00440665"/>
    <w:rsid w:val="0044066A"/>
    <w:rsid w:val="0044128F"/>
    <w:rsid w:val="0044135E"/>
    <w:rsid w:val="00441415"/>
    <w:rsid w:val="004415FA"/>
    <w:rsid w:val="004416D7"/>
    <w:rsid w:val="0044181A"/>
    <w:rsid w:val="004419D2"/>
    <w:rsid w:val="00441B06"/>
    <w:rsid w:val="00442094"/>
    <w:rsid w:val="00442113"/>
    <w:rsid w:val="004421F8"/>
    <w:rsid w:val="00442614"/>
    <w:rsid w:val="00442D12"/>
    <w:rsid w:val="00442FCE"/>
    <w:rsid w:val="00443357"/>
    <w:rsid w:val="004434A1"/>
    <w:rsid w:val="004434DF"/>
    <w:rsid w:val="0044397F"/>
    <w:rsid w:val="00443A45"/>
    <w:rsid w:val="00443A80"/>
    <w:rsid w:val="00443AAA"/>
    <w:rsid w:val="00443AB5"/>
    <w:rsid w:val="00443C9D"/>
    <w:rsid w:val="0044423F"/>
    <w:rsid w:val="00444337"/>
    <w:rsid w:val="00444A61"/>
    <w:rsid w:val="00444DA8"/>
    <w:rsid w:val="00444EC6"/>
    <w:rsid w:val="00445EF1"/>
    <w:rsid w:val="0044609E"/>
    <w:rsid w:val="00446139"/>
    <w:rsid w:val="004464CE"/>
    <w:rsid w:val="004464E2"/>
    <w:rsid w:val="004465EB"/>
    <w:rsid w:val="00446773"/>
    <w:rsid w:val="00446B99"/>
    <w:rsid w:val="004470CD"/>
    <w:rsid w:val="0044731C"/>
    <w:rsid w:val="00447526"/>
    <w:rsid w:val="00447D17"/>
    <w:rsid w:val="00450142"/>
    <w:rsid w:val="00450380"/>
    <w:rsid w:val="0045039B"/>
    <w:rsid w:val="004504A7"/>
    <w:rsid w:val="004508E4"/>
    <w:rsid w:val="00450BC1"/>
    <w:rsid w:val="00450DC3"/>
    <w:rsid w:val="004511ED"/>
    <w:rsid w:val="0045130F"/>
    <w:rsid w:val="004516B1"/>
    <w:rsid w:val="004518F4"/>
    <w:rsid w:val="004519DC"/>
    <w:rsid w:val="00451F20"/>
    <w:rsid w:val="00452177"/>
    <w:rsid w:val="0045250B"/>
    <w:rsid w:val="004526C7"/>
    <w:rsid w:val="00452D0F"/>
    <w:rsid w:val="00452E8C"/>
    <w:rsid w:val="00453357"/>
    <w:rsid w:val="004535F3"/>
    <w:rsid w:val="00453759"/>
    <w:rsid w:val="004537CD"/>
    <w:rsid w:val="00453EDE"/>
    <w:rsid w:val="0045487B"/>
    <w:rsid w:val="00454D7F"/>
    <w:rsid w:val="00454E1B"/>
    <w:rsid w:val="00454F12"/>
    <w:rsid w:val="0045534D"/>
    <w:rsid w:val="00456339"/>
    <w:rsid w:val="00456C00"/>
    <w:rsid w:val="00456C7C"/>
    <w:rsid w:val="00456CDD"/>
    <w:rsid w:val="00456E8C"/>
    <w:rsid w:val="00456EF7"/>
    <w:rsid w:val="00457673"/>
    <w:rsid w:val="00457895"/>
    <w:rsid w:val="00457C8C"/>
    <w:rsid w:val="004600AB"/>
    <w:rsid w:val="00460486"/>
    <w:rsid w:val="00460B89"/>
    <w:rsid w:val="00460BF5"/>
    <w:rsid w:val="00461A0C"/>
    <w:rsid w:val="00461A24"/>
    <w:rsid w:val="00461B6D"/>
    <w:rsid w:val="00461C69"/>
    <w:rsid w:val="00461E1A"/>
    <w:rsid w:val="0046231B"/>
    <w:rsid w:val="00462812"/>
    <w:rsid w:val="00462D83"/>
    <w:rsid w:val="00463133"/>
    <w:rsid w:val="00463366"/>
    <w:rsid w:val="00463AF5"/>
    <w:rsid w:val="00463E5F"/>
    <w:rsid w:val="0046430D"/>
    <w:rsid w:val="00464410"/>
    <w:rsid w:val="00464EC6"/>
    <w:rsid w:val="004650E0"/>
    <w:rsid w:val="004652A7"/>
    <w:rsid w:val="00465756"/>
    <w:rsid w:val="00465C9F"/>
    <w:rsid w:val="00466107"/>
    <w:rsid w:val="00466554"/>
    <w:rsid w:val="004665F8"/>
    <w:rsid w:val="00466AB6"/>
    <w:rsid w:val="00466B52"/>
    <w:rsid w:val="00467016"/>
    <w:rsid w:val="004674B8"/>
    <w:rsid w:val="0046782E"/>
    <w:rsid w:val="00467C2A"/>
    <w:rsid w:val="00467C8B"/>
    <w:rsid w:val="00467FDC"/>
    <w:rsid w:val="004703AF"/>
    <w:rsid w:val="0047047B"/>
    <w:rsid w:val="0047098E"/>
    <w:rsid w:val="00470D0A"/>
    <w:rsid w:val="00470DD7"/>
    <w:rsid w:val="00470EA2"/>
    <w:rsid w:val="00470F8F"/>
    <w:rsid w:val="0047144E"/>
    <w:rsid w:val="0047180B"/>
    <w:rsid w:val="00471D4E"/>
    <w:rsid w:val="00472146"/>
    <w:rsid w:val="00472373"/>
    <w:rsid w:val="004724A5"/>
    <w:rsid w:val="00472C44"/>
    <w:rsid w:val="00472DC0"/>
    <w:rsid w:val="00472E00"/>
    <w:rsid w:val="00472F14"/>
    <w:rsid w:val="00472F23"/>
    <w:rsid w:val="00472F93"/>
    <w:rsid w:val="004730B3"/>
    <w:rsid w:val="00473100"/>
    <w:rsid w:val="00473673"/>
    <w:rsid w:val="004737AA"/>
    <w:rsid w:val="00473863"/>
    <w:rsid w:val="004744E8"/>
    <w:rsid w:val="00474B9F"/>
    <w:rsid w:val="0047565E"/>
    <w:rsid w:val="00475A0F"/>
    <w:rsid w:val="00475E2D"/>
    <w:rsid w:val="00476209"/>
    <w:rsid w:val="00476211"/>
    <w:rsid w:val="00476369"/>
    <w:rsid w:val="00476CB9"/>
    <w:rsid w:val="00477B15"/>
    <w:rsid w:val="004800A2"/>
    <w:rsid w:val="0048030B"/>
    <w:rsid w:val="00480317"/>
    <w:rsid w:val="00480753"/>
    <w:rsid w:val="00480AE6"/>
    <w:rsid w:val="00480B47"/>
    <w:rsid w:val="00480DD3"/>
    <w:rsid w:val="00481282"/>
    <w:rsid w:val="0048156D"/>
    <w:rsid w:val="00481F17"/>
    <w:rsid w:val="00482158"/>
    <w:rsid w:val="00482395"/>
    <w:rsid w:val="004823C8"/>
    <w:rsid w:val="0048241E"/>
    <w:rsid w:val="00482735"/>
    <w:rsid w:val="00482A1C"/>
    <w:rsid w:val="00482F2F"/>
    <w:rsid w:val="00482F9E"/>
    <w:rsid w:val="0048361A"/>
    <w:rsid w:val="00483D81"/>
    <w:rsid w:val="00483F66"/>
    <w:rsid w:val="00484201"/>
    <w:rsid w:val="004847A5"/>
    <w:rsid w:val="00484A27"/>
    <w:rsid w:val="00485421"/>
    <w:rsid w:val="004857A0"/>
    <w:rsid w:val="004858E0"/>
    <w:rsid w:val="00485D7D"/>
    <w:rsid w:val="00485EEA"/>
    <w:rsid w:val="0048607B"/>
    <w:rsid w:val="0048616F"/>
    <w:rsid w:val="004863CF"/>
    <w:rsid w:val="0048698E"/>
    <w:rsid w:val="00486F71"/>
    <w:rsid w:val="004870E4"/>
    <w:rsid w:val="004875AD"/>
    <w:rsid w:val="00487F51"/>
    <w:rsid w:val="00490067"/>
    <w:rsid w:val="0049036C"/>
    <w:rsid w:val="0049039E"/>
    <w:rsid w:val="00490958"/>
    <w:rsid w:val="00490C1F"/>
    <w:rsid w:val="0049121F"/>
    <w:rsid w:val="0049138D"/>
    <w:rsid w:val="00491970"/>
    <w:rsid w:val="00491DA4"/>
    <w:rsid w:val="00492110"/>
    <w:rsid w:val="004926EB"/>
    <w:rsid w:val="00492BD5"/>
    <w:rsid w:val="00492F38"/>
    <w:rsid w:val="00493129"/>
    <w:rsid w:val="00493225"/>
    <w:rsid w:val="004935E2"/>
    <w:rsid w:val="00493A94"/>
    <w:rsid w:val="00493DFE"/>
    <w:rsid w:val="00493E62"/>
    <w:rsid w:val="00493EFE"/>
    <w:rsid w:val="0049497F"/>
    <w:rsid w:val="00494C74"/>
    <w:rsid w:val="00494FB0"/>
    <w:rsid w:val="004954E2"/>
    <w:rsid w:val="004958CC"/>
    <w:rsid w:val="00495987"/>
    <w:rsid w:val="00495DC0"/>
    <w:rsid w:val="00496309"/>
    <w:rsid w:val="00496BC7"/>
    <w:rsid w:val="00497088"/>
    <w:rsid w:val="00497479"/>
    <w:rsid w:val="00497F65"/>
    <w:rsid w:val="00497FEB"/>
    <w:rsid w:val="004A041F"/>
    <w:rsid w:val="004A11FC"/>
    <w:rsid w:val="004A12C2"/>
    <w:rsid w:val="004A1B86"/>
    <w:rsid w:val="004A2752"/>
    <w:rsid w:val="004A2876"/>
    <w:rsid w:val="004A2DC6"/>
    <w:rsid w:val="004A303F"/>
    <w:rsid w:val="004A37B7"/>
    <w:rsid w:val="004A3955"/>
    <w:rsid w:val="004A39EA"/>
    <w:rsid w:val="004A428E"/>
    <w:rsid w:val="004A4307"/>
    <w:rsid w:val="004A4957"/>
    <w:rsid w:val="004A50CE"/>
    <w:rsid w:val="004A5149"/>
    <w:rsid w:val="004A517B"/>
    <w:rsid w:val="004A5646"/>
    <w:rsid w:val="004A5A1E"/>
    <w:rsid w:val="004A5CE4"/>
    <w:rsid w:val="004A678C"/>
    <w:rsid w:val="004A6889"/>
    <w:rsid w:val="004A6900"/>
    <w:rsid w:val="004A6A6D"/>
    <w:rsid w:val="004A6ABB"/>
    <w:rsid w:val="004A6EB3"/>
    <w:rsid w:val="004A74BE"/>
    <w:rsid w:val="004A780E"/>
    <w:rsid w:val="004A782F"/>
    <w:rsid w:val="004A78DA"/>
    <w:rsid w:val="004A7C04"/>
    <w:rsid w:val="004A7C5C"/>
    <w:rsid w:val="004B0176"/>
    <w:rsid w:val="004B0356"/>
    <w:rsid w:val="004B0ABB"/>
    <w:rsid w:val="004B0AD5"/>
    <w:rsid w:val="004B1801"/>
    <w:rsid w:val="004B18C5"/>
    <w:rsid w:val="004B1965"/>
    <w:rsid w:val="004B1B25"/>
    <w:rsid w:val="004B243D"/>
    <w:rsid w:val="004B2B70"/>
    <w:rsid w:val="004B2D4E"/>
    <w:rsid w:val="004B2DB8"/>
    <w:rsid w:val="004B3402"/>
    <w:rsid w:val="004B3A6D"/>
    <w:rsid w:val="004B3D74"/>
    <w:rsid w:val="004B42A1"/>
    <w:rsid w:val="004B49A8"/>
    <w:rsid w:val="004B4EAB"/>
    <w:rsid w:val="004B4FD0"/>
    <w:rsid w:val="004B549E"/>
    <w:rsid w:val="004B601C"/>
    <w:rsid w:val="004B6450"/>
    <w:rsid w:val="004B6476"/>
    <w:rsid w:val="004B65C5"/>
    <w:rsid w:val="004B699B"/>
    <w:rsid w:val="004B6A3C"/>
    <w:rsid w:val="004B6B1C"/>
    <w:rsid w:val="004B6B9A"/>
    <w:rsid w:val="004B72E2"/>
    <w:rsid w:val="004B73AB"/>
    <w:rsid w:val="004B7A60"/>
    <w:rsid w:val="004B7C8A"/>
    <w:rsid w:val="004C00C4"/>
    <w:rsid w:val="004C0306"/>
    <w:rsid w:val="004C0576"/>
    <w:rsid w:val="004C0808"/>
    <w:rsid w:val="004C0DD7"/>
    <w:rsid w:val="004C0E52"/>
    <w:rsid w:val="004C134F"/>
    <w:rsid w:val="004C18A0"/>
    <w:rsid w:val="004C1E3A"/>
    <w:rsid w:val="004C204F"/>
    <w:rsid w:val="004C2272"/>
    <w:rsid w:val="004C3568"/>
    <w:rsid w:val="004C37C7"/>
    <w:rsid w:val="004C382F"/>
    <w:rsid w:val="004C3986"/>
    <w:rsid w:val="004C39BA"/>
    <w:rsid w:val="004C3CEE"/>
    <w:rsid w:val="004C407D"/>
    <w:rsid w:val="004C46FF"/>
    <w:rsid w:val="004C480C"/>
    <w:rsid w:val="004C4B10"/>
    <w:rsid w:val="004C4CDA"/>
    <w:rsid w:val="004C53F3"/>
    <w:rsid w:val="004C5C05"/>
    <w:rsid w:val="004C5DCD"/>
    <w:rsid w:val="004C5F05"/>
    <w:rsid w:val="004C64DD"/>
    <w:rsid w:val="004C66A6"/>
    <w:rsid w:val="004C6DE2"/>
    <w:rsid w:val="004C7B60"/>
    <w:rsid w:val="004D0390"/>
    <w:rsid w:val="004D0911"/>
    <w:rsid w:val="004D0DB7"/>
    <w:rsid w:val="004D0E6D"/>
    <w:rsid w:val="004D1056"/>
    <w:rsid w:val="004D11EF"/>
    <w:rsid w:val="004D13B3"/>
    <w:rsid w:val="004D1494"/>
    <w:rsid w:val="004D17BA"/>
    <w:rsid w:val="004D1C0B"/>
    <w:rsid w:val="004D1CC1"/>
    <w:rsid w:val="004D2260"/>
    <w:rsid w:val="004D292D"/>
    <w:rsid w:val="004D2FE8"/>
    <w:rsid w:val="004D31AF"/>
    <w:rsid w:val="004D3BDF"/>
    <w:rsid w:val="004D50B2"/>
    <w:rsid w:val="004D5179"/>
    <w:rsid w:val="004D5252"/>
    <w:rsid w:val="004D5D3E"/>
    <w:rsid w:val="004D5DA0"/>
    <w:rsid w:val="004D6150"/>
    <w:rsid w:val="004D690A"/>
    <w:rsid w:val="004D6AA8"/>
    <w:rsid w:val="004D6C16"/>
    <w:rsid w:val="004D6F1B"/>
    <w:rsid w:val="004D71FB"/>
    <w:rsid w:val="004D7533"/>
    <w:rsid w:val="004D7897"/>
    <w:rsid w:val="004E0D31"/>
    <w:rsid w:val="004E0F88"/>
    <w:rsid w:val="004E0FD8"/>
    <w:rsid w:val="004E11B2"/>
    <w:rsid w:val="004E136D"/>
    <w:rsid w:val="004E1488"/>
    <w:rsid w:val="004E1651"/>
    <w:rsid w:val="004E1AB0"/>
    <w:rsid w:val="004E24A7"/>
    <w:rsid w:val="004E2700"/>
    <w:rsid w:val="004E2753"/>
    <w:rsid w:val="004E2ED3"/>
    <w:rsid w:val="004E3AF1"/>
    <w:rsid w:val="004E3D8E"/>
    <w:rsid w:val="004E4366"/>
    <w:rsid w:val="004E4478"/>
    <w:rsid w:val="004E44EF"/>
    <w:rsid w:val="004E4986"/>
    <w:rsid w:val="004E4ECA"/>
    <w:rsid w:val="004E4FAE"/>
    <w:rsid w:val="004E52DA"/>
    <w:rsid w:val="004E54FE"/>
    <w:rsid w:val="004E5829"/>
    <w:rsid w:val="004E5B8F"/>
    <w:rsid w:val="004E69DB"/>
    <w:rsid w:val="004E6B5F"/>
    <w:rsid w:val="004E6D1E"/>
    <w:rsid w:val="004E7EE6"/>
    <w:rsid w:val="004F0087"/>
    <w:rsid w:val="004F00BF"/>
    <w:rsid w:val="004F03A3"/>
    <w:rsid w:val="004F0576"/>
    <w:rsid w:val="004F0BB6"/>
    <w:rsid w:val="004F0FCB"/>
    <w:rsid w:val="004F1259"/>
    <w:rsid w:val="004F152A"/>
    <w:rsid w:val="004F1838"/>
    <w:rsid w:val="004F1D1F"/>
    <w:rsid w:val="004F1F53"/>
    <w:rsid w:val="004F2067"/>
    <w:rsid w:val="004F21FB"/>
    <w:rsid w:val="004F2638"/>
    <w:rsid w:val="004F3671"/>
    <w:rsid w:val="004F3B40"/>
    <w:rsid w:val="004F3BA3"/>
    <w:rsid w:val="004F3E58"/>
    <w:rsid w:val="004F45D7"/>
    <w:rsid w:val="004F5048"/>
    <w:rsid w:val="004F52EB"/>
    <w:rsid w:val="004F552E"/>
    <w:rsid w:val="004F5A26"/>
    <w:rsid w:val="004F5F64"/>
    <w:rsid w:val="004F639A"/>
    <w:rsid w:val="004F67B3"/>
    <w:rsid w:val="004F67B5"/>
    <w:rsid w:val="004F680C"/>
    <w:rsid w:val="004F6B47"/>
    <w:rsid w:val="004F6DD2"/>
    <w:rsid w:val="004F6FBD"/>
    <w:rsid w:val="004F73A0"/>
    <w:rsid w:val="004F747C"/>
    <w:rsid w:val="004F7D71"/>
    <w:rsid w:val="005001A5"/>
    <w:rsid w:val="0050031B"/>
    <w:rsid w:val="005005D6"/>
    <w:rsid w:val="005007BA"/>
    <w:rsid w:val="005009C2"/>
    <w:rsid w:val="00500B53"/>
    <w:rsid w:val="00500E65"/>
    <w:rsid w:val="00501419"/>
    <w:rsid w:val="00501A7A"/>
    <w:rsid w:val="00501AED"/>
    <w:rsid w:val="005026B2"/>
    <w:rsid w:val="00502DFD"/>
    <w:rsid w:val="0050325A"/>
    <w:rsid w:val="00503D1D"/>
    <w:rsid w:val="0050423F"/>
    <w:rsid w:val="005050FA"/>
    <w:rsid w:val="00505519"/>
    <w:rsid w:val="005056E9"/>
    <w:rsid w:val="00505D52"/>
    <w:rsid w:val="00506076"/>
    <w:rsid w:val="00506E13"/>
    <w:rsid w:val="00507734"/>
    <w:rsid w:val="005101B6"/>
    <w:rsid w:val="00510982"/>
    <w:rsid w:val="005117AA"/>
    <w:rsid w:val="00511E59"/>
    <w:rsid w:val="00511EE1"/>
    <w:rsid w:val="0051204E"/>
    <w:rsid w:val="005123BF"/>
    <w:rsid w:val="005128A4"/>
    <w:rsid w:val="0051290A"/>
    <w:rsid w:val="0051293C"/>
    <w:rsid w:val="00512A96"/>
    <w:rsid w:val="00513306"/>
    <w:rsid w:val="005133B8"/>
    <w:rsid w:val="00513695"/>
    <w:rsid w:val="00513730"/>
    <w:rsid w:val="00513D63"/>
    <w:rsid w:val="005140D8"/>
    <w:rsid w:val="005148C9"/>
    <w:rsid w:val="00514B1B"/>
    <w:rsid w:val="00514BBC"/>
    <w:rsid w:val="00514CBB"/>
    <w:rsid w:val="00514E72"/>
    <w:rsid w:val="00514F27"/>
    <w:rsid w:val="00515856"/>
    <w:rsid w:val="00515FD9"/>
    <w:rsid w:val="00517205"/>
    <w:rsid w:val="005173DE"/>
    <w:rsid w:val="00517D0D"/>
    <w:rsid w:val="0052040A"/>
    <w:rsid w:val="00520582"/>
    <w:rsid w:val="00520660"/>
    <w:rsid w:val="005206CE"/>
    <w:rsid w:val="005208AA"/>
    <w:rsid w:val="005213A1"/>
    <w:rsid w:val="00521AFE"/>
    <w:rsid w:val="0052267C"/>
    <w:rsid w:val="005229F8"/>
    <w:rsid w:val="00522A0A"/>
    <w:rsid w:val="00522F31"/>
    <w:rsid w:val="00523D2C"/>
    <w:rsid w:val="00524A59"/>
    <w:rsid w:val="00526621"/>
    <w:rsid w:val="0052682B"/>
    <w:rsid w:val="00527384"/>
    <w:rsid w:val="005276BA"/>
    <w:rsid w:val="00527B09"/>
    <w:rsid w:val="00527BB1"/>
    <w:rsid w:val="00527BC3"/>
    <w:rsid w:val="00530395"/>
    <w:rsid w:val="00530758"/>
    <w:rsid w:val="00530D36"/>
    <w:rsid w:val="005317A4"/>
    <w:rsid w:val="00531B69"/>
    <w:rsid w:val="00531B7C"/>
    <w:rsid w:val="00531FB7"/>
    <w:rsid w:val="00532064"/>
    <w:rsid w:val="0053206C"/>
    <w:rsid w:val="005324D4"/>
    <w:rsid w:val="00532510"/>
    <w:rsid w:val="00532532"/>
    <w:rsid w:val="00532718"/>
    <w:rsid w:val="00532804"/>
    <w:rsid w:val="00533433"/>
    <w:rsid w:val="0053393F"/>
    <w:rsid w:val="00533D99"/>
    <w:rsid w:val="00533EE2"/>
    <w:rsid w:val="005344ED"/>
    <w:rsid w:val="0053454E"/>
    <w:rsid w:val="005345E6"/>
    <w:rsid w:val="00534B69"/>
    <w:rsid w:val="00534F7C"/>
    <w:rsid w:val="005355C4"/>
    <w:rsid w:val="0053590A"/>
    <w:rsid w:val="00535AC9"/>
    <w:rsid w:val="00537308"/>
    <w:rsid w:val="0053743F"/>
    <w:rsid w:val="00537515"/>
    <w:rsid w:val="005375D8"/>
    <w:rsid w:val="0053765F"/>
    <w:rsid w:val="005377CE"/>
    <w:rsid w:val="005377EC"/>
    <w:rsid w:val="00537C86"/>
    <w:rsid w:val="00540228"/>
    <w:rsid w:val="00540366"/>
    <w:rsid w:val="005403A9"/>
    <w:rsid w:val="005403EE"/>
    <w:rsid w:val="005405E3"/>
    <w:rsid w:val="00540C5A"/>
    <w:rsid w:val="00540ED3"/>
    <w:rsid w:val="00540FB5"/>
    <w:rsid w:val="0054149F"/>
    <w:rsid w:val="00541500"/>
    <w:rsid w:val="00541604"/>
    <w:rsid w:val="0054165A"/>
    <w:rsid w:val="00542CBA"/>
    <w:rsid w:val="00542CE3"/>
    <w:rsid w:val="00543913"/>
    <w:rsid w:val="00543CB9"/>
    <w:rsid w:val="0054430D"/>
    <w:rsid w:val="005450D1"/>
    <w:rsid w:val="00545932"/>
    <w:rsid w:val="00545A9F"/>
    <w:rsid w:val="0054651F"/>
    <w:rsid w:val="005467DB"/>
    <w:rsid w:val="005468AE"/>
    <w:rsid w:val="0054697E"/>
    <w:rsid w:val="00546DFC"/>
    <w:rsid w:val="00546FDA"/>
    <w:rsid w:val="005470ED"/>
    <w:rsid w:val="00547581"/>
    <w:rsid w:val="005477FF"/>
    <w:rsid w:val="00547C66"/>
    <w:rsid w:val="00550985"/>
    <w:rsid w:val="00550C43"/>
    <w:rsid w:val="00551933"/>
    <w:rsid w:val="00551E1F"/>
    <w:rsid w:val="0055219F"/>
    <w:rsid w:val="00552744"/>
    <w:rsid w:val="00552CA2"/>
    <w:rsid w:val="00553A51"/>
    <w:rsid w:val="00553CAC"/>
    <w:rsid w:val="00553FC2"/>
    <w:rsid w:val="005540DE"/>
    <w:rsid w:val="0055447C"/>
    <w:rsid w:val="00554A20"/>
    <w:rsid w:val="00554E3F"/>
    <w:rsid w:val="00555B39"/>
    <w:rsid w:val="00555B4C"/>
    <w:rsid w:val="00555E25"/>
    <w:rsid w:val="0055606D"/>
    <w:rsid w:val="005565A7"/>
    <w:rsid w:val="00556699"/>
    <w:rsid w:val="00556993"/>
    <w:rsid w:val="00556B1D"/>
    <w:rsid w:val="005576E4"/>
    <w:rsid w:val="005577DD"/>
    <w:rsid w:val="00560227"/>
    <w:rsid w:val="00560A06"/>
    <w:rsid w:val="0056116E"/>
    <w:rsid w:val="00561269"/>
    <w:rsid w:val="00561575"/>
    <w:rsid w:val="00561690"/>
    <w:rsid w:val="005618CD"/>
    <w:rsid w:val="00561C72"/>
    <w:rsid w:val="00561FAD"/>
    <w:rsid w:val="005622BE"/>
    <w:rsid w:val="00562431"/>
    <w:rsid w:val="005625E7"/>
    <w:rsid w:val="00562699"/>
    <w:rsid w:val="00562DEF"/>
    <w:rsid w:val="00562E19"/>
    <w:rsid w:val="00563C50"/>
    <w:rsid w:val="0056488F"/>
    <w:rsid w:val="00564F81"/>
    <w:rsid w:val="00564FD4"/>
    <w:rsid w:val="00565127"/>
    <w:rsid w:val="0056512D"/>
    <w:rsid w:val="00565D15"/>
    <w:rsid w:val="00565D1E"/>
    <w:rsid w:val="0056608D"/>
    <w:rsid w:val="00566129"/>
    <w:rsid w:val="005662CC"/>
    <w:rsid w:val="005663D0"/>
    <w:rsid w:val="005663E7"/>
    <w:rsid w:val="005666DD"/>
    <w:rsid w:val="0056724D"/>
    <w:rsid w:val="005674DC"/>
    <w:rsid w:val="00567C2C"/>
    <w:rsid w:val="00567EE0"/>
    <w:rsid w:val="00570D20"/>
    <w:rsid w:val="00571482"/>
    <w:rsid w:val="0057185E"/>
    <w:rsid w:val="00571B22"/>
    <w:rsid w:val="00571DD1"/>
    <w:rsid w:val="00571DF1"/>
    <w:rsid w:val="00571E38"/>
    <w:rsid w:val="00571E7F"/>
    <w:rsid w:val="00572854"/>
    <w:rsid w:val="00572A9F"/>
    <w:rsid w:val="00572AE6"/>
    <w:rsid w:val="0057304D"/>
    <w:rsid w:val="0057348F"/>
    <w:rsid w:val="0057356A"/>
    <w:rsid w:val="00574358"/>
    <w:rsid w:val="0057467D"/>
    <w:rsid w:val="00574C36"/>
    <w:rsid w:val="00574E8C"/>
    <w:rsid w:val="0057512A"/>
    <w:rsid w:val="00575421"/>
    <w:rsid w:val="00575557"/>
    <w:rsid w:val="00575858"/>
    <w:rsid w:val="00575AB4"/>
    <w:rsid w:val="0057659C"/>
    <w:rsid w:val="005767DD"/>
    <w:rsid w:val="00577291"/>
    <w:rsid w:val="00577498"/>
    <w:rsid w:val="005775E1"/>
    <w:rsid w:val="00580397"/>
    <w:rsid w:val="005803CC"/>
    <w:rsid w:val="00580A77"/>
    <w:rsid w:val="00580BE9"/>
    <w:rsid w:val="0058124C"/>
    <w:rsid w:val="0058183F"/>
    <w:rsid w:val="00581D50"/>
    <w:rsid w:val="00582149"/>
    <w:rsid w:val="005825E2"/>
    <w:rsid w:val="0058283D"/>
    <w:rsid w:val="00582867"/>
    <w:rsid w:val="00582AE5"/>
    <w:rsid w:val="00582D0F"/>
    <w:rsid w:val="005833BD"/>
    <w:rsid w:val="00583498"/>
    <w:rsid w:val="00583DAA"/>
    <w:rsid w:val="00583DEB"/>
    <w:rsid w:val="00583F48"/>
    <w:rsid w:val="00584019"/>
    <w:rsid w:val="00584174"/>
    <w:rsid w:val="00584313"/>
    <w:rsid w:val="00584360"/>
    <w:rsid w:val="00584365"/>
    <w:rsid w:val="0058483B"/>
    <w:rsid w:val="00584843"/>
    <w:rsid w:val="00584D36"/>
    <w:rsid w:val="00584F3C"/>
    <w:rsid w:val="005850EF"/>
    <w:rsid w:val="00585B86"/>
    <w:rsid w:val="005862FC"/>
    <w:rsid w:val="005869CD"/>
    <w:rsid w:val="00586BBB"/>
    <w:rsid w:val="00587349"/>
    <w:rsid w:val="005873CF"/>
    <w:rsid w:val="00587E9B"/>
    <w:rsid w:val="00590094"/>
    <w:rsid w:val="00590402"/>
    <w:rsid w:val="00590490"/>
    <w:rsid w:val="0059063A"/>
    <w:rsid w:val="00590ABE"/>
    <w:rsid w:val="00590E7E"/>
    <w:rsid w:val="00591048"/>
    <w:rsid w:val="0059167A"/>
    <w:rsid w:val="005916A2"/>
    <w:rsid w:val="00591D6F"/>
    <w:rsid w:val="00592047"/>
    <w:rsid w:val="00592583"/>
    <w:rsid w:val="005927E6"/>
    <w:rsid w:val="00592FAD"/>
    <w:rsid w:val="0059308B"/>
    <w:rsid w:val="005931D1"/>
    <w:rsid w:val="005931F9"/>
    <w:rsid w:val="00593378"/>
    <w:rsid w:val="00593B5C"/>
    <w:rsid w:val="00593E12"/>
    <w:rsid w:val="005940D5"/>
    <w:rsid w:val="00594742"/>
    <w:rsid w:val="005949EC"/>
    <w:rsid w:val="00594EF3"/>
    <w:rsid w:val="00595707"/>
    <w:rsid w:val="00595B0F"/>
    <w:rsid w:val="00595EC5"/>
    <w:rsid w:val="005963AA"/>
    <w:rsid w:val="00596506"/>
    <w:rsid w:val="00596AD3"/>
    <w:rsid w:val="00596E3D"/>
    <w:rsid w:val="00597096"/>
    <w:rsid w:val="0059751C"/>
    <w:rsid w:val="005977A9"/>
    <w:rsid w:val="00597947"/>
    <w:rsid w:val="00597A27"/>
    <w:rsid w:val="00597B35"/>
    <w:rsid w:val="00597BA9"/>
    <w:rsid w:val="005A02A4"/>
    <w:rsid w:val="005A066B"/>
    <w:rsid w:val="005A0D7B"/>
    <w:rsid w:val="005A0F5B"/>
    <w:rsid w:val="005A1104"/>
    <w:rsid w:val="005A119F"/>
    <w:rsid w:val="005A14E1"/>
    <w:rsid w:val="005A1905"/>
    <w:rsid w:val="005A1D6E"/>
    <w:rsid w:val="005A1F27"/>
    <w:rsid w:val="005A20EE"/>
    <w:rsid w:val="005A213B"/>
    <w:rsid w:val="005A265A"/>
    <w:rsid w:val="005A2864"/>
    <w:rsid w:val="005A2EDD"/>
    <w:rsid w:val="005A331B"/>
    <w:rsid w:val="005A3C01"/>
    <w:rsid w:val="005A3CC2"/>
    <w:rsid w:val="005A3D19"/>
    <w:rsid w:val="005A3F11"/>
    <w:rsid w:val="005A43B0"/>
    <w:rsid w:val="005A4C0C"/>
    <w:rsid w:val="005A4CAA"/>
    <w:rsid w:val="005A59CB"/>
    <w:rsid w:val="005A6EF3"/>
    <w:rsid w:val="005A6FA0"/>
    <w:rsid w:val="005A74C9"/>
    <w:rsid w:val="005A7F81"/>
    <w:rsid w:val="005B0319"/>
    <w:rsid w:val="005B0659"/>
    <w:rsid w:val="005B0A2E"/>
    <w:rsid w:val="005B1599"/>
    <w:rsid w:val="005B1663"/>
    <w:rsid w:val="005B1B9B"/>
    <w:rsid w:val="005B2A9D"/>
    <w:rsid w:val="005B37A1"/>
    <w:rsid w:val="005B3FB7"/>
    <w:rsid w:val="005B433E"/>
    <w:rsid w:val="005B46B5"/>
    <w:rsid w:val="005B4B11"/>
    <w:rsid w:val="005B4C18"/>
    <w:rsid w:val="005B4C4C"/>
    <w:rsid w:val="005B4CF7"/>
    <w:rsid w:val="005B4D3D"/>
    <w:rsid w:val="005B4F71"/>
    <w:rsid w:val="005B4FB7"/>
    <w:rsid w:val="005B582D"/>
    <w:rsid w:val="005B5AF9"/>
    <w:rsid w:val="005B5D82"/>
    <w:rsid w:val="005B6077"/>
    <w:rsid w:val="005B62AA"/>
    <w:rsid w:val="005B6321"/>
    <w:rsid w:val="005B6F5F"/>
    <w:rsid w:val="005B72FD"/>
    <w:rsid w:val="005B7CC5"/>
    <w:rsid w:val="005B7EF5"/>
    <w:rsid w:val="005C0173"/>
    <w:rsid w:val="005C021B"/>
    <w:rsid w:val="005C02A4"/>
    <w:rsid w:val="005C0697"/>
    <w:rsid w:val="005C0BB3"/>
    <w:rsid w:val="005C128A"/>
    <w:rsid w:val="005C190E"/>
    <w:rsid w:val="005C1981"/>
    <w:rsid w:val="005C2A48"/>
    <w:rsid w:val="005C2BA5"/>
    <w:rsid w:val="005C30C9"/>
    <w:rsid w:val="005C3682"/>
    <w:rsid w:val="005C372C"/>
    <w:rsid w:val="005C3829"/>
    <w:rsid w:val="005C3994"/>
    <w:rsid w:val="005C39B9"/>
    <w:rsid w:val="005C3C25"/>
    <w:rsid w:val="005C431D"/>
    <w:rsid w:val="005C4480"/>
    <w:rsid w:val="005C4749"/>
    <w:rsid w:val="005C49C3"/>
    <w:rsid w:val="005C4D3E"/>
    <w:rsid w:val="005C53C4"/>
    <w:rsid w:val="005C56EE"/>
    <w:rsid w:val="005C5C3C"/>
    <w:rsid w:val="005C5E6A"/>
    <w:rsid w:val="005C5FC6"/>
    <w:rsid w:val="005C6388"/>
    <w:rsid w:val="005C63F4"/>
    <w:rsid w:val="005C662F"/>
    <w:rsid w:val="005C677A"/>
    <w:rsid w:val="005C69F3"/>
    <w:rsid w:val="005C6DD3"/>
    <w:rsid w:val="005C6E52"/>
    <w:rsid w:val="005C7430"/>
    <w:rsid w:val="005C7565"/>
    <w:rsid w:val="005D0274"/>
    <w:rsid w:val="005D03FD"/>
    <w:rsid w:val="005D044F"/>
    <w:rsid w:val="005D0495"/>
    <w:rsid w:val="005D0E2F"/>
    <w:rsid w:val="005D10C4"/>
    <w:rsid w:val="005D16D5"/>
    <w:rsid w:val="005D1C15"/>
    <w:rsid w:val="005D1E19"/>
    <w:rsid w:val="005D215C"/>
    <w:rsid w:val="005D269C"/>
    <w:rsid w:val="005D2A59"/>
    <w:rsid w:val="005D2F53"/>
    <w:rsid w:val="005D309E"/>
    <w:rsid w:val="005D327E"/>
    <w:rsid w:val="005D3435"/>
    <w:rsid w:val="005D5266"/>
    <w:rsid w:val="005D5DD3"/>
    <w:rsid w:val="005D6227"/>
    <w:rsid w:val="005D624D"/>
    <w:rsid w:val="005D64B9"/>
    <w:rsid w:val="005D64BE"/>
    <w:rsid w:val="005D6B69"/>
    <w:rsid w:val="005D6EC8"/>
    <w:rsid w:val="005D73E5"/>
    <w:rsid w:val="005D7433"/>
    <w:rsid w:val="005D7675"/>
    <w:rsid w:val="005D7A6B"/>
    <w:rsid w:val="005E0C07"/>
    <w:rsid w:val="005E0ED1"/>
    <w:rsid w:val="005E1B5C"/>
    <w:rsid w:val="005E1D23"/>
    <w:rsid w:val="005E27D2"/>
    <w:rsid w:val="005E2E2C"/>
    <w:rsid w:val="005E2F8E"/>
    <w:rsid w:val="005E328E"/>
    <w:rsid w:val="005E3315"/>
    <w:rsid w:val="005E3DC8"/>
    <w:rsid w:val="005E411E"/>
    <w:rsid w:val="005E41A5"/>
    <w:rsid w:val="005E4298"/>
    <w:rsid w:val="005E42F7"/>
    <w:rsid w:val="005E4397"/>
    <w:rsid w:val="005E4805"/>
    <w:rsid w:val="005E50E4"/>
    <w:rsid w:val="005E5276"/>
    <w:rsid w:val="005E53F3"/>
    <w:rsid w:val="005E54C5"/>
    <w:rsid w:val="005E5537"/>
    <w:rsid w:val="005E5926"/>
    <w:rsid w:val="005E5EFE"/>
    <w:rsid w:val="005E6308"/>
    <w:rsid w:val="005E67D2"/>
    <w:rsid w:val="005E6B60"/>
    <w:rsid w:val="005E6C42"/>
    <w:rsid w:val="005E717D"/>
    <w:rsid w:val="005E7533"/>
    <w:rsid w:val="005E7EBB"/>
    <w:rsid w:val="005F005A"/>
    <w:rsid w:val="005F01AF"/>
    <w:rsid w:val="005F02A2"/>
    <w:rsid w:val="005F07FE"/>
    <w:rsid w:val="005F0978"/>
    <w:rsid w:val="005F09C1"/>
    <w:rsid w:val="005F13E5"/>
    <w:rsid w:val="005F20C7"/>
    <w:rsid w:val="005F23E9"/>
    <w:rsid w:val="005F2A0A"/>
    <w:rsid w:val="005F3241"/>
    <w:rsid w:val="005F350D"/>
    <w:rsid w:val="005F393E"/>
    <w:rsid w:val="005F3965"/>
    <w:rsid w:val="005F39A5"/>
    <w:rsid w:val="005F3B73"/>
    <w:rsid w:val="005F3D0F"/>
    <w:rsid w:val="005F3E2C"/>
    <w:rsid w:val="005F41A0"/>
    <w:rsid w:val="005F4350"/>
    <w:rsid w:val="005F4571"/>
    <w:rsid w:val="005F4D5A"/>
    <w:rsid w:val="005F4ED2"/>
    <w:rsid w:val="005F51E3"/>
    <w:rsid w:val="005F5BDC"/>
    <w:rsid w:val="005F5C7C"/>
    <w:rsid w:val="005F5D94"/>
    <w:rsid w:val="005F5F42"/>
    <w:rsid w:val="005F5F7A"/>
    <w:rsid w:val="005F6478"/>
    <w:rsid w:val="005F6A03"/>
    <w:rsid w:val="005F6BDF"/>
    <w:rsid w:val="005F6FD6"/>
    <w:rsid w:val="005F779D"/>
    <w:rsid w:val="005F77A0"/>
    <w:rsid w:val="005F7855"/>
    <w:rsid w:val="005F7964"/>
    <w:rsid w:val="005F79F9"/>
    <w:rsid w:val="00600035"/>
    <w:rsid w:val="0060004E"/>
    <w:rsid w:val="006005BD"/>
    <w:rsid w:val="00600B3F"/>
    <w:rsid w:val="00601023"/>
    <w:rsid w:val="0060129A"/>
    <w:rsid w:val="0060140D"/>
    <w:rsid w:val="00601F60"/>
    <w:rsid w:val="006025DA"/>
    <w:rsid w:val="00602789"/>
    <w:rsid w:val="0060296E"/>
    <w:rsid w:val="00602C05"/>
    <w:rsid w:val="00602F13"/>
    <w:rsid w:val="006033F5"/>
    <w:rsid w:val="006036AD"/>
    <w:rsid w:val="006038ED"/>
    <w:rsid w:val="006039BB"/>
    <w:rsid w:val="00603B98"/>
    <w:rsid w:val="00603C6D"/>
    <w:rsid w:val="00603DE4"/>
    <w:rsid w:val="00604B6E"/>
    <w:rsid w:val="0060533F"/>
    <w:rsid w:val="00605734"/>
    <w:rsid w:val="00605A37"/>
    <w:rsid w:val="00605ACE"/>
    <w:rsid w:val="00605DD1"/>
    <w:rsid w:val="00606AEF"/>
    <w:rsid w:val="00607EB2"/>
    <w:rsid w:val="006105C7"/>
    <w:rsid w:val="006106C3"/>
    <w:rsid w:val="00610C49"/>
    <w:rsid w:val="00610CEE"/>
    <w:rsid w:val="00610D50"/>
    <w:rsid w:val="00611E9E"/>
    <w:rsid w:val="00612577"/>
    <w:rsid w:val="00613B03"/>
    <w:rsid w:val="00613F53"/>
    <w:rsid w:val="00614215"/>
    <w:rsid w:val="006153EA"/>
    <w:rsid w:val="00615BC3"/>
    <w:rsid w:val="00615C6C"/>
    <w:rsid w:val="0061637F"/>
    <w:rsid w:val="006166FB"/>
    <w:rsid w:val="00616A5B"/>
    <w:rsid w:val="00616F74"/>
    <w:rsid w:val="0061724F"/>
    <w:rsid w:val="006173EF"/>
    <w:rsid w:val="006202A2"/>
    <w:rsid w:val="00620B66"/>
    <w:rsid w:val="00620DB4"/>
    <w:rsid w:val="00621773"/>
    <w:rsid w:val="006219A7"/>
    <w:rsid w:val="00621A4D"/>
    <w:rsid w:val="00621EDC"/>
    <w:rsid w:val="0062200B"/>
    <w:rsid w:val="00622240"/>
    <w:rsid w:val="006222A8"/>
    <w:rsid w:val="00622468"/>
    <w:rsid w:val="0062256F"/>
    <w:rsid w:val="00623013"/>
    <w:rsid w:val="00623222"/>
    <w:rsid w:val="00623622"/>
    <w:rsid w:val="0062390B"/>
    <w:rsid w:val="00623FED"/>
    <w:rsid w:val="00624539"/>
    <w:rsid w:val="00624D20"/>
    <w:rsid w:val="00625054"/>
    <w:rsid w:val="00625AEA"/>
    <w:rsid w:val="00625E7F"/>
    <w:rsid w:val="00626790"/>
    <w:rsid w:val="00626A18"/>
    <w:rsid w:val="00626AA8"/>
    <w:rsid w:val="006275D2"/>
    <w:rsid w:val="0063152A"/>
    <w:rsid w:val="00631753"/>
    <w:rsid w:val="00632189"/>
    <w:rsid w:val="00632355"/>
    <w:rsid w:val="00632C07"/>
    <w:rsid w:val="0063342A"/>
    <w:rsid w:val="00633546"/>
    <w:rsid w:val="006335FB"/>
    <w:rsid w:val="00633658"/>
    <w:rsid w:val="00634D24"/>
    <w:rsid w:val="0063549C"/>
    <w:rsid w:val="0063563E"/>
    <w:rsid w:val="00635653"/>
    <w:rsid w:val="006356A9"/>
    <w:rsid w:val="00635B48"/>
    <w:rsid w:val="00635E22"/>
    <w:rsid w:val="0063601E"/>
    <w:rsid w:val="006364B0"/>
    <w:rsid w:val="00636850"/>
    <w:rsid w:val="00636C6D"/>
    <w:rsid w:val="00636E84"/>
    <w:rsid w:val="0063763C"/>
    <w:rsid w:val="006378F0"/>
    <w:rsid w:val="00637DC8"/>
    <w:rsid w:val="00640072"/>
    <w:rsid w:val="00640343"/>
    <w:rsid w:val="006403AC"/>
    <w:rsid w:val="00640CDB"/>
    <w:rsid w:val="00640D9E"/>
    <w:rsid w:val="006422A6"/>
    <w:rsid w:val="0064252B"/>
    <w:rsid w:val="00642A8A"/>
    <w:rsid w:val="00642C22"/>
    <w:rsid w:val="006431C7"/>
    <w:rsid w:val="006433AB"/>
    <w:rsid w:val="006435A4"/>
    <w:rsid w:val="006437C0"/>
    <w:rsid w:val="006438F2"/>
    <w:rsid w:val="0064394C"/>
    <w:rsid w:val="006439B2"/>
    <w:rsid w:val="006445FC"/>
    <w:rsid w:val="00644D46"/>
    <w:rsid w:val="00644DF0"/>
    <w:rsid w:val="00644F91"/>
    <w:rsid w:val="00645415"/>
    <w:rsid w:val="006460F7"/>
    <w:rsid w:val="00646442"/>
    <w:rsid w:val="00646939"/>
    <w:rsid w:val="0064740D"/>
    <w:rsid w:val="00647781"/>
    <w:rsid w:val="00647FE8"/>
    <w:rsid w:val="006505C8"/>
    <w:rsid w:val="00650BCC"/>
    <w:rsid w:val="00651088"/>
    <w:rsid w:val="00651120"/>
    <w:rsid w:val="0065132A"/>
    <w:rsid w:val="00651664"/>
    <w:rsid w:val="00651C3B"/>
    <w:rsid w:val="00651C8C"/>
    <w:rsid w:val="00651DDA"/>
    <w:rsid w:val="006523AC"/>
    <w:rsid w:val="006525E7"/>
    <w:rsid w:val="00652890"/>
    <w:rsid w:val="00652CAF"/>
    <w:rsid w:val="006536C5"/>
    <w:rsid w:val="0065383B"/>
    <w:rsid w:val="00654230"/>
    <w:rsid w:val="006543DD"/>
    <w:rsid w:val="00654E73"/>
    <w:rsid w:val="00654F87"/>
    <w:rsid w:val="00655362"/>
    <w:rsid w:val="0065574F"/>
    <w:rsid w:val="00655950"/>
    <w:rsid w:val="00655ABC"/>
    <w:rsid w:val="00655C39"/>
    <w:rsid w:val="0065601E"/>
    <w:rsid w:val="00656116"/>
    <w:rsid w:val="00656367"/>
    <w:rsid w:val="006569BE"/>
    <w:rsid w:val="00656FE8"/>
    <w:rsid w:val="00657234"/>
    <w:rsid w:val="00657DAB"/>
    <w:rsid w:val="00657EE3"/>
    <w:rsid w:val="00660525"/>
    <w:rsid w:val="00660557"/>
    <w:rsid w:val="00660984"/>
    <w:rsid w:val="00661388"/>
    <w:rsid w:val="0066142E"/>
    <w:rsid w:val="00661C52"/>
    <w:rsid w:val="006621DB"/>
    <w:rsid w:val="00662A68"/>
    <w:rsid w:val="00662C19"/>
    <w:rsid w:val="00663352"/>
    <w:rsid w:val="00663363"/>
    <w:rsid w:val="0066345C"/>
    <w:rsid w:val="00663B95"/>
    <w:rsid w:val="00664675"/>
    <w:rsid w:val="0066481C"/>
    <w:rsid w:val="006649C0"/>
    <w:rsid w:val="006653AF"/>
    <w:rsid w:val="006656F2"/>
    <w:rsid w:val="00665705"/>
    <w:rsid w:val="00665B0E"/>
    <w:rsid w:val="006664FD"/>
    <w:rsid w:val="006668C7"/>
    <w:rsid w:val="00666A77"/>
    <w:rsid w:val="00666F6E"/>
    <w:rsid w:val="0066701E"/>
    <w:rsid w:val="0066725A"/>
    <w:rsid w:val="0067002D"/>
    <w:rsid w:val="0067015C"/>
    <w:rsid w:val="00670381"/>
    <w:rsid w:val="00670501"/>
    <w:rsid w:val="006705D5"/>
    <w:rsid w:val="00670854"/>
    <w:rsid w:val="006716BF"/>
    <w:rsid w:val="00671B9C"/>
    <w:rsid w:val="00671F61"/>
    <w:rsid w:val="00672649"/>
    <w:rsid w:val="006726D5"/>
    <w:rsid w:val="006728B6"/>
    <w:rsid w:val="00672AC8"/>
    <w:rsid w:val="00672D70"/>
    <w:rsid w:val="00673704"/>
    <w:rsid w:val="00673753"/>
    <w:rsid w:val="00673B9C"/>
    <w:rsid w:val="00673C20"/>
    <w:rsid w:val="00673D9F"/>
    <w:rsid w:val="00673E12"/>
    <w:rsid w:val="00674418"/>
    <w:rsid w:val="006746F4"/>
    <w:rsid w:val="00674EFF"/>
    <w:rsid w:val="00675636"/>
    <w:rsid w:val="00675D88"/>
    <w:rsid w:val="0067617F"/>
    <w:rsid w:val="00676990"/>
    <w:rsid w:val="0067712C"/>
    <w:rsid w:val="00677266"/>
    <w:rsid w:val="00677D88"/>
    <w:rsid w:val="006802CB"/>
    <w:rsid w:val="0068060C"/>
    <w:rsid w:val="00680742"/>
    <w:rsid w:val="006807A4"/>
    <w:rsid w:val="0068081A"/>
    <w:rsid w:val="0068089F"/>
    <w:rsid w:val="00680EC8"/>
    <w:rsid w:val="00680EDE"/>
    <w:rsid w:val="006815AF"/>
    <w:rsid w:val="00681953"/>
    <w:rsid w:val="00681E68"/>
    <w:rsid w:val="0068217E"/>
    <w:rsid w:val="006830AB"/>
    <w:rsid w:val="006834B1"/>
    <w:rsid w:val="00683980"/>
    <w:rsid w:val="00683BB6"/>
    <w:rsid w:val="00684183"/>
    <w:rsid w:val="0068437E"/>
    <w:rsid w:val="00684AEC"/>
    <w:rsid w:val="00684B71"/>
    <w:rsid w:val="00684D1A"/>
    <w:rsid w:val="00684E8A"/>
    <w:rsid w:val="006852D2"/>
    <w:rsid w:val="0068571A"/>
    <w:rsid w:val="00685DF0"/>
    <w:rsid w:val="0068619F"/>
    <w:rsid w:val="0068635C"/>
    <w:rsid w:val="0068685F"/>
    <w:rsid w:val="00686AA6"/>
    <w:rsid w:val="00686E60"/>
    <w:rsid w:val="00686E70"/>
    <w:rsid w:val="00686F93"/>
    <w:rsid w:val="00687A0C"/>
    <w:rsid w:val="00687ACD"/>
    <w:rsid w:val="00687BAC"/>
    <w:rsid w:val="00687CC0"/>
    <w:rsid w:val="00687D53"/>
    <w:rsid w:val="00687D62"/>
    <w:rsid w:val="00690C72"/>
    <w:rsid w:val="00690CB3"/>
    <w:rsid w:val="006912EF"/>
    <w:rsid w:val="00691D2A"/>
    <w:rsid w:val="006923CE"/>
    <w:rsid w:val="006924B2"/>
    <w:rsid w:val="00692E08"/>
    <w:rsid w:val="00693128"/>
    <w:rsid w:val="006934F3"/>
    <w:rsid w:val="006936D8"/>
    <w:rsid w:val="00693A00"/>
    <w:rsid w:val="00693A9D"/>
    <w:rsid w:val="00693D3D"/>
    <w:rsid w:val="00694530"/>
    <w:rsid w:val="00694B73"/>
    <w:rsid w:val="00694D32"/>
    <w:rsid w:val="00694EA6"/>
    <w:rsid w:val="00695130"/>
    <w:rsid w:val="0069599B"/>
    <w:rsid w:val="00695C22"/>
    <w:rsid w:val="00696B3E"/>
    <w:rsid w:val="0069722F"/>
    <w:rsid w:val="006972C9"/>
    <w:rsid w:val="0069734B"/>
    <w:rsid w:val="00697743"/>
    <w:rsid w:val="006979BB"/>
    <w:rsid w:val="006979EB"/>
    <w:rsid w:val="00697E48"/>
    <w:rsid w:val="006A04D9"/>
    <w:rsid w:val="006A0B26"/>
    <w:rsid w:val="006A0D2C"/>
    <w:rsid w:val="006A0D4F"/>
    <w:rsid w:val="006A0F6C"/>
    <w:rsid w:val="006A1C06"/>
    <w:rsid w:val="006A21A4"/>
    <w:rsid w:val="006A23E7"/>
    <w:rsid w:val="006A255D"/>
    <w:rsid w:val="006A2622"/>
    <w:rsid w:val="006A2960"/>
    <w:rsid w:val="006A2ACC"/>
    <w:rsid w:val="006A2CD5"/>
    <w:rsid w:val="006A308A"/>
    <w:rsid w:val="006A3367"/>
    <w:rsid w:val="006A3403"/>
    <w:rsid w:val="006A34F3"/>
    <w:rsid w:val="006A35CA"/>
    <w:rsid w:val="006A3B68"/>
    <w:rsid w:val="006A3BC3"/>
    <w:rsid w:val="006A3E84"/>
    <w:rsid w:val="006A3F95"/>
    <w:rsid w:val="006A4253"/>
    <w:rsid w:val="006A45EA"/>
    <w:rsid w:val="006A4615"/>
    <w:rsid w:val="006A4B10"/>
    <w:rsid w:val="006A4D3F"/>
    <w:rsid w:val="006A4F5D"/>
    <w:rsid w:val="006A5476"/>
    <w:rsid w:val="006A5FFF"/>
    <w:rsid w:val="006A62BB"/>
    <w:rsid w:val="006A66DA"/>
    <w:rsid w:val="006A6ABE"/>
    <w:rsid w:val="006A6D70"/>
    <w:rsid w:val="006A710B"/>
    <w:rsid w:val="006A74E7"/>
    <w:rsid w:val="006A7861"/>
    <w:rsid w:val="006A7916"/>
    <w:rsid w:val="006A7B5F"/>
    <w:rsid w:val="006A7B84"/>
    <w:rsid w:val="006A7D45"/>
    <w:rsid w:val="006A7FD1"/>
    <w:rsid w:val="006A7FE9"/>
    <w:rsid w:val="006B0208"/>
    <w:rsid w:val="006B03FC"/>
    <w:rsid w:val="006B0D95"/>
    <w:rsid w:val="006B1077"/>
    <w:rsid w:val="006B122C"/>
    <w:rsid w:val="006B1341"/>
    <w:rsid w:val="006B14D3"/>
    <w:rsid w:val="006B1783"/>
    <w:rsid w:val="006B18FB"/>
    <w:rsid w:val="006B19CF"/>
    <w:rsid w:val="006B2519"/>
    <w:rsid w:val="006B26DA"/>
    <w:rsid w:val="006B3339"/>
    <w:rsid w:val="006B3402"/>
    <w:rsid w:val="006B3649"/>
    <w:rsid w:val="006B3FB8"/>
    <w:rsid w:val="006B49B6"/>
    <w:rsid w:val="006B5801"/>
    <w:rsid w:val="006B582B"/>
    <w:rsid w:val="006B5DAB"/>
    <w:rsid w:val="006B62F7"/>
    <w:rsid w:val="006B65BC"/>
    <w:rsid w:val="006B6728"/>
    <w:rsid w:val="006B6BF0"/>
    <w:rsid w:val="006B76A9"/>
    <w:rsid w:val="006B7C80"/>
    <w:rsid w:val="006B7E09"/>
    <w:rsid w:val="006C0837"/>
    <w:rsid w:val="006C11B7"/>
    <w:rsid w:val="006C1866"/>
    <w:rsid w:val="006C1CBC"/>
    <w:rsid w:val="006C20EA"/>
    <w:rsid w:val="006C2AFA"/>
    <w:rsid w:val="006C2B1B"/>
    <w:rsid w:val="006C313B"/>
    <w:rsid w:val="006C33A3"/>
    <w:rsid w:val="006C362C"/>
    <w:rsid w:val="006C380D"/>
    <w:rsid w:val="006C39BB"/>
    <w:rsid w:val="006C3B7D"/>
    <w:rsid w:val="006C3DCE"/>
    <w:rsid w:val="006C415E"/>
    <w:rsid w:val="006C42AF"/>
    <w:rsid w:val="006C4634"/>
    <w:rsid w:val="006C4654"/>
    <w:rsid w:val="006C4891"/>
    <w:rsid w:val="006C52A7"/>
    <w:rsid w:val="006C5905"/>
    <w:rsid w:val="006C592E"/>
    <w:rsid w:val="006C5C44"/>
    <w:rsid w:val="006C5FE9"/>
    <w:rsid w:val="006C6725"/>
    <w:rsid w:val="006C6946"/>
    <w:rsid w:val="006C72F9"/>
    <w:rsid w:val="006C7307"/>
    <w:rsid w:val="006C746E"/>
    <w:rsid w:val="006C74DC"/>
    <w:rsid w:val="006D0503"/>
    <w:rsid w:val="006D0BC2"/>
    <w:rsid w:val="006D0E38"/>
    <w:rsid w:val="006D103A"/>
    <w:rsid w:val="006D18D5"/>
    <w:rsid w:val="006D22F6"/>
    <w:rsid w:val="006D24BE"/>
    <w:rsid w:val="006D2843"/>
    <w:rsid w:val="006D2A26"/>
    <w:rsid w:val="006D2E46"/>
    <w:rsid w:val="006D327C"/>
    <w:rsid w:val="006D3422"/>
    <w:rsid w:val="006D3617"/>
    <w:rsid w:val="006D3846"/>
    <w:rsid w:val="006D3A58"/>
    <w:rsid w:val="006D430D"/>
    <w:rsid w:val="006D5355"/>
    <w:rsid w:val="006D5837"/>
    <w:rsid w:val="006D58F9"/>
    <w:rsid w:val="006D5DC0"/>
    <w:rsid w:val="006D628F"/>
    <w:rsid w:val="006D6312"/>
    <w:rsid w:val="006D6329"/>
    <w:rsid w:val="006D65F7"/>
    <w:rsid w:val="006D669D"/>
    <w:rsid w:val="006D6902"/>
    <w:rsid w:val="006D7011"/>
    <w:rsid w:val="006D70B8"/>
    <w:rsid w:val="006D740F"/>
    <w:rsid w:val="006D7B2A"/>
    <w:rsid w:val="006E010B"/>
    <w:rsid w:val="006E07BF"/>
    <w:rsid w:val="006E088B"/>
    <w:rsid w:val="006E0E24"/>
    <w:rsid w:val="006E0EF1"/>
    <w:rsid w:val="006E0F51"/>
    <w:rsid w:val="006E19CF"/>
    <w:rsid w:val="006E1C86"/>
    <w:rsid w:val="006E1D0C"/>
    <w:rsid w:val="006E1E87"/>
    <w:rsid w:val="006E20D6"/>
    <w:rsid w:val="006E2204"/>
    <w:rsid w:val="006E295E"/>
    <w:rsid w:val="006E2BB4"/>
    <w:rsid w:val="006E33E1"/>
    <w:rsid w:val="006E3505"/>
    <w:rsid w:val="006E3BCA"/>
    <w:rsid w:val="006E416A"/>
    <w:rsid w:val="006E4202"/>
    <w:rsid w:val="006E43F4"/>
    <w:rsid w:val="006E4508"/>
    <w:rsid w:val="006E452B"/>
    <w:rsid w:val="006E45F1"/>
    <w:rsid w:val="006E468E"/>
    <w:rsid w:val="006E51DF"/>
    <w:rsid w:val="006E5620"/>
    <w:rsid w:val="006E5C6F"/>
    <w:rsid w:val="006E5D90"/>
    <w:rsid w:val="006E5D9E"/>
    <w:rsid w:val="006E612C"/>
    <w:rsid w:val="006E6173"/>
    <w:rsid w:val="006E62C8"/>
    <w:rsid w:val="006E6E23"/>
    <w:rsid w:val="006E724A"/>
    <w:rsid w:val="006E74DF"/>
    <w:rsid w:val="006E7623"/>
    <w:rsid w:val="006E796E"/>
    <w:rsid w:val="006F05A5"/>
    <w:rsid w:val="006F088B"/>
    <w:rsid w:val="006F0FDD"/>
    <w:rsid w:val="006F19DB"/>
    <w:rsid w:val="006F19FB"/>
    <w:rsid w:val="006F1CDF"/>
    <w:rsid w:val="006F1E96"/>
    <w:rsid w:val="006F1EF2"/>
    <w:rsid w:val="006F2342"/>
    <w:rsid w:val="006F23AF"/>
    <w:rsid w:val="006F2DF7"/>
    <w:rsid w:val="006F2E61"/>
    <w:rsid w:val="006F3117"/>
    <w:rsid w:val="006F3421"/>
    <w:rsid w:val="006F353F"/>
    <w:rsid w:val="006F355C"/>
    <w:rsid w:val="006F390C"/>
    <w:rsid w:val="006F3A11"/>
    <w:rsid w:val="006F3BA6"/>
    <w:rsid w:val="006F3C81"/>
    <w:rsid w:val="006F4175"/>
    <w:rsid w:val="006F427F"/>
    <w:rsid w:val="006F454D"/>
    <w:rsid w:val="006F45DB"/>
    <w:rsid w:val="006F482E"/>
    <w:rsid w:val="006F491B"/>
    <w:rsid w:val="006F4950"/>
    <w:rsid w:val="006F4998"/>
    <w:rsid w:val="006F49FE"/>
    <w:rsid w:val="006F4BBA"/>
    <w:rsid w:val="006F5663"/>
    <w:rsid w:val="006F580A"/>
    <w:rsid w:val="006F6421"/>
    <w:rsid w:val="006F677B"/>
    <w:rsid w:val="006F6F52"/>
    <w:rsid w:val="006F724D"/>
    <w:rsid w:val="006F7782"/>
    <w:rsid w:val="006F7E8A"/>
    <w:rsid w:val="00700692"/>
    <w:rsid w:val="007006A2"/>
    <w:rsid w:val="0070079D"/>
    <w:rsid w:val="0070137D"/>
    <w:rsid w:val="00701F5A"/>
    <w:rsid w:val="00702539"/>
    <w:rsid w:val="0070254D"/>
    <w:rsid w:val="0070291B"/>
    <w:rsid w:val="007029B5"/>
    <w:rsid w:val="00703983"/>
    <w:rsid w:val="00703BDC"/>
    <w:rsid w:val="00703DA8"/>
    <w:rsid w:val="00703E33"/>
    <w:rsid w:val="007040F4"/>
    <w:rsid w:val="00704422"/>
    <w:rsid w:val="00704590"/>
    <w:rsid w:val="00704675"/>
    <w:rsid w:val="00704C9B"/>
    <w:rsid w:val="00705873"/>
    <w:rsid w:val="00705B55"/>
    <w:rsid w:val="00705E1C"/>
    <w:rsid w:val="00705F7B"/>
    <w:rsid w:val="00706393"/>
    <w:rsid w:val="00706470"/>
    <w:rsid w:val="00706BFD"/>
    <w:rsid w:val="00706E8B"/>
    <w:rsid w:val="00707593"/>
    <w:rsid w:val="00707CE9"/>
    <w:rsid w:val="00710129"/>
    <w:rsid w:val="007101CE"/>
    <w:rsid w:val="00710531"/>
    <w:rsid w:val="00710B38"/>
    <w:rsid w:val="00710BEF"/>
    <w:rsid w:val="00711030"/>
    <w:rsid w:val="00711072"/>
    <w:rsid w:val="007110E9"/>
    <w:rsid w:val="007112AB"/>
    <w:rsid w:val="00711CB3"/>
    <w:rsid w:val="00712145"/>
    <w:rsid w:val="00712A0E"/>
    <w:rsid w:val="00712B83"/>
    <w:rsid w:val="00712C7B"/>
    <w:rsid w:val="00713698"/>
    <w:rsid w:val="00713DAA"/>
    <w:rsid w:val="00713EB2"/>
    <w:rsid w:val="00713F35"/>
    <w:rsid w:val="0071425B"/>
    <w:rsid w:val="00714410"/>
    <w:rsid w:val="0071452B"/>
    <w:rsid w:val="0071471A"/>
    <w:rsid w:val="00715091"/>
    <w:rsid w:val="0071513E"/>
    <w:rsid w:val="00715221"/>
    <w:rsid w:val="00715321"/>
    <w:rsid w:val="00715845"/>
    <w:rsid w:val="00715A07"/>
    <w:rsid w:val="00715F7C"/>
    <w:rsid w:val="00716053"/>
    <w:rsid w:val="007160FC"/>
    <w:rsid w:val="00716102"/>
    <w:rsid w:val="007162B4"/>
    <w:rsid w:val="0071632B"/>
    <w:rsid w:val="0071649E"/>
    <w:rsid w:val="00716541"/>
    <w:rsid w:val="00716DD2"/>
    <w:rsid w:val="00717005"/>
    <w:rsid w:val="0071757B"/>
    <w:rsid w:val="007178FD"/>
    <w:rsid w:val="00720A71"/>
    <w:rsid w:val="00720EC1"/>
    <w:rsid w:val="00722582"/>
    <w:rsid w:val="007229BE"/>
    <w:rsid w:val="00722A96"/>
    <w:rsid w:val="007230C4"/>
    <w:rsid w:val="00723420"/>
    <w:rsid w:val="00723D36"/>
    <w:rsid w:val="00723DFB"/>
    <w:rsid w:val="007243DA"/>
    <w:rsid w:val="0072442D"/>
    <w:rsid w:val="007245B4"/>
    <w:rsid w:val="00724AC0"/>
    <w:rsid w:val="00724DA8"/>
    <w:rsid w:val="00725041"/>
    <w:rsid w:val="00725084"/>
    <w:rsid w:val="007250BE"/>
    <w:rsid w:val="007251D8"/>
    <w:rsid w:val="00725222"/>
    <w:rsid w:val="00725241"/>
    <w:rsid w:val="007254E5"/>
    <w:rsid w:val="00725A99"/>
    <w:rsid w:val="00725F06"/>
    <w:rsid w:val="00726265"/>
    <w:rsid w:val="00726276"/>
    <w:rsid w:val="00726339"/>
    <w:rsid w:val="0072640A"/>
    <w:rsid w:val="0072684B"/>
    <w:rsid w:val="007269E4"/>
    <w:rsid w:val="00726E7C"/>
    <w:rsid w:val="00727009"/>
    <w:rsid w:val="007272BF"/>
    <w:rsid w:val="00727929"/>
    <w:rsid w:val="00727B88"/>
    <w:rsid w:val="00727D30"/>
    <w:rsid w:val="007302F9"/>
    <w:rsid w:val="007304C7"/>
    <w:rsid w:val="00730501"/>
    <w:rsid w:val="007307D9"/>
    <w:rsid w:val="00730A65"/>
    <w:rsid w:val="00730D59"/>
    <w:rsid w:val="00731886"/>
    <w:rsid w:val="007319B4"/>
    <w:rsid w:val="00732389"/>
    <w:rsid w:val="007323FD"/>
    <w:rsid w:val="00732A3A"/>
    <w:rsid w:val="00732BDB"/>
    <w:rsid w:val="00733401"/>
    <w:rsid w:val="007334F8"/>
    <w:rsid w:val="007337DE"/>
    <w:rsid w:val="00733917"/>
    <w:rsid w:val="0073517A"/>
    <w:rsid w:val="00735808"/>
    <w:rsid w:val="00735871"/>
    <w:rsid w:val="00735AC8"/>
    <w:rsid w:val="00735BC7"/>
    <w:rsid w:val="00736623"/>
    <w:rsid w:val="0073677B"/>
    <w:rsid w:val="007367A2"/>
    <w:rsid w:val="00736FF4"/>
    <w:rsid w:val="00737791"/>
    <w:rsid w:val="00737BD2"/>
    <w:rsid w:val="00737D0D"/>
    <w:rsid w:val="00740B5F"/>
    <w:rsid w:val="00740EE8"/>
    <w:rsid w:val="007411A8"/>
    <w:rsid w:val="007415A4"/>
    <w:rsid w:val="007416C7"/>
    <w:rsid w:val="00741AC7"/>
    <w:rsid w:val="00741FCF"/>
    <w:rsid w:val="00742879"/>
    <w:rsid w:val="0074296A"/>
    <w:rsid w:val="00742D01"/>
    <w:rsid w:val="00742D52"/>
    <w:rsid w:val="00742F08"/>
    <w:rsid w:val="007431E2"/>
    <w:rsid w:val="00743215"/>
    <w:rsid w:val="00743384"/>
    <w:rsid w:val="007438DF"/>
    <w:rsid w:val="007439AE"/>
    <w:rsid w:val="007439F0"/>
    <w:rsid w:val="00743C99"/>
    <w:rsid w:val="00743DBA"/>
    <w:rsid w:val="00744018"/>
    <w:rsid w:val="0074458B"/>
    <w:rsid w:val="00744695"/>
    <w:rsid w:val="00745429"/>
    <w:rsid w:val="00745A32"/>
    <w:rsid w:val="00745C29"/>
    <w:rsid w:val="007464C0"/>
    <w:rsid w:val="0074666E"/>
    <w:rsid w:val="0074680A"/>
    <w:rsid w:val="00746A4C"/>
    <w:rsid w:val="007477B9"/>
    <w:rsid w:val="00747830"/>
    <w:rsid w:val="00747874"/>
    <w:rsid w:val="00747C45"/>
    <w:rsid w:val="00747D5F"/>
    <w:rsid w:val="00747EC9"/>
    <w:rsid w:val="00750306"/>
    <w:rsid w:val="00750505"/>
    <w:rsid w:val="0075053A"/>
    <w:rsid w:val="00750591"/>
    <w:rsid w:val="0075092B"/>
    <w:rsid w:val="00750AF1"/>
    <w:rsid w:val="00750C11"/>
    <w:rsid w:val="00750E65"/>
    <w:rsid w:val="0075117F"/>
    <w:rsid w:val="00751510"/>
    <w:rsid w:val="007516DA"/>
    <w:rsid w:val="0075184F"/>
    <w:rsid w:val="007519EF"/>
    <w:rsid w:val="00751AA7"/>
    <w:rsid w:val="00751ADD"/>
    <w:rsid w:val="00751BEF"/>
    <w:rsid w:val="00751FB0"/>
    <w:rsid w:val="00752104"/>
    <w:rsid w:val="007524C4"/>
    <w:rsid w:val="007526AB"/>
    <w:rsid w:val="00752C95"/>
    <w:rsid w:val="00752EC5"/>
    <w:rsid w:val="0075369E"/>
    <w:rsid w:val="00753967"/>
    <w:rsid w:val="00753D9F"/>
    <w:rsid w:val="00754C49"/>
    <w:rsid w:val="00754CD5"/>
    <w:rsid w:val="00755073"/>
    <w:rsid w:val="007550AC"/>
    <w:rsid w:val="0075544B"/>
    <w:rsid w:val="007556F5"/>
    <w:rsid w:val="007557B2"/>
    <w:rsid w:val="00755DA7"/>
    <w:rsid w:val="00756299"/>
    <w:rsid w:val="00757104"/>
    <w:rsid w:val="007600EC"/>
    <w:rsid w:val="00760126"/>
    <w:rsid w:val="00760171"/>
    <w:rsid w:val="00760E81"/>
    <w:rsid w:val="00760EA6"/>
    <w:rsid w:val="00761669"/>
    <w:rsid w:val="00761BB0"/>
    <w:rsid w:val="00761F2F"/>
    <w:rsid w:val="007624F7"/>
    <w:rsid w:val="007628E9"/>
    <w:rsid w:val="00762D76"/>
    <w:rsid w:val="00762ED2"/>
    <w:rsid w:val="00762FB5"/>
    <w:rsid w:val="00763240"/>
    <w:rsid w:val="00763A12"/>
    <w:rsid w:val="00764187"/>
    <w:rsid w:val="0076453B"/>
    <w:rsid w:val="00764722"/>
    <w:rsid w:val="00764CC5"/>
    <w:rsid w:val="00765086"/>
    <w:rsid w:val="00765408"/>
    <w:rsid w:val="007655D1"/>
    <w:rsid w:val="007657E6"/>
    <w:rsid w:val="00765A7C"/>
    <w:rsid w:val="00765DB1"/>
    <w:rsid w:val="0076644F"/>
    <w:rsid w:val="007667D2"/>
    <w:rsid w:val="00766BF9"/>
    <w:rsid w:val="00766D92"/>
    <w:rsid w:val="00766FB1"/>
    <w:rsid w:val="0076758F"/>
    <w:rsid w:val="007676D7"/>
    <w:rsid w:val="0076771C"/>
    <w:rsid w:val="0076779D"/>
    <w:rsid w:val="00767AFB"/>
    <w:rsid w:val="00767BEA"/>
    <w:rsid w:val="00767C2A"/>
    <w:rsid w:val="0077064D"/>
    <w:rsid w:val="00770663"/>
    <w:rsid w:val="00770723"/>
    <w:rsid w:val="00770B2D"/>
    <w:rsid w:val="0077132F"/>
    <w:rsid w:val="00771694"/>
    <w:rsid w:val="007718C6"/>
    <w:rsid w:val="00771988"/>
    <w:rsid w:val="007719BA"/>
    <w:rsid w:val="00771C5F"/>
    <w:rsid w:val="0077238C"/>
    <w:rsid w:val="007725AF"/>
    <w:rsid w:val="007726B4"/>
    <w:rsid w:val="0077289E"/>
    <w:rsid w:val="00772C2B"/>
    <w:rsid w:val="007734B5"/>
    <w:rsid w:val="0077361A"/>
    <w:rsid w:val="00773721"/>
    <w:rsid w:val="00773DEC"/>
    <w:rsid w:val="00773E87"/>
    <w:rsid w:val="0077562F"/>
    <w:rsid w:val="00775694"/>
    <w:rsid w:val="007759DA"/>
    <w:rsid w:val="00775A9B"/>
    <w:rsid w:val="00776B0D"/>
    <w:rsid w:val="00776C0B"/>
    <w:rsid w:val="007770F6"/>
    <w:rsid w:val="00777EDB"/>
    <w:rsid w:val="00780760"/>
    <w:rsid w:val="00780D31"/>
    <w:rsid w:val="007810EF"/>
    <w:rsid w:val="00781EDA"/>
    <w:rsid w:val="007821E9"/>
    <w:rsid w:val="007823E2"/>
    <w:rsid w:val="00783F36"/>
    <w:rsid w:val="0078410C"/>
    <w:rsid w:val="0078414F"/>
    <w:rsid w:val="0078455B"/>
    <w:rsid w:val="00784775"/>
    <w:rsid w:val="00784BAC"/>
    <w:rsid w:val="00784C22"/>
    <w:rsid w:val="00784E4D"/>
    <w:rsid w:val="00784F26"/>
    <w:rsid w:val="007856BD"/>
    <w:rsid w:val="00785801"/>
    <w:rsid w:val="00785ABB"/>
    <w:rsid w:val="0078658D"/>
    <w:rsid w:val="00786AD8"/>
    <w:rsid w:val="00786BC6"/>
    <w:rsid w:val="00787211"/>
    <w:rsid w:val="00790091"/>
    <w:rsid w:val="007905EE"/>
    <w:rsid w:val="00790AC0"/>
    <w:rsid w:val="00791104"/>
    <w:rsid w:val="0079124A"/>
    <w:rsid w:val="00791348"/>
    <w:rsid w:val="00791E54"/>
    <w:rsid w:val="00792098"/>
    <w:rsid w:val="00792175"/>
    <w:rsid w:val="007924AC"/>
    <w:rsid w:val="007927C7"/>
    <w:rsid w:val="00792863"/>
    <w:rsid w:val="00792F2D"/>
    <w:rsid w:val="00793013"/>
    <w:rsid w:val="007931BE"/>
    <w:rsid w:val="007935AC"/>
    <w:rsid w:val="007943D4"/>
    <w:rsid w:val="00794744"/>
    <w:rsid w:val="0079493A"/>
    <w:rsid w:val="00794B75"/>
    <w:rsid w:val="0079564D"/>
    <w:rsid w:val="00796FF3"/>
    <w:rsid w:val="00797E48"/>
    <w:rsid w:val="007A015B"/>
    <w:rsid w:val="007A01CE"/>
    <w:rsid w:val="007A04C2"/>
    <w:rsid w:val="007A0998"/>
    <w:rsid w:val="007A0C81"/>
    <w:rsid w:val="007A210F"/>
    <w:rsid w:val="007A2169"/>
    <w:rsid w:val="007A232A"/>
    <w:rsid w:val="007A2F32"/>
    <w:rsid w:val="007A30D0"/>
    <w:rsid w:val="007A3A6B"/>
    <w:rsid w:val="007A406D"/>
    <w:rsid w:val="007A4F09"/>
    <w:rsid w:val="007A4FA7"/>
    <w:rsid w:val="007A52AA"/>
    <w:rsid w:val="007A5374"/>
    <w:rsid w:val="007A5DD4"/>
    <w:rsid w:val="007A5F9A"/>
    <w:rsid w:val="007A60AD"/>
    <w:rsid w:val="007A6785"/>
    <w:rsid w:val="007A6BBA"/>
    <w:rsid w:val="007A6CBA"/>
    <w:rsid w:val="007A6CD9"/>
    <w:rsid w:val="007A6E27"/>
    <w:rsid w:val="007A7236"/>
    <w:rsid w:val="007A7295"/>
    <w:rsid w:val="007A73C7"/>
    <w:rsid w:val="007A754E"/>
    <w:rsid w:val="007A75FD"/>
    <w:rsid w:val="007A7693"/>
    <w:rsid w:val="007A7D21"/>
    <w:rsid w:val="007B003F"/>
    <w:rsid w:val="007B009A"/>
    <w:rsid w:val="007B0110"/>
    <w:rsid w:val="007B0A4F"/>
    <w:rsid w:val="007B10A1"/>
    <w:rsid w:val="007B12C0"/>
    <w:rsid w:val="007B1F15"/>
    <w:rsid w:val="007B209B"/>
    <w:rsid w:val="007B2126"/>
    <w:rsid w:val="007B2571"/>
    <w:rsid w:val="007B3022"/>
    <w:rsid w:val="007B31EE"/>
    <w:rsid w:val="007B361D"/>
    <w:rsid w:val="007B3AB4"/>
    <w:rsid w:val="007B3ABE"/>
    <w:rsid w:val="007B3C4B"/>
    <w:rsid w:val="007B3C9E"/>
    <w:rsid w:val="007B3E77"/>
    <w:rsid w:val="007B3F99"/>
    <w:rsid w:val="007B453D"/>
    <w:rsid w:val="007B5136"/>
    <w:rsid w:val="007B51E0"/>
    <w:rsid w:val="007B5366"/>
    <w:rsid w:val="007B555F"/>
    <w:rsid w:val="007B5943"/>
    <w:rsid w:val="007B5CD6"/>
    <w:rsid w:val="007B68A3"/>
    <w:rsid w:val="007B6F67"/>
    <w:rsid w:val="007B6F93"/>
    <w:rsid w:val="007B733C"/>
    <w:rsid w:val="007B73CD"/>
    <w:rsid w:val="007B77AC"/>
    <w:rsid w:val="007B7B8B"/>
    <w:rsid w:val="007B7EC2"/>
    <w:rsid w:val="007C005B"/>
    <w:rsid w:val="007C027F"/>
    <w:rsid w:val="007C04C0"/>
    <w:rsid w:val="007C08E0"/>
    <w:rsid w:val="007C0B99"/>
    <w:rsid w:val="007C117E"/>
    <w:rsid w:val="007C25D3"/>
    <w:rsid w:val="007C2652"/>
    <w:rsid w:val="007C2A8F"/>
    <w:rsid w:val="007C2F73"/>
    <w:rsid w:val="007C30E0"/>
    <w:rsid w:val="007C3240"/>
    <w:rsid w:val="007C335B"/>
    <w:rsid w:val="007C3546"/>
    <w:rsid w:val="007C369F"/>
    <w:rsid w:val="007C3BA8"/>
    <w:rsid w:val="007C40A4"/>
    <w:rsid w:val="007C4284"/>
    <w:rsid w:val="007C448C"/>
    <w:rsid w:val="007C4EF2"/>
    <w:rsid w:val="007C53E1"/>
    <w:rsid w:val="007C5428"/>
    <w:rsid w:val="007C5591"/>
    <w:rsid w:val="007C56F0"/>
    <w:rsid w:val="007C59DF"/>
    <w:rsid w:val="007C5C2F"/>
    <w:rsid w:val="007C5D48"/>
    <w:rsid w:val="007C67ED"/>
    <w:rsid w:val="007C6A36"/>
    <w:rsid w:val="007C6CCF"/>
    <w:rsid w:val="007C7028"/>
    <w:rsid w:val="007C7141"/>
    <w:rsid w:val="007C7379"/>
    <w:rsid w:val="007C7434"/>
    <w:rsid w:val="007C7EA8"/>
    <w:rsid w:val="007D01C7"/>
    <w:rsid w:val="007D0258"/>
    <w:rsid w:val="007D0DC5"/>
    <w:rsid w:val="007D1989"/>
    <w:rsid w:val="007D19B3"/>
    <w:rsid w:val="007D1C2B"/>
    <w:rsid w:val="007D2002"/>
    <w:rsid w:val="007D2138"/>
    <w:rsid w:val="007D333E"/>
    <w:rsid w:val="007D3360"/>
    <w:rsid w:val="007D3DD2"/>
    <w:rsid w:val="007D46E4"/>
    <w:rsid w:val="007D4797"/>
    <w:rsid w:val="007D4AF8"/>
    <w:rsid w:val="007D57DD"/>
    <w:rsid w:val="007D5B21"/>
    <w:rsid w:val="007D5FD9"/>
    <w:rsid w:val="007D6330"/>
    <w:rsid w:val="007D6A39"/>
    <w:rsid w:val="007D6A5A"/>
    <w:rsid w:val="007D7209"/>
    <w:rsid w:val="007D74E1"/>
    <w:rsid w:val="007D7942"/>
    <w:rsid w:val="007D7BCA"/>
    <w:rsid w:val="007E00DB"/>
    <w:rsid w:val="007E0205"/>
    <w:rsid w:val="007E14C2"/>
    <w:rsid w:val="007E1747"/>
    <w:rsid w:val="007E1DF8"/>
    <w:rsid w:val="007E238B"/>
    <w:rsid w:val="007E247A"/>
    <w:rsid w:val="007E277C"/>
    <w:rsid w:val="007E2AF2"/>
    <w:rsid w:val="007E2BBC"/>
    <w:rsid w:val="007E2C87"/>
    <w:rsid w:val="007E3130"/>
    <w:rsid w:val="007E3339"/>
    <w:rsid w:val="007E33F8"/>
    <w:rsid w:val="007E3806"/>
    <w:rsid w:val="007E3C2A"/>
    <w:rsid w:val="007E413C"/>
    <w:rsid w:val="007E483B"/>
    <w:rsid w:val="007E4F0B"/>
    <w:rsid w:val="007E547A"/>
    <w:rsid w:val="007E5E1C"/>
    <w:rsid w:val="007E6442"/>
    <w:rsid w:val="007E6707"/>
    <w:rsid w:val="007E672C"/>
    <w:rsid w:val="007E6B52"/>
    <w:rsid w:val="007E71CA"/>
    <w:rsid w:val="007E7220"/>
    <w:rsid w:val="007E7341"/>
    <w:rsid w:val="007E7E37"/>
    <w:rsid w:val="007E7E8C"/>
    <w:rsid w:val="007F038D"/>
    <w:rsid w:val="007F0406"/>
    <w:rsid w:val="007F0AD8"/>
    <w:rsid w:val="007F0B20"/>
    <w:rsid w:val="007F1233"/>
    <w:rsid w:val="007F1304"/>
    <w:rsid w:val="007F1541"/>
    <w:rsid w:val="007F1C1B"/>
    <w:rsid w:val="007F216B"/>
    <w:rsid w:val="007F2565"/>
    <w:rsid w:val="007F2688"/>
    <w:rsid w:val="007F26E5"/>
    <w:rsid w:val="007F273E"/>
    <w:rsid w:val="007F28A3"/>
    <w:rsid w:val="007F3248"/>
    <w:rsid w:val="007F332D"/>
    <w:rsid w:val="007F3BAF"/>
    <w:rsid w:val="007F575D"/>
    <w:rsid w:val="007F61AA"/>
    <w:rsid w:val="007F61F1"/>
    <w:rsid w:val="007F6464"/>
    <w:rsid w:val="007F656D"/>
    <w:rsid w:val="007F6AD0"/>
    <w:rsid w:val="007F747B"/>
    <w:rsid w:val="007F759D"/>
    <w:rsid w:val="007F7896"/>
    <w:rsid w:val="007F7E5E"/>
    <w:rsid w:val="007F7EA9"/>
    <w:rsid w:val="007F7EAB"/>
    <w:rsid w:val="007F7F98"/>
    <w:rsid w:val="00800491"/>
    <w:rsid w:val="00800775"/>
    <w:rsid w:val="00800C04"/>
    <w:rsid w:val="00801778"/>
    <w:rsid w:val="00801E9B"/>
    <w:rsid w:val="0080200C"/>
    <w:rsid w:val="00802847"/>
    <w:rsid w:val="0080289F"/>
    <w:rsid w:val="0080292A"/>
    <w:rsid w:val="00802EA3"/>
    <w:rsid w:val="00803A48"/>
    <w:rsid w:val="00803C4E"/>
    <w:rsid w:val="00804623"/>
    <w:rsid w:val="00804805"/>
    <w:rsid w:val="00804AB5"/>
    <w:rsid w:val="00805706"/>
    <w:rsid w:val="0080576B"/>
    <w:rsid w:val="00805E8A"/>
    <w:rsid w:val="00805EF2"/>
    <w:rsid w:val="00806020"/>
    <w:rsid w:val="0080627D"/>
    <w:rsid w:val="008066DB"/>
    <w:rsid w:val="008066EF"/>
    <w:rsid w:val="008075D5"/>
    <w:rsid w:val="0080786F"/>
    <w:rsid w:val="00807E7B"/>
    <w:rsid w:val="00810025"/>
    <w:rsid w:val="00810175"/>
    <w:rsid w:val="00810695"/>
    <w:rsid w:val="0081072B"/>
    <w:rsid w:val="00810771"/>
    <w:rsid w:val="0081094A"/>
    <w:rsid w:val="00810C5C"/>
    <w:rsid w:val="00810CE7"/>
    <w:rsid w:val="0081153E"/>
    <w:rsid w:val="00811727"/>
    <w:rsid w:val="00811BAE"/>
    <w:rsid w:val="00811DC8"/>
    <w:rsid w:val="00812178"/>
    <w:rsid w:val="00812196"/>
    <w:rsid w:val="00812452"/>
    <w:rsid w:val="008129BB"/>
    <w:rsid w:val="008133CE"/>
    <w:rsid w:val="0081383D"/>
    <w:rsid w:val="00813A3A"/>
    <w:rsid w:val="00813C2E"/>
    <w:rsid w:val="00813CBA"/>
    <w:rsid w:val="0081403B"/>
    <w:rsid w:val="00814851"/>
    <w:rsid w:val="00814999"/>
    <w:rsid w:val="00814C14"/>
    <w:rsid w:val="0081583B"/>
    <w:rsid w:val="00815E8F"/>
    <w:rsid w:val="008164A2"/>
    <w:rsid w:val="00816758"/>
    <w:rsid w:val="00817260"/>
    <w:rsid w:val="00817DCD"/>
    <w:rsid w:val="008202AE"/>
    <w:rsid w:val="008204D3"/>
    <w:rsid w:val="00821162"/>
    <w:rsid w:val="00821170"/>
    <w:rsid w:val="008215B1"/>
    <w:rsid w:val="008215C8"/>
    <w:rsid w:val="0082296B"/>
    <w:rsid w:val="00822A66"/>
    <w:rsid w:val="00823219"/>
    <w:rsid w:val="008232A7"/>
    <w:rsid w:val="0082370D"/>
    <w:rsid w:val="008237BA"/>
    <w:rsid w:val="0082387E"/>
    <w:rsid w:val="008239C7"/>
    <w:rsid w:val="00823A61"/>
    <w:rsid w:val="00823D99"/>
    <w:rsid w:val="00823ED3"/>
    <w:rsid w:val="0082408B"/>
    <w:rsid w:val="00824702"/>
    <w:rsid w:val="008247F6"/>
    <w:rsid w:val="008255F5"/>
    <w:rsid w:val="0082564A"/>
    <w:rsid w:val="00825863"/>
    <w:rsid w:val="00825986"/>
    <w:rsid w:val="00825BAC"/>
    <w:rsid w:val="00826369"/>
    <w:rsid w:val="00826AED"/>
    <w:rsid w:val="00826C35"/>
    <w:rsid w:val="00827271"/>
    <w:rsid w:val="008273EC"/>
    <w:rsid w:val="008276D2"/>
    <w:rsid w:val="00830074"/>
    <w:rsid w:val="00830507"/>
    <w:rsid w:val="0083062C"/>
    <w:rsid w:val="00830691"/>
    <w:rsid w:val="0083080A"/>
    <w:rsid w:val="00830898"/>
    <w:rsid w:val="00830A88"/>
    <w:rsid w:val="00830C1C"/>
    <w:rsid w:val="00830F95"/>
    <w:rsid w:val="00831322"/>
    <w:rsid w:val="0083152A"/>
    <w:rsid w:val="00831CD3"/>
    <w:rsid w:val="00831DB4"/>
    <w:rsid w:val="00831DBD"/>
    <w:rsid w:val="00831F22"/>
    <w:rsid w:val="00832037"/>
    <w:rsid w:val="008322C3"/>
    <w:rsid w:val="008326E0"/>
    <w:rsid w:val="00832F27"/>
    <w:rsid w:val="00833540"/>
    <w:rsid w:val="0083364F"/>
    <w:rsid w:val="00833C1C"/>
    <w:rsid w:val="00833D38"/>
    <w:rsid w:val="008348BB"/>
    <w:rsid w:val="00834B30"/>
    <w:rsid w:val="008354B4"/>
    <w:rsid w:val="00835883"/>
    <w:rsid w:val="00835E40"/>
    <w:rsid w:val="008360A5"/>
    <w:rsid w:val="008367E7"/>
    <w:rsid w:val="008374BA"/>
    <w:rsid w:val="008375BA"/>
    <w:rsid w:val="008375D9"/>
    <w:rsid w:val="00840759"/>
    <w:rsid w:val="0084145F"/>
    <w:rsid w:val="00841569"/>
    <w:rsid w:val="008415AE"/>
    <w:rsid w:val="00842149"/>
    <w:rsid w:val="00842189"/>
    <w:rsid w:val="008424DA"/>
    <w:rsid w:val="0084270D"/>
    <w:rsid w:val="0084296D"/>
    <w:rsid w:val="008429BB"/>
    <w:rsid w:val="00842AC4"/>
    <w:rsid w:val="00842B3D"/>
    <w:rsid w:val="008430FF"/>
    <w:rsid w:val="00843C2C"/>
    <w:rsid w:val="00844416"/>
    <w:rsid w:val="00844A67"/>
    <w:rsid w:val="00844F88"/>
    <w:rsid w:val="008452BD"/>
    <w:rsid w:val="00845766"/>
    <w:rsid w:val="00845A33"/>
    <w:rsid w:val="00845E27"/>
    <w:rsid w:val="00845EFC"/>
    <w:rsid w:val="00845FF1"/>
    <w:rsid w:val="00846434"/>
    <w:rsid w:val="00846489"/>
    <w:rsid w:val="0084660D"/>
    <w:rsid w:val="00846A46"/>
    <w:rsid w:val="00846E75"/>
    <w:rsid w:val="00847384"/>
    <w:rsid w:val="008473A8"/>
    <w:rsid w:val="008474AB"/>
    <w:rsid w:val="00847698"/>
    <w:rsid w:val="0084769D"/>
    <w:rsid w:val="008500FE"/>
    <w:rsid w:val="0085016F"/>
    <w:rsid w:val="00850218"/>
    <w:rsid w:val="008504AD"/>
    <w:rsid w:val="00850588"/>
    <w:rsid w:val="008508DF"/>
    <w:rsid w:val="008509F4"/>
    <w:rsid w:val="00850B3B"/>
    <w:rsid w:val="008510CD"/>
    <w:rsid w:val="00851257"/>
    <w:rsid w:val="008517FF"/>
    <w:rsid w:val="00851955"/>
    <w:rsid w:val="008521A8"/>
    <w:rsid w:val="008523F6"/>
    <w:rsid w:val="00852670"/>
    <w:rsid w:val="00852CA3"/>
    <w:rsid w:val="00852E2E"/>
    <w:rsid w:val="008537AE"/>
    <w:rsid w:val="00853EF4"/>
    <w:rsid w:val="00853F07"/>
    <w:rsid w:val="008542A2"/>
    <w:rsid w:val="008546D3"/>
    <w:rsid w:val="00854FAF"/>
    <w:rsid w:val="00855133"/>
    <w:rsid w:val="008560B2"/>
    <w:rsid w:val="00856245"/>
    <w:rsid w:val="00856BC3"/>
    <w:rsid w:val="008575B5"/>
    <w:rsid w:val="00857631"/>
    <w:rsid w:val="00857BA0"/>
    <w:rsid w:val="008600AF"/>
    <w:rsid w:val="00860239"/>
    <w:rsid w:val="00860287"/>
    <w:rsid w:val="0086073D"/>
    <w:rsid w:val="00860BE4"/>
    <w:rsid w:val="00860BFA"/>
    <w:rsid w:val="00861072"/>
    <w:rsid w:val="008611E1"/>
    <w:rsid w:val="0086132D"/>
    <w:rsid w:val="008626AE"/>
    <w:rsid w:val="00862873"/>
    <w:rsid w:val="00862B04"/>
    <w:rsid w:val="00862CE2"/>
    <w:rsid w:val="00862E80"/>
    <w:rsid w:val="0086329E"/>
    <w:rsid w:val="008632B7"/>
    <w:rsid w:val="0086354B"/>
    <w:rsid w:val="0086388F"/>
    <w:rsid w:val="0086499C"/>
    <w:rsid w:val="00864C97"/>
    <w:rsid w:val="008650FD"/>
    <w:rsid w:val="008656EB"/>
    <w:rsid w:val="008665D0"/>
    <w:rsid w:val="00866854"/>
    <w:rsid w:val="00866CA3"/>
    <w:rsid w:val="00866D47"/>
    <w:rsid w:val="0086735C"/>
    <w:rsid w:val="008674D5"/>
    <w:rsid w:val="00867CEF"/>
    <w:rsid w:val="0087008F"/>
    <w:rsid w:val="0087025B"/>
    <w:rsid w:val="0087045C"/>
    <w:rsid w:val="00871179"/>
    <w:rsid w:val="008712C0"/>
    <w:rsid w:val="00871581"/>
    <w:rsid w:val="00871A32"/>
    <w:rsid w:val="008723E9"/>
    <w:rsid w:val="0087287C"/>
    <w:rsid w:val="00872B39"/>
    <w:rsid w:val="00872CD9"/>
    <w:rsid w:val="0087356C"/>
    <w:rsid w:val="00873D63"/>
    <w:rsid w:val="00873F69"/>
    <w:rsid w:val="008745A0"/>
    <w:rsid w:val="00874906"/>
    <w:rsid w:val="00874A9B"/>
    <w:rsid w:val="008765C7"/>
    <w:rsid w:val="00876AFB"/>
    <w:rsid w:val="0087720C"/>
    <w:rsid w:val="00877649"/>
    <w:rsid w:val="00877716"/>
    <w:rsid w:val="0087777D"/>
    <w:rsid w:val="00877909"/>
    <w:rsid w:val="00877F9D"/>
    <w:rsid w:val="0088044A"/>
    <w:rsid w:val="00880494"/>
    <w:rsid w:val="00880721"/>
    <w:rsid w:val="0088072C"/>
    <w:rsid w:val="00880901"/>
    <w:rsid w:val="00880F71"/>
    <w:rsid w:val="00881698"/>
    <w:rsid w:val="00881DCB"/>
    <w:rsid w:val="00882455"/>
    <w:rsid w:val="00882748"/>
    <w:rsid w:val="008831E4"/>
    <w:rsid w:val="0088353B"/>
    <w:rsid w:val="008838F8"/>
    <w:rsid w:val="00883D02"/>
    <w:rsid w:val="0088414A"/>
    <w:rsid w:val="0088449A"/>
    <w:rsid w:val="00884AA4"/>
    <w:rsid w:val="00884BF9"/>
    <w:rsid w:val="008850FC"/>
    <w:rsid w:val="00885603"/>
    <w:rsid w:val="008857C4"/>
    <w:rsid w:val="00885ACB"/>
    <w:rsid w:val="008864FA"/>
    <w:rsid w:val="008866F6"/>
    <w:rsid w:val="008871E2"/>
    <w:rsid w:val="00887901"/>
    <w:rsid w:val="00891145"/>
    <w:rsid w:val="00891242"/>
    <w:rsid w:val="008912F2"/>
    <w:rsid w:val="00891838"/>
    <w:rsid w:val="00891EA4"/>
    <w:rsid w:val="00891F4B"/>
    <w:rsid w:val="008926D0"/>
    <w:rsid w:val="00892743"/>
    <w:rsid w:val="00892858"/>
    <w:rsid w:val="0089330B"/>
    <w:rsid w:val="0089339C"/>
    <w:rsid w:val="00893622"/>
    <w:rsid w:val="008936D6"/>
    <w:rsid w:val="00893B09"/>
    <w:rsid w:val="00893BFE"/>
    <w:rsid w:val="008944E3"/>
    <w:rsid w:val="008946EC"/>
    <w:rsid w:val="00894BFC"/>
    <w:rsid w:val="008956A2"/>
    <w:rsid w:val="00895993"/>
    <w:rsid w:val="00895EDA"/>
    <w:rsid w:val="00896183"/>
    <w:rsid w:val="008962E1"/>
    <w:rsid w:val="00896B4B"/>
    <w:rsid w:val="00896E87"/>
    <w:rsid w:val="00896EA8"/>
    <w:rsid w:val="00896EC5"/>
    <w:rsid w:val="0089751F"/>
    <w:rsid w:val="00897A89"/>
    <w:rsid w:val="00897DB1"/>
    <w:rsid w:val="00897DF9"/>
    <w:rsid w:val="00897ED3"/>
    <w:rsid w:val="008A02F0"/>
    <w:rsid w:val="008A0720"/>
    <w:rsid w:val="008A0CE1"/>
    <w:rsid w:val="008A1132"/>
    <w:rsid w:val="008A1367"/>
    <w:rsid w:val="008A1A3D"/>
    <w:rsid w:val="008A1A60"/>
    <w:rsid w:val="008A1A69"/>
    <w:rsid w:val="008A214B"/>
    <w:rsid w:val="008A24ED"/>
    <w:rsid w:val="008A271A"/>
    <w:rsid w:val="008A2B79"/>
    <w:rsid w:val="008A3AA1"/>
    <w:rsid w:val="008A4363"/>
    <w:rsid w:val="008A49EC"/>
    <w:rsid w:val="008A4CC2"/>
    <w:rsid w:val="008A4D73"/>
    <w:rsid w:val="008A4F77"/>
    <w:rsid w:val="008A5601"/>
    <w:rsid w:val="008A5804"/>
    <w:rsid w:val="008A595B"/>
    <w:rsid w:val="008A59BD"/>
    <w:rsid w:val="008A6A9B"/>
    <w:rsid w:val="008A6EF6"/>
    <w:rsid w:val="008A780F"/>
    <w:rsid w:val="008A7AE9"/>
    <w:rsid w:val="008A7B4C"/>
    <w:rsid w:val="008A7B80"/>
    <w:rsid w:val="008A7BD9"/>
    <w:rsid w:val="008B0689"/>
    <w:rsid w:val="008B0994"/>
    <w:rsid w:val="008B099B"/>
    <w:rsid w:val="008B14F7"/>
    <w:rsid w:val="008B1AAD"/>
    <w:rsid w:val="008B1B0E"/>
    <w:rsid w:val="008B1C86"/>
    <w:rsid w:val="008B20B4"/>
    <w:rsid w:val="008B26DC"/>
    <w:rsid w:val="008B2A2C"/>
    <w:rsid w:val="008B2A48"/>
    <w:rsid w:val="008B2A4F"/>
    <w:rsid w:val="008B2EB8"/>
    <w:rsid w:val="008B2EDA"/>
    <w:rsid w:val="008B36C7"/>
    <w:rsid w:val="008B4441"/>
    <w:rsid w:val="008B4CA3"/>
    <w:rsid w:val="008B4DAD"/>
    <w:rsid w:val="008B5268"/>
    <w:rsid w:val="008B5D51"/>
    <w:rsid w:val="008B649D"/>
    <w:rsid w:val="008B69CF"/>
    <w:rsid w:val="008B70E3"/>
    <w:rsid w:val="008B718F"/>
    <w:rsid w:val="008B738B"/>
    <w:rsid w:val="008B74ED"/>
    <w:rsid w:val="008B76C0"/>
    <w:rsid w:val="008B7807"/>
    <w:rsid w:val="008B7AD2"/>
    <w:rsid w:val="008C0265"/>
    <w:rsid w:val="008C05EB"/>
    <w:rsid w:val="008C08C4"/>
    <w:rsid w:val="008C09A3"/>
    <w:rsid w:val="008C0A1B"/>
    <w:rsid w:val="008C13CF"/>
    <w:rsid w:val="008C18E3"/>
    <w:rsid w:val="008C1A18"/>
    <w:rsid w:val="008C2655"/>
    <w:rsid w:val="008C294D"/>
    <w:rsid w:val="008C2CCD"/>
    <w:rsid w:val="008C3449"/>
    <w:rsid w:val="008C3D12"/>
    <w:rsid w:val="008C3D7A"/>
    <w:rsid w:val="008C3DF8"/>
    <w:rsid w:val="008C4125"/>
    <w:rsid w:val="008C4761"/>
    <w:rsid w:val="008C4E93"/>
    <w:rsid w:val="008C50F1"/>
    <w:rsid w:val="008C63F1"/>
    <w:rsid w:val="008C656B"/>
    <w:rsid w:val="008C6F8B"/>
    <w:rsid w:val="008C70D6"/>
    <w:rsid w:val="008C7176"/>
    <w:rsid w:val="008C7923"/>
    <w:rsid w:val="008C7C9D"/>
    <w:rsid w:val="008C7CCC"/>
    <w:rsid w:val="008D00D3"/>
    <w:rsid w:val="008D03C6"/>
    <w:rsid w:val="008D0878"/>
    <w:rsid w:val="008D0A3B"/>
    <w:rsid w:val="008D0FC9"/>
    <w:rsid w:val="008D11C4"/>
    <w:rsid w:val="008D1358"/>
    <w:rsid w:val="008D1AA4"/>
    <w:rsid w:val="008D1C7E"/>
    <w:rsid w:val="008D225B"/>
    <w:rsid w:val="008D22F6"/>
    <w:rsid w:val="008D2D34"/>
    <w:rsid w:val="008D30EB"/>
    <w:rsid w:val="008D319E"/>
    <w:rsid w:val="008D31AF"/>
    <w:rsid w:val="008D379A"/>
    <w:rsid w:val="008D38E3"/>
    <w:rsid w:val="008D392B"/>
    <w:rsid w:val="008D3C82"/>
    <w:rsid w:val="008D3E20"/>
    <w:rsid w:val="008D3E6F"/>
    <w:rsid w:val="008D4063"/>
    <w:rsid w:val="008D45B1"/>
    <w:rsid w:val="008D4CC2"/>
    <w:rsid w:val="008D584E"/>
    <w:rsid w:val="008D5A61"/>
    <w:rsid w:val="008D6767"/>
    <w:rsid w:val="008D67A7"/>
    <w:rsid w:val="008D6C69"/>
    <w:rsid w:val="008D6E8C"/>
    <w:rsid w:val="008D6FA4"/>
    <w:rsid w:val="008D7A90"/>
    <w:rsid w:val="008D7AF3"/>
    <w:rsid w:val="008D7F16"/>
    <w:rsid w:val="008E0091"/>
    <w:rsid w:val="008E0142"/>
    <w:rsid w:val="008E0CC4"/>
    <w:rsid w:val="008E0D4D"/>
    <w:rsid w:val="008E0E60"/>
    <w:rsid w:val="008E167E"/>
    <w:rsid w:val="008E18B2"/>
    <w:rsid w:val="008E1A56"/>
    <w:rsid w:val="008E1D0A"/>
    <w:rsid w:val="008E20AC"/>
    <w:rsid w:val="008E227C"/>
    <w:rsid w:val="008E249B"/>
    <w:rsid w:val="008E2E0A"/>
    <w:rsid w:val="008E366F"/>
    <w:rsid w:val="008E38D6"/>
    <w:rsid w:val="008E39A9"/>
    <w:rsid w:val="008E3D2C"/>
    <w:rsid w:val="008E3D4B"/>
    <w:rsid w:val="008E3F37"/>
    <w:rsid w:val="008E42DA"/>
    <w:rsid w:val="008E43A0"/>
    <w:rsid w:val="008E493F"/>
    <w:rsid w:val="008E4E1A"/>
    <w:rsid w:val="008E4F03"/>
    <w:rsid w:val="008E4FF5"/>
    <w:rsid w:val="008E5063"/>
    <w:rsid w:val="008E52D2"/>
    <w:rsid w:val="008E5302"/>
    <w:rsid w:val="008E5A58"/>
    <w:rsid w:val="008E5C89"/>
    <w:rsid w:val="008E5D71"/>
    <w:rsid w:val="008E6578"/>
    <w:rsid w:val="008E6A68"/>
    <w:rsid w:val="008E6B7D"/>
    <w:rsid w:val="008E6CB5"/>
    <w:rsid w:val="008E7BEC"/>
    <w:rsid w:val="008E7E97"/>
    <w:rsid w:val="008F0B3D"/>
    <w:rsid w:val="008F0BC0"/>
    <w:rsid w:val="008F0C2A"/>
    <w:rsid w:val="008F107B"/>
    <w:rsid w:val="008F179D"/>
    <w:rsid w:val="008F17BA"/>
    <w:rsid w:val="008F2347"/>
    <w:rsid w:val="008F250A"/>
    <w:rsid w:val="008F2739"/>
    <w:rsid w:val="008F3049"/>
    <w:rsid w:val="008F33ED"/>
    <w:rsid w:val="008F3850"/>
    <w:rsid w:val="008F3B02"/>
    <w:rsid w:val="008F3DCF"/>
    <w:rsid w:val="008F45E7"/>
    <w:rsid w:val="008F4886"/>
    <w:rsid w:val="008F4B75"/>
    <w:rsid w:val="008F4CC5"/>
    <w:rsid w:val="008F4E82"/>
    <w:rsid w:val="008F4F95"/>
    <w:rsid w:val="008F5123"/>
    <w:rsid w:val="008F5D6C"/>
    <w:rsid w:val="008F62F2"/>
    <w:rsid w:val="008F6674"/>
    <w:rsid w:val="008F66DE"/>
    <w:rsid w:val="008F6A79"/>
    <w:rsid w:val="008F6C77"/>
    <w:rsid w:val="008F6F9A"/>
    <w:rsid w:val="008F7536"/>
    <w:rsid w:val="008F7594"/>
    <w:rsid w:val="008F7A5B"/>
    <w:rsid w:val="008F7F5E"/>
    <w:rsid w:val="0090021E"/>
    <w:rsid w:val="009003A6"/>
    <w:rsid w:val="00900684"/>
    <w:rsid w:val="00900D2F"/>
    <w:rsid w:val="00900F27"/>
    <w:rsid w:val="00900FE0"/>
    <w:rsid w:val="00901569"/>
    <w:rsid w:val="00901BF9"/>
    <w:rsid w:val="00901CB2"/>
    <w:rsid w:val="00901DA4"/>
    <w:rsid w:val="00901DAF"/>
    <w:rsid w:val="00901FBB"/>
    <w:rsid w:val="0090217C"/>
    <w:rsid w:val="00902678"/>
    <w:rsid w:val="00902D27"/>
    <w:rsid w:val="00902D69"/>
    <w:rsid w:val="009031AF"/>
    <w:rsid w:val="009032D4"/>
    <w:rsid w:val="00903583"/>
    <w:rsid w:val="00903768"/>
    <w:rsid w:val="00903993"/>
    <w:rsid w:val="00903A35"/>
    <w:rsid w:val="009040CE"/>
    <w:rsid w:val="009042BE"/>
    <w:rsid w:val="009042F1"/>
    <w:rsid w:val="00904478"/>
    <w:rsid w:val="00904555"/>
    <w:rsid w:val="00904684"/>
    <w:rsid w:val="0090469E"/>
    <w:rsid w:val="009046B6"/>
    <w:rsid w:val="009048C1"/>
    <w:rsid w:val="00904B71"/>
    <w:rsid w:val="00904E37"/>
    <w:rsid w:val="00904FB1"/>
    <w:rsid w:val="00905FE9"/>
    <w:rsid w:val="0090646D"/>
    <w:rsid w:val="0090676B"/>
    <w:rsid w:val="00906BFC"/>
    <w:rsid w:val="00906F9E"/>
    <w:rsid w:val="00907022"/>
    <w:rsid w:val="009070AA"/>
    <w:rsid w:val="00907164"/>
    <w:rsid w:val="009072CE"/>
    <w:rsid w:val="00907B0E"/>
    <w:rsid w:val="00907DE2"/>
    <w:rsid w:val="00907EF6"/>
    <w:rsid w:val="009103C6"/>
    <w:rsid w:val="0091044C"/>
    <w:rsid w:val="0091135B"/>
    <w:rsid w:val="009114BF"/>
    <w:rsid w:val="0091157A"/>
    <w:rsid w:val="00911E39"/>
    <w:rsid w:val="00911E97"/>
    <w:rsid w:val="009122F4"/>
    <w:rsid w:val="009126CC"/>
    <w:rsid w:val="009126EB"/>
    <w:rsid w:val="00912834"/>
    <w:rsid w:val="0091284D"/>
    <w:rsid w:val="00912A7F"/>
    <w:rsid w:val="0091322D"/>
    <w:rsid w:val="00914487"/>
    <w:rsid w:val="00914718"/>
    <w:rsid w:val="0091481D"/>
    <w:rsid w:val="00914D02"/>
    <w:rsid w:val="009153FE"/>
    <w:rsid w:val="0091561A"/>
    <w:rsid w:val="00915837"/>
    <w:rsid w:val="00915D8B"/>
    <w:rsid w:val="009160B0"/>
    <w:rsid w:val="00916414"/>
    <w:rsid w:val="00916871"/>
    <w:rsid w:val="00916A98"/>
    <w:rsid w:val="00916AB3"/>
    <w:rsid w:val="0091700B"/>
    <w:rsid w:val="00917093"/>
    <w:rsid w:val="0091734B"/>
    <w:rsid w:val="009173E3"/>
    <w:rsid w:val="0091777B"/>
    <w:rsid w:val="00917806"/>
    <w:rsid w:val="00917862"/>
    <w:rsid w:val="009179EA"/>
    <w:rsid w:val="00917F33"/>
    <w:rsid w:val="009215B8"/>
    <w:rsid w:val="009219E3"/>
    <w:rsid w:val="00922698"/>
    <w:rsid w:val="0092293B"/>
    <w:rsid w:val="009234A2"/>
    <w:rsid w:val="009234B0"/>
    <w:rsid w:val="0092388E"/>
    <w:rsid w:val="00923BB3"/>
    <w:rsid w:val="00923C3C"/>
    <w:rsid w:val="0092400D"/>
    <w:rsid w:val="009242BB"/>
    <w:rsid w:val="009249C4"/>
    <w:rsid w:val="00924DFB"/>
    <w:rsid w:val="009251AC"/>
    <w:rsid w:val="00925283"/>
    <w:rsid w:val="0092561B"/>
    <w:rsid w:val="00925649"/>
    <w:rsid w:val="00925D9A"/>
    <w:rsid w:val="00926679"/>
    <w:rsid w:val="009267BE"/>
    <w:rsid w:val="00926A2E"/>
    <w:rsid w:val="00926ECC"/>
    <w:rsid w:val="00926F83"/>
    <w:rsid w:val="00927111"/>
    <w:rsid w:val="009276BB"/>
    <w:rsid w:val="00927886"/>
    <w:rsid w:val="00927DB9"/>
    <w:rsid w:val="00930192"/>
    <w:rsid w:val="009307B8"/>
    <w:rsid w:val="00930AEF"/>
    <w:rsid w:val="00930BE8"/>
    <w:rsid w:val="00930CDE"/>
    <w:rsid w:val="00930CFE"/>
    <w:rsid w:val="00930D84"/>
    <w:rsid w:val="009311BA"/>
    <w:rsid w:val="00931342"/>
    <w:rsid w:val="009314C7"/>
    <w:rsid w:val="009314D8"/>
    <w:rsid w:val="0093173A"/>
    <w:rsid w:val="00931C43"/>
    <w:rsid w:val="00931D25"/>
    <w:rsid w:val="009321B3"/>
    <w:rsid w:val="009325D4"/>
    <w:rsid w:val="00932869"/>
    <w:rsid w:val="00932EC4"/>
    <w:rsid w:val="00933292"/>
    <w:rsid w:val="009339E9"/>
    <w:rsid w:val="00933B9E"/>
    <w:rsid w:val="00933BA6"/>
    <w:rsid w:val="0093400F"/>
    <w:rsid w:val="00934745"/>
    <w:rsid w:val="00934A9D"/>
    <w:rsid w:val="00934B14"/>
    <w:rsid w:val="009352AF"/>
    <w:rsid w:val="00935E68"/>
    <w:rsid w:val="0093607E"/>
    <w:rsid w:val="009365E1"/>
    <w:rsid w:val="00936A31"/>
    <w:rsid w:val="00937181"/>
    <w:rsid w:val="00937C08"/>
    <w:rsid w:val="00937D7E"/>
    <w:rsid w:val="009409A0"/>
    <w:rsid w:val="00940A8E"/>
    <w:rsid w:val="0094119A"/>
    <w:rsid w:val="00941516"/>
    <w:rsid w:val="0094151E"/>
    <w:rsid w:val="00941661"/>
    <w:rsid w:val="00941721"/>
    <w:rsid w:val="009417D0"/>
    <w:rsid w:val="009418B0"/>
    <w:rsid w:val="00941A02"/>
    <w:rsid w:val="00941DD0"/>
    <w:rsid w:val="009422A1"/>
    <w:rsid w:val="009426C9"/>
    <w:rsid w:val="00942B06"/>
    <w:rsid w:val="00942C4A"/>
    <w:rsid w:val="00942C80"/>
    <w:rsid w:val="00943153"/>
    <w:rsid w:val="0094338F"/>
    <w:rsid w:val="0094340B"/>
    <w:rsid w:val="00943768"/>
    <w:rsid w:val="00944406"/>
    <w:rsid w:val="009445C6"/>
    <w:rsid w:val="00944D14"/>
    <w:rsid w:val="00944EB2"/>
    <w:rsid w:val="00945A31"/>
    <w:rsid w:val="00945B66"/>
    <w:rsid w:val="00945BFE"/>
    <w:rsid w:val="00946288"/>
    <w:rsid w:val="0094638D"/>
    <w:rsid w:val="00946509"/>
    <w:rsid w:val="00946812"/>
    <w:rsid w:val="00946936"/>
    <w:rsid w:val="00946968"/>
    <w:rsid w:val="00946A44"/>
    <w:rsid w:val="009470C5"/>
    <w:rsid w:val="00947C9F"/>
    <w:rsid w:val="00947CA5"/>
    <w:rsid w:val="00950358"/>
    <w:rsid w:val="00950669"/>
    <w:rsid w:val="009506FB"/>
    <w:rsid w:val="00950DE6"/>
    <w:rsid w:val="009514B1"/>
    <w:rsid w:val="00951CB8"/>
    <w:rsid w:val="00952591"/>
    <w:rsid w:val="00953226"/>
    <w:rsid w:val="00953617"/>
    <w:rsid w:val="00953A51"/>
    <w:rsid w:val="00953C5F"/>
    <w:rsid w:val="00953E68"/>
    <w:rsid w:val="0095426B"/>
    <w:rsid w:val="0095429D"/>
    <w:rsid w:val="0095444F"/>
    <w:rsid w:val="009548A7"/>
    <w:rsid w:val="009551BB"/>
    <w:rsid w:val="009552E5"/>
    <w:rsid w:val="009556CA"/>
    <w:rsid w:val="00955848"/>
    <w:rsid w:val="009559A4"/>
    <w:rsid w:val="00955CF9"/>
    <w:rsid w:val="00956064"/>
    <w:rsid w:val="0095607F"/>
    <w:rsid w:val="009561A3"/>
    <w:rsid w:val="009563CE"/>
    <w:rsid w:val="00956512"/>
    <w:rsid w:val="00956A09"/>
    <w:rsid w:val="00956BC4"/>
    <w:rsid w:val="0095757E"/>
    <w:rsid w:val="009575E7"/>
    <w:rsid w:val="0095796D"/>
    <w:rsid w:val="00957C3F"/>
    <w:rsid w:val="00957C74"/>
    <w:rsid w:val="00957D62"/>
    <w:rsid w:val="00960309"/>
    <w:rsid w:val="00960839"/>
    <w:rsid w:val="00960ABD"/>
    <w:rsid w:val="00960AE7"/>
    <w:rsid w:val="00960C1E"/>
    <w:rsid w:val="00960CD0"/>
    <w:rsid w:val="00960F90"/>
    <w:rsid w:val="009610D3"/>
    <w:rsid w:val="00961125"/>
    <w:rsid w:val="0096114A"/>
    <w:rsid w:val="009611DF"/>
    <w:rsid w:val="009614C4"/>
    <w:rsid w:val="00961A28"/>
    <w:rsid w:val="00961AC0"/>
    <w:rsid w:val="0096249B"/>
    <w:rsid w:val="00962546"/>
    <w:rsid w:val="00962BB1"/>
    <w:rsid w:val="00962E7A"/>
    <w:rsid w:val="00962E9E"/>
    <w:rsid w:val="0096306D"/>
    <w:rsid w:val="00963096"/>
    <w:rsid w:val="0096323E"/>
    <w:rsid w:val="00963C3D"/>
    <w:rsid w:val="00963D40"/>
    <w:rsid w:val="00964046"/>
    <w:rsid w:val="0096459C"/>
    <w:rsid w:val="00964963"/>
    <w:rsid w:val="00964C9A"/>
    <w:rsid w:val="00964E58"/>
    <w:rsid w:val="00964F29"/>
    <w:rsid w:val="0096575C"/>
    <w:rsid w:val="00965BC8"/>
    <w:rsid w:val="00965E31"/>
    <w:rsid w:val="00966920"/>
    <w:rsid w:val="00966BF2"/>
    <w:rsid w:val="00967CB5"/>
    <w:rsid w:val="00967D46"/>
    <w:rsid w:val="00970245"/>
    <w:rsid w:val="00970342"/>
    <w:rsid w:val="009704DD"/>
    <w:rsid w:val="00970D5F"/>
    <w:rsid w:val="00970FCB"/>
    <w:rsid w:val="00971200"/>
    <w:rsid w:val="009715A4"/>
    <w:rsid w:val="00971B88"/>
    <w:rsid w:val="00971C61"/>
    <w:rsid w:val="00971F2F"/>
    <w:rsid w:val="00972280"/>
    <w:rsid w:val="0097269D"/>
    <w:rsid w:val="00972E79"/>
    <w:rsid w:val="00972F68"/>
    <w:rsid w:val="00973BFC"/>
    <w:rsid w:val="009740AA"/>
    <w:rsid w:val="009742FC"/>
    <w:rsid w:val="009748E8"/>
    <w:rsid w:val="00974FCC"/>
    <w:rsid w:val="00975651"/>
    <w:rsid w:val="00975A61"/>
    <w:rsid w:val="00975CCA"/>
    <w:rsid w:val="00975D23"/>
    <w:rsid w:val="00975D93"/>
    <w:rsid w:val="00975EB6"/>
    <w:rsid w:val="00975FDB"/>
    <w:rsid w:val="00976092"/>
    <w:rsid w:val="009760E0"/>
    <w:rsid w:val="009761C4"/>
    <w:rsid w:val="00976243"/>
    <w:rsid w:val="00976768"/>
    <w:rsid w:val="00976A2A"/>
    <w:rsid w:val="00976E06"/>
    <w:rsid w:val="00976E7D"/>
    <w:rsid w:val="00977953"/>
    <w:rsid w:val="0098047C"/>
    <w:rsid w:val="00980488"/>
    <w:rsid w:val="009805E6"/>
    <w:rsid w:val="009807DC"/>
    <w:rsid w:val="0098113B"/>
    <w:rsid w:val="0098121B"/>
    <w:rsid w:val="0098163B"/>
    <w:rsid w:val="00981BA3"/>
    <w:rsid w:val="00982296"/>
    <w:rsid w:val="00982454"/>
    <w:rsid w:val="00982515"/>
    <w:rsid w:val="00983331"/>
    <w:rsid w:val="009838B4"/>
    <w:rsid w:val="0098418A"/>
    <w:rsid w:val="00984D48"/>
    <w:rsid w:val="00985450"/>
    <w:rsid w:val="00985486"/>
    <w:rsid w:val="009858D6"/>
    <w:rsid w:val="00985DDD"/>
    <w:rsid w:val="00986143"/>
    <w:rsid w:val="00986A75"/>
    <w:rsid w:val="00986AC6"/>
    <w:rsid w:val="00986B15"/>
    <w:rsid w:val="00986B8B"/>
    <w:rsid w:val="00986BAD"/>
    <w:rsid w:val="009870BB"/>
    <w:rsid w:val="009870E8"/>
    <w:rsid w:val="00987277"/>
    <w:rsid w:val="0098775C"/>
    <w:rsid w:val="0098786D"/>
    <w:rsid w:val="00987A21"/>
    <w:rsid w:val="00987B25"/>
    <w:rsid w:val="00987B72"/>
    <w:rsid w:val="00987E26"/>
    <w:rsid w:val="00987E72"/>
    <w:rsid w:val="00990445"/>
    <w:rsid w:val="00990448"/>
    <w:rsid w:val="00990EDB"/>
    <w:rsid w:val="00991692"/>
    <w:rsid w:val="00991C31"/>
    <w:rsid w:val="00992587"/>
    <w:rsid w:val="009925CC"/>
    <w:rsid w:val="00992EB4"/>
    <w:rsid w:val="00992EC6"/>
    <w:rsid w:val="00992F3C"/>
    <w:rsid w:val="0099329E"/>
    <w:rsid w:val="009933A3"/>
    <w:rsid w:val="00993529"/>
    <w:rsid w:val="0099352B"/>
    <w:rsid w:val="00993952"/>
    <w:rsid w:val="00993B44"/>
    <w:rsid w:val="00993B4C"/>
    <w:rsid w:val="00994243"/>
    <w:rsid w:val="00994513"/>
    <w:rsid w:val="00994783"/>
    <w:rsid w:val="00994AAD"/>
    <w:rsid w:val="00995324"/>
    <w:rsid w:val="009955C4"/>
    <w:rsid w:val="00995A67"/>
    <w:rsid w:val="00995F10"/>
    <w:rsid w:val="0099626E"/>
    <w:rsid w:val="0099636D"/>
    <w:rsid w:val="00996496"/>
    <w:rsid w:val="00996A12"/>
    <w:rsid w:val="00996F70"/>
    <w:rsid w:val="00996FBB"/>
    <w:rsid w:val="009977B0"/>
    <w:rsid w:val="00997A90"/>
    <w:rsid w:val="009A016C"/>
    <w:rsid w:val="009A01B7"/>
    <w:rsid w:val="009A0842"/>
    <w:rsid w:val="009A0909"/>
    <w:rsid w:val="009A0B02"/>
    <w:rsid w:val="009A0B23"/>
    <w:rsid w:val="009A133F"/>
    <w:rsid w:val="009A18D6"/>
    <w:rsid w:val="009A19D3"/>
    <w:rsid w:val="009A1ABB"/>
    <w:rsid w:val="009A1BF4"/>
    <w:rsid w:val="009A1C5D"/>
    <w:rsid w:val="009A1D27"/>
    <w:rsid w:val="009A1E2C"/>
    <w:rsid w:val="009A216C"/>
    <w:rsid w:val="009A2B3C"/>
    <w:rsid w:val="009A3186"/>
    <w:rsid w:val="009A326B"/>
    <w:rsid w:val="009A3362"/>
    <w:rsid w:val="009A35B0"/>
    <w:rsid w:val="009A3F52"/>
    <w:rsid w:val="009A4745"/>
    <w:rsid w:val="009A4E48"/>
    <w:rsid w:val="009A5202"/>
    <w:rsid w:val="009A561F"/>
    <w:rsid w:val="009A574C"/>
    <w:rsid w:val="009A5CDA"/>
    <w:rsid w:val="009A5CEA"/>
    <w:rsid w:val="009A611F"/>
    <w:rsid w:val="009A64C3"/>
    <w:rsid w:val="009A66D5"/>
    <w:rsid w:val="009A6745"/>
    <w:rsid w:val="009A6D87"/>
    <w:rsid w:val="009A7737"/>
    <w:rsid w:val="009A7A57"/>
    <w:rsid w:val="009A7AA1"/>
    <w:rsid w:val="009A7BB6"/>
    <w:rsid w:val="009A7D38"/>
    <w:rsid w:val="009A7DDE"/>
    <w:rsid w:val="009A7FF7"/>
    <w:rsid w:val="009B0456"/>
    <w:rsid w:val="009B050C"/>
    <w:rsid w:val="009B09D7"/>
    <w:rsid w:val="009B0A34"/>
    <w:rsid w:val="009B0ADF"/>
    <w:rsid w:val="009B0D25"/>
    <w:rsid w:val="009B19E7"/>
    <w:rsid w:val="009B1A45"/>
    <w:rsid w:val="009B1BF2"/>
    <w:rsid w:val="009B1DB2"/>
    <w:rsid w:val="009B1F31"/>
    <w:rsid w:val="009B1F98"/>
    <w:rsid w:val="009B249D"/>
    <w:rsid w:val="009B2ACB"/>
    <w:rsid w:val="009B2C2B"/>
    <w:rsid w:val="009B2CB1"/>
    <w:rsid w:val="009B3242"/>
    <w:rsid w:val="009B34C5"/>
    <w:rsid w:val="009B40DD"/>
    <w:rsid w:val="009B45AA"/>
    <w:rsid w:val="009B491F"/>
    <w:rsid w:val="009B49BD"/>
    <w:rsid w:val="009B51A7"/>
    <w:rsid w:val="009B5231"/>
    <w:rsid w:val="009B54EF"/>
    <w:rsid w:val="009B5AA7"/>
    <w:rsid w:val="009B5D30"/>
    <w:rsid w:val="009B60C8"/>
    <w:rsid w:val="009B658E"/>
    <w:rsid w:val="009B667C"/>
    <w:rsid w:val="009B7041"/>
    <w:rsid w:val="009B7AC9"/>
    <w:rsid w:val="009B7C85"/>
    <w:rsid w:val="009C0311"/>
    <w:rsid w:val="009C0976"/>
    <w:rsid w:val="009C169D"/>
    <w:rsid w:val="009C1A76"/>
    <w:rsid w:val="009C1A99"/>
    <w:rsid w:val="009C1F67"/>
    <w:rsid w:val="009C201D"/>
    <w:rsid w:val="009C20B2"/>
    <w:rsid w:val="009C22EE"/>
    <w:rsid w:val="009C236C"/>
    <w:rsid w:val="009C3065"/>
    <w:rsid w:val="009C36ED"/>
    <w:rsid w:val="009C38D1"/>
    <w:rsid w:val="009C45A3"/>
    <w:rsid w:val="009C462F"/>
    <w:rsid w:val="009C483E"/>
    <w:rsid w:val="009C4E32"/>
    <w:rsid w:val="009C51F2"/>
    <w:rsid w:val="009C54BE"/>
    <w:rsid w:val="009C570F"/>
    <w:rsid w:val="009C5D65"/>
    <w:rsid w:val="009C5E12"/>
    <w:rsid w:val="009C5E75"/>
    <w:rsid w:val="009C62DE"/>
    <w:rsid w:val="009C65ED"/>
    <w:rsid w:val="009C66BA"/>
    <w:rsid w:val="009C6CA4"/>
    <w:rsid w:val="009C7372"/>
    <w:rsid w:val="009C75B6"/>
    <w:rsid w:val="009C75CB"/>
    <w:rsid w:val="009C792C"/>
    <w:rsid w:val="009C7DBA"/>
    <w:rsid w:val="009C7DF0"/>
    <w:rsid w:val="009D0031"/>
    <w:rsid w:val="009D0456"/>
    <w:rsid w:val="009D04E8"/>
    <w:rsid w:val="009D08C6"/>
    <w:rsid w:val="009D0BC3"/>
    <w:rsid w:val="009D13AC"/>
    <w:rsid w:val="009D156B"/>
    <w:rsid w:val="009D172C"/>
    <w:rsid w:val="009D1DCF"/>
    <w:rsid w:val="009D1F08"/>
    <w:rsid w:val="009D3423"/>
    <w:rsid w:val="009D36B1"/>
    <w:rsid w:val="009D39BA"/>
    <w:rsid w:val="009D3AAE"/>
    <w:rsid w:val="009D410D"/>
    <w:rsid w:val="009D4ACA"/>
    <w:rsid w:val="009D4B9D"/>
    <w:rsid w:val="009D4C32"/>
    <w:rsid w:val="009D504B"/>
    <w:rsid w:val="009D5062"/>
    <w:rsid w:val="009D6417"/>
    <w:rsid w:val="009D6886"/>
    <w:rsid w:val="009D68B5"/>
    <w:rsid w:val="009D69DE"/>
    <w:rsid w:val="009D6DC9"/>
    <w:rsid w:val="009D70AD"/>
    <w:rsid w:val="009D77F9"/>
    <w:rsid w:val="009D7B2A"/>
    <w:rsid w:val="009D7E74"/>
    <w:rsid w:val="009E0057"/>
    <w:rsid w:val="009E02A0"/>
    <w:rsid w:val="009E0ADB"/>
    <w:rsid w:val="009E0B34"/>
    <w:rsid w:val="009E0FA2"/>
    <w:rsid w:val="009E104A"/>
    <w:rsid w:val="009E1086"/>
    <w:rsid w:val="009E1295"/>
    <w:rsid w:val="009E1964"/>
    <w:rsid w:val="009E1CA1"/>
    <w:rsid w:val="009E1D9E"/>
    <w:rsid w:val="009E1DD8"/>
    <w:rsid w:val="009E1EF3"/>
    <w:rsid w:val="009E1FF1"/>
    <w:rsid w:val="009E2006"/>
    <w:rsid w:val="009E2C35"/>
    <w:rsid w:val="009E2E72"/>
    <w:rsid w:val="009E2EBD"/>
    <w:rsid w:val="009E301C"/>
    <w:rsid w:val="009E34BF"/>
    <w:rsid w:val="009E3554"/>
    <w:rsid w:val="009E3DA8"/>
    <w:rsid w:val="009E4146"/>
    <w:rsid w:val="009E4307"/>
    <w:rsid w:val="009E54EB"/>
    <w:rsid w:val="009E584A"/>
    <w:rsid w:val="009E6AE8"/>
    <w:rsid w:val="009E758E"/>
    <w:rsid w:val="009E7AB1"/>
    <w:rsid w:val="009E7C35"/>
    <w:rsid w:val="009F0802"/>
    <w:rsid w:val="009F0A9B"/>
    <w:rsid w:val="009F0D1F"/>
    <w:rsid w:val="009F124F"/>
    <w:rsid w:val="009F1EDE"/>
    <w:rsid w:val="009F1F1B"/>
    <w:rsid w:val="009F22FE"/>
    <w:rsid w:val="009F2745"/>
    <w:rsid w:val="009F2C6E"/>
    <w:rsid w:val="009F2EE7"/>
    <w:rsid w:val="009F304A"/>
    <w:rsid w:val="009F32D6"/>
    <w:rsid w:val="009F3693"/>
    <w:rsid w:val="009F37A4"/>
    <w:rsid w:val="009F37E2"/>
    <w:rsid w:val="009F39CA"/>
    <w:rsid w:val="009F3D72"/>
    <w:rsid w:val="009F4095"/>
    <w:rsid w:val="009F441C"/>
    <w:rsid w:val="009F500D"/>
    <w:rsid w:val="009F526E"/>
    <w:rsid w:val="009F5CF4"/>
    <w:rsid w:val="009F5F5A"/>
    <w:rsid w:val="009F61DA"/>
    <w:rsid w:val="009F6624"/>
    <w:rsid w:val="009F66D7"/>
    <w:rsid w:val="009F681A"/>
    <w:rsid w:val="009F707B"/>
    <w:rsid w:val="009F7724"/>
    <w:rsid w:val="009F7AAB"/>
    <w:rsid w:val="009F7B10"/>
    <w:rsid w:val="00A003BC"/>
    <w:rsid w:val="00A003C2"/>
    <w:rsid w:val="00A00478"/>
    <w:rsid w:val="00A00600"/>
    <w:rsid w:val="00A008AC"/>
    <w:rsid w:val="00A00EB3"/>
    <w:rsid w:val="00A013AF"/>
    <w:rsid w:val="00A01716"/>
    <w:rsid w:val="00A01881"/>
    <w:rsid w:val="00A01A8F"/>
    <w:rsid w:val="00A01D8E"/>
    <w:rsid w:val="00A026F0"/>
    <w:rsid w:val="00A030A7"/>
    <w:rsid w:val="00A0331F"/>
    <w:rsid w:val="00A03A2A"/>
    <w:rsid w:val="00A041AE"/>
    <w:rsid w:val="00A0488B"/>
    <w:rsid w:val="00A04901"/>
    <w:rsid w:val="00A04B45"/>
    <w:rsid w:val="00A04CB8"/>
    <w:rsid w:val="00A05077"/>
    <w:rsid w:val="00A050B8"/>
    <w:rsid w:val="00A05887"/>
    <w:rsid w:val="00A0597F"/>
    <w:rsid w:val="00A05C11"/>
    <w:rsid w:val="00A061A9"/>
    <w:rsid w:val="00A06289"/>
    <w:rsid w:val="00A06895"/>
    <w:rsid w:val="00A068C9"/>
    <w:rsid w:val="00A06A1D"/>
    <w:rsid w:val="00A07364"/>
    <w:rsid w:val="00A07AB9"/>
    <w:rsid w:val="00A07CFA"/>
    <w:rsid w:val="00A07EF2"/>
    <w:rsid w:val="00A07FEC"/>
    <w:rsid w:val="00A101F1"/>
    <w:rsid w:val="00A10E55"/>
    <w:rsid w:val="00A10F6E"/>
    <w:rsid w:val="00A1120B"/>
    <w:rsid w:val="00A114E7"/>
    <w:rsid w:val="00A1156C"/>
    <w:rsid w:val="00A119A7"/>
    <w:rsid w:val="00A11BE5"/>
    <w:rsid w:val="00A120A9"/>
    <w:rsid w:val="00A123DA"/>
    <w:rsid w:val="00A12559"/>
    <w:rsid w:val="00A127E9"/>
    <w:rsid w:val="00A12807"/>
    <w:rsid w:val="00A12B94"/>
    <w:rsid w:val="00A12BBF"/>
    <w:rsid w:val="00A12C03"/>
    <w:rsid w:val="00A1368C"/>
    <w:rsid w:val="00A13903"/>
    <w:rsid w:val="00A13BD0"/>
    <w:rsid w:val="00A141BB"/>
    <w:rsid w:val="00A14641"/>
    <w:rsid w:val="00A14B2D"/>
    <w:rsid w:val="00A14B2E"/>
    <w:rsid w:val="00A14CBD"/>
    <w:rsid w:val="00A14DAB"/>
    <w:rsid w:val="00A150F2"/>
    <w:rsid w:val="00A152D6"/>
    <w:rsid w:val="00A15A35"/>
    <w:rsid w:val="00A16135"/>
    <w:rsid w:val="00A16907"/>
    <w:rsid w:val="00A16D0B"/>
    <w:rsid w:val="00A16D3D"/>
    <w:rsid w:val="00A16EDA"/>
    <w:rsid w:val="00A173A5"/>
    <w:rsid w:val="00A17888"/>
    <w:rsid w:val="00A17D8C"/>
    <w:rsid w:val="00A17E47"/>
    <w:rsid w:val="00A203F0"/>
    <w:rsid w:val="00A20A28"/>
    <w:rsid w:val="00A20A39"/>
    <w:rsid w:val="00A21096"/>
    <w:rsid w:val="00A21185"/>
    <w:rsid w:val="00A21276"/>
    <w:rsid w:val="00A215AA"/>
    <w:rsid w:val="00A21715"/>
    <w:rsid w:val="00A21924"/>
    <w:rsid w:val="00A21C8C"/>
    <w:rsid w:val="00A21D7B"/>
    <w:rsid w:val="00A22174"/>
    <w:rsid w:val="00A22ECA"/>
    <w:rsid w:val="00A230F6"/>
    <w:rsid w:val="00A236FC"/>
    <w:rsid w:val="00A239FF"/>
    <w:rsid w:val="00A241B5"/>
    <w:rsid w:val="00A24D32"/>
    <w:rsid w:val="00A24D46"/>
    <w:rsid w:val="00A24DE8"/>
    <w:rsid w:val="00A24F88"/>
    <w:rsid w:val="00A25126"/>
    <w:rsid w:val="00A260BA"/>
    <w:rsid w:val="00A26787"/>
    <w:rsid w:val="00A268E6"/>
    <w:rsid w:val="00A2693C"/>
    <w:rsid w:val="00A273B2"/>
    <w:rsid w:val="00A27427"/>
    <w:rsid w:val="00A27458"/>
    <w:rsid w:val="00A27E7C"/>
    <w:rsid w:val="00A27F26"/>
    <w:rsid w:val="00A30A57"/>
    <w:rsid w:val="00A313A3"/>
    <w:rsid w:val="00A32096"/>
    <w:rsid w:val="00A32189"/>
    <w:rsid w:val="00A3267E"/>
    <w:rsid w:val="00A32893"/>
    <w:rsid w:val="00A32917"/>
    <w:rsid w:val="00A32B37"/>
    <w:rsid w:val="00A32E8E"/>
    <w:rsid w:val="00A32EDD"/>
    <w:rsid w:val="00A32F25"/>
    <w:rsid w:val="00A32F32"/>
    <w:rsid w:val="00A32F5A"/>
    <w:rsid w:val="00A32F8F"/>
    <w:rsid w:val="00A33888"/>
    <w:rsid w:val="00A3503E"/>
    <w:rsid w:val="00A35738"/>
    <w:rsid w:val="00A357FC"/>
    <w:rsid w:val="00A35C0A"/>
    <w:rsid w:val="00A36142"/>
    <w:rsid w:val="00A36594"/>
    <w:rsid w:val="00A365B9"/>
    <w:rsid w:val="00A365E6"/>
    <w:rsid w:val="00A367A6"/>
    <w:rsid w:val="00A36839"/>
    <w:rsid w:val="00A370B9"/>
    <w:rsid w:val="00A370CD"/>
    <w:rsid w:val="00A37152"/>
    <w:rsid w:val="00A37296"/>
    <w:rsid w:val="00A37636"/>
    <w:rsid w:val="00A377E6"/>
    <w:rsid w:val="00A37AC8"/>
    <w:rsid w:val="00A40287"/>
    <w:rsid w:val="00A40C7E"/>
    <w:rsid w:val="00A41290"/>
    <w:rsid w:val="00A417AD"/>
    <w:rsid w:val="00A424C0"/>
    <w:rsid w:val="00A427EE"/>
    <w:rsid w:val="00A43260"/>
    <w:rsid w:val="00A435F1"/>
    <w:rsid w:val="00A437A5"/>
    <w:rsid w:val="00A43862"/>
    <w:rsid w:val="00A43AC4"/>
    <w:rsid w:val="00A43C61"/>
    <w:rsid w:val="00A43CC4"/>
    <w:rsid w:val="00A43F4B"/>
    <w:rsid w:val="00A44061"/>
    <w:rsid w:val="00A4408B"/>
    <w:rsid w:val="00A4439D"/>
    <w:rsid w:val="00A44607"/>
    <w:rsid w:val="00A44AF1"/>
    <w:rsid w:val="00A44E7C"/>
    <w:rsid w:val="00A45088"/>
    <w:rsid w:val="00A45881"/>
    <w:rsid w:val="00A4600E"/>
    <w:rsid w:val="00A464F5"/>
    <w:rsid w:val="00A46D2D"/>
    <w:rsid w:val="00A46F91"/>
    <w:rsid w:val="00A4730B"/>
    <w:rsid w:val="00A478DA"/>
    <w:rsid w:val="00A47BDA"/>
    <w:rsid w:val="00A47F96"/>
    <w:rsid w:val="00A50108"/>
    <w:rsid w:val="00A5040C"/>
    <w:rsid w:val="00A50A4B"/>
    <w:rsid w:val="00A50C92"/>
    <w:rsid w:val="00A50FBA"/>
    <w:rsid w:val="00A5168C"/>
    <w:rsid w:val="00A518B7"/>
    <w:rsid w:val="00A52410"/>
    <w:rsid w:val="00A52428"/>
    <w:rsid w:val="00A524E6"/>
    <w:rsid w:val="00A524F6"/>
    <w:rsid w:val="00A52680"/>
    <w:rsid w:val="00A52C05"/>
    <w:rsid w:val="00A52EBB"/>
    <w:rsid w:val="00A53A86"/>
    <w:rsid w:val="00A53ADD"/>
    <w:rsid w:val="00A54016"/>
    <w:rsid w:val="00A5415C"/>
    <w:rsid w:val="00A54891"/>
    <w:rsid w:val="00A55238"/>
    <w:rsid w:val="00A5538A"/>
    <w:rsid w:val="00A5573E"/>
    <w:rsid w:val="00A55931"/>
    <w:rsid w:val="00A55B60"/>
    <w:rsid w:val="00A55BD6"/>
    <w:rsid w:val="00A55CB5"/>
    <w:rsid w:val="00A5704A"/>
    <w:rsid w:val="00A571C0"/>
    <w:rsid w:val="00A57489"/>
    <w:rsid w:val="00A57A28"/>
    <w:rsid w:val="00A57D80"/>
    <w:rsid w:val="00A608A9"/>
    <w:rsid w:val="00A60BD0"/>
    <w:rsid w:val="00A60CAB"/>
    <w:rsid w:val="00A6132D"/>
    <w:rsid w:val="00A6155A"/>
    <w:rsid w:val="00A61826"/>
    <w:rsid w:val="00A6185B"/>
    <w:rsid w:val="00A61BED"/>
    <w:rsid w:val="00A6273A"/>
    <w:rsid w:val="00A62901"/>
    <w:rsid w:val="00A62D7D"/>
    <w:rsid w:val="00A62F2A"/>
    <w:rsid w:val="00A63188"/>
    <w:rsid w:val="00A631FB"/>
    <w:rsid w:val="00A6389F"/>
    <w:rsid w:val="00A6393E"/>
    <w:rsid w:val="00A64842"/>
    <w:rsid w:val="00A64B2D"/>
    <w:rsid w:val="00A64F85"/>
    <w:rsid w:val="00A64FF1"/>
    <w:rsid w:val="00A6524B"/>
    <w:rsid w:val="00A66588"/>
    <w:rsid w:val="00A66A38"/>
    <w:rsid w:val="00A66E9B"/>
    <w:rsid w:val="00A67228"/>
    <w:rsid w:val="00A677BA"/>
    <w:rsid w:val="00A67887"/>
    <w:rsid w:val="00A678A6"/>
    <w:rsid w:val="00A67CBB"/>
    <w:rsid w:val="00A70378"/>
    <w:rsid w:val="00A70CED"/>
    <w:rsid w:val="00A70D94"/>
    <w:rsid w:val="00A723B2"/>
    <w:rsid w:val="00A72571"/>
    <w:rsid w:val="00A725E3"/>
    <w:rsid w:val="00A72B8F"/>
    <w:rsid w:val="00A72D3D"/>
    <w:rsid w:val="00A730D7"/>
    <w:rsid w:val="00A731AB"/>
    <w:rsid w:val="00A734EB"/>
    <w:rsid w:val="00A7353A"/>
    <w:rsid w:val="00A73685"/>
    <w:rsid w:val="00A73935"/>
    <w:rsid w:val="00A73AF8"/>
    <w:rsid w:val="00A74038"/>
    <w:rsid w:val="00A741D5"/>
    <w:rsid w:val="00A74A1F"/>
    <w:rsid w:val="00A74CBF"/>
    <w:rsid w:val="00A756E1"/>
    <w:rsid w:val="00A758C8"/>
    <w:rsid w:val="00A7647A"/>
    <w:rsid w:val="00A7683E"/>
    <w:rsid w:val="00A76860"/>
    <w:rsid w:val="00A768C9"/>
    <w:rsid w:val="00A770BD"/>
    <w:rsid w:val="00A7726E"/>
    <w:rsid w:val="00A773A6"/>
    <w:rsid w:val="00A774FB"/>
    <w:rsid w:val="00A8011E"/>
    <w:rsid w:val="00A801FA"/>
    <w:rsid w:val="00A80D84"/>
    <w:rsid w:val="00A8160D"/>
    <w:rsid w:val="00A8168B"/>
    <w:rsid w:val="00A818AA"/>
    <w:rsid w:val="00A82154"/>
    <w:rsid w:val="00A82842"/>
    <w:rsid w:val="00A831C2"/>
    <w:rsid w:val="00A838B2"/>
    <w:rsid w:val="00A839C8"/>
    <w:rsid w:val="00A83C3C"/>
    <w:rsid w:val="00A84227"/>
    <w:rsid w:val="00A844E9"/>
    <w:rsid w:val="00A84613"/>
    <w:rsid w:val="00A84AF9"/>
    <w:rsid w:val="00A85B6F"/>
    <w:rsid w:val="00A860C6"/>
    <w:rsid w:val="00A868BA"/>
    <w:rsid w:val="00A87314"/>
    <w:rsid w:val="00A87E7C"/>
    <w:rsid w:val="00A87F0C"/>
    <w:rsid w:val="00A9003A"/>
    <w:rsid w:val="00A90191"/>
    <w:rsid w:val="00A9063A"/>
    <w:rsid w:val="00A909E6"/>
    <w:rsid w:val="00A90B07"/>
    <w:rsid w:val="00A912DB"/>
    <w:rsid w:val="00A913E6"/>
    <w:rsid w:val="00A9170D"/>
    <w:rsid w:val="00A91850"/>
    <w:rsid w:val="00A91BC2"/>
    <w:rsid w:val="00A92250"/>
    <w:rsid w:val="00A93893"/>
    <w:rsid w:val="00A93EDA"/>
    <w:rsid w:val="00A946B2"/>
    <w:rsid w:val="00A94D66"/>
    <w:rsid w:val="00A94F07"/>
    <w:rsid w:val="00A958E5"/>
    <w:rsid w:val="00A95A0B"/>
    <w:rsid w:val="00A95BFF"/>
    <w:rsid w:val="00A9602E"/>
    <w:rsid w:val="00A962B0"/>
    <w:rsid w:val="00A9659F"/>
    <w:rsid w:val="00A969BA"/>
    <w:rsid w:val="00A9762A"/>
    <w:rsid w:val="00A97D97"/>
    <w:rsid w:val="00AA01DC"/>
    <w:rsid w:val="00AA020C"/>
    <w:rsid w:val="00AA081E"/>
    <w:rsid w:val="00AA0F86"/>
    <w:rsid w:val="00AA0FDE"/>
    <w:rsid w:val="00AA114B"/>
    <w:rsid w:val="00AA1171"/>
    <w:rsid w:val="00AA11DD"/>
    <w:rsid w:val="00AA13B8"/>
    <w:rsid w:val="00AA14F7"/>
    <w:rsid w:val="00AA1816"/>
    <w:rsid w:val="00AA1AEF"/>
    <w:rsid w:val="00AA1BAE"/>
    <w:rsid w:val="00AA1D8B"/>
    <w:rsid w:val="00AA25F7"/>
    <w:rsid w:val="00AA289C"/>
    <w:rsid w:val="00AA2FE7"/>
    <w:rsid w:val="00AA3083"/>
    <w:rsid w:val="00AA3267"/>
    <w:rsid w:val="00AA36A2"/>
    <w:rsid w:val="00AA3716"/>
    <w:rsid w:val="00AA3C6E"/>
    <w:rsid w:val="00AA3D5E"/>
    <w:rsid w:val="00AA3FD4"/>
    <w:rsid w:val="00AA4046"/>
    <w:rsid w:val="00AA44A5"/>
    <w:rsid w:val="00AA47B0"/>
    <w:rsid w:val="00AA4D0C"/>
    <w:rsid w:val="00AA5488"/>
    <w:rsid w:val="00AA54D3"/>
    <w:rsid w:val="00AA629C"/>
    <w:rsid w:val="00AA65EF"/>
    <w:rsid w:val="00AA691D"/>
    <w:rsid w:val="00AA6A16"/>
    <w:rsid w:val="00AA6CEA"/>
    <w:rsid w:val="00AA7374"/>
    <w:rsid w:val="00AA7832"/>
    <w:rsid w:val="00AA7923"/>
    <w:rsid w:val="00AB02B6"/>
    <w:rsid w:val="00AB036F"/>
    <w:rsid w:val="00AB07C1"/>
    <w:rsid w:val="00AB0E99"/>
    <w:rsid w:val="00AB10B5"/>
    <w:rsid w:val="00AB14B3"/>
    <w:rsid w:val="00AB18AE"/>
    <w:rsid w:val="00AB26F6"/>
    <w:rsid w:val="00AB273D"/>
    <w:rsid w:val="00AB2B8F"/>
    <w:rsid w:val="00AB3594"/>
    <w:rsid w:val="00AB3846"/>
    <w:rsid w:val="00AB384C"/>
    <w:rsid w:val="00AB3A9B"/>
    <w:rsid w:val="00AB3FC1"/>
    <w:rsid w:val="00AB45B2"/>
    <w:rsid w:val="00AB49FD"/>
    <w:rsid w:val="00AB4AFD"/>
    <w:rsid w:val="00AB4F75"/>
    <w:rsid w:val="00AB4F81"/>
    <w:rsid w:val="00AB52D8"/>
    <w:rsid w:val="00AB53F5"/>
    <w:rsid w:val="00AB564C"/>
    <w:rsid w:val="00AB58A1"/>
    <w:rsid w:val="00AB58FA"/>
    <w:rsid w:val="00AB5AC3"/>
    <w:rsid w:val="00AB5C93"/>
    <w:rsid w:val="00AB655A"/>
    <w:rsid w:val="00AB6735"/>
    <w:rsid w:val="00AB6883"/>
    <w:rsid w:val="00AB6891"/>
    <w:rsid w:val="00AB6B2B"/>
    <w:rsid w:val="00AB6FB2"/>
    <w:rsid w:val="00AC0295"/>
    <w:rsid w:val="00AC043C"/>
    <w:rsid w:val="00AC0897"/>
    <w:rsid w:val="00AC0F5E"/>
    <w:rsid w:val="00AC13EA"/>
    <w:rsid w:val="00AC1421"/>
    <w:rsid w:val="00AC19DA"/>
    <w:rsid w:val="00AC1B46"/>
    <w:rsid w:val="00AC2247"/>
    <w:rsid w:val="00AC245B"/>
    <w:rsid w:val="00AC2827"/>
    <w:rsid w:val="00AC28EC"/>
    <w:rsid w:val="00AC2A7E"/>
    <w:rsid w:val="00AC2B17"/>
    <w:rsid w:val="00AC36B2"/>
    <w:rsid w:val="00AC3934"/>
    <w:rsid w:val="00AC3949"/>
    <w:rsid w:val="00AC3E1A"/>
    <w:rsid w:val="00AC4409"/>
    <w:rsid w:val="00AC4AB8"/>
    <w:rsid w:val="00AC4ADF"/>
    <w:rsid w:val="00AC4B07"/>
    <w:rsid w:val="00AC5AE7"/>
    <w:rsid w:val="00AC6935"/>
    <w:rsid w:val="00AC69DF"/>
    <w:rsid w:val="00AC6AD1"/>
    <w:rsid w:val="00AC6B90"/>
    <w:rsid w:val="00AC6EE3"/>
    <w:rsid w:val="00AC7229"/>
    <w:rsid w:val="00AC725C"/>
    <w:rsid w:val="00AC737C"/>
    <w:rsid w:val="00AC753A"/>
    <w:rsid w:val="00AC7E63"/>
    <w:rsid w:val="00AD0380"/>
    <w:rsid w:val="00AD054F"/>
    <w:rsid w:val="00AD0861"/>
    <w:rsid w:val="00AD1183"/>
    <w:rsid w:val="00AD1263"/>
    <w:rsid w:val="00AD1269"/>
    <w:rsid w:val="00AD1879"/>
    <w:rsid w:val="00AD1B07"/>
    <w:rsid w:val="00AD1B09"/>
    <w:rsid w:val="00AD1C08"/>
    <w:rsid w:val="00AD1C9D"/>
    <w:rsid w:val="00AD2111"/>
    <w:rsid w:val="00AD2C7E"/>
    <w:rsid w:val="00AD2E6B"/>
    <w:rsid w:val="00AD3DEA"/>
    <w:rsid w:val="00AD43A9"/>
    <w:rsid w:val="00AD4B7E"/>
    <w:rsid w:val="00AD5D5E"/>
    <w:rsid w:val="00AD6235"/>
    <w:rsid w:val="00AD68E4"/>
    <w:rsid w:val="00AD696E"/>
    <w:rsid w:val="00AD6CD5"/>
    <w:rsid w:val="00AD7605"/>
    <w:rsid w:val="00AD76F4"/>
    <w:rsid w:val="00AD7820"/>
    <w:rsid w:val="00AD7982"/>
    <w:rsid w:val="00AE01CC"/>
    <w:rsid w:val="00AE0533"/>
    <w:rsid w:val="00AE08A3"/>
    <w:rsid w:val="00AE121C"/>
    <w:rsid w:val="00AE1CD2"/>
    <w:rsid w:val="00AE1F53"/>
    <w:rsid w:val="00AE1F6C"/>
    <w:rsid w:val="00AE20D3"/>
    <w:rsid w:val="00AE296B"/>
    <w:rsid w:val="00AE2AC8"/>
    <w:rsid w:val="00AE2B8E"/>
    <w:rsid w:val="00AE2C70"/>
    <w:rsid w:val="00AE2F53"/>
    <w:rsid w:val="00AE3851"/>
    <w:rsid w:val="00AE3AA2"/>
    <w:rsid w:val="00AE3E7E"/>
    <w:rsid w:val="00AE4058"/>
    <w:rsid w:val="00AE4232"/>
    <w:rsid w:val="00AE45F4"/>
    <w:rsid w:val="00AE47BC"/>
    <w:rsid w:val="00AE5C30"/>
    <w:rsid w:val="00AE5C86"/>
    <w:rsid w:val="00AE5C94"/>
    <w:rsid w:val="00AE5E22"/>
    <w:rsid w:val="00AE5F8F"/>
    <w:rsid w:val="00AE5FE2"/>
    <w:rsid w:val="00AE64D7"/>
    <w:rsid w:val="00AE66AE"/>
    <w:rsid w:val="00AE678E"/>
    <w:rsid w:val="00AE6ABA"/>
    <w:rsid w:val="00AE74B3"/>
    <w:rsid w:val="00AE77A1"/>
    <w:rsid w:val="00AE7AE6"/>
    <w:rsid w:val="00AE7BEB"/>
    <w:rsid w:val="00AF053F"/>
    <w:rsid w:val="00AF09E3"/>
    <w:rsid w:val="00AF0ACE"/>
    <w:rsid w:val="00AF0DA8"/>
    <w:rsid w:val="00AF0E82"/>
    <w:rsid w:val="00AF1F1E"/>
    <w:rsid w:val="00AF1F3C"/>
    <w:rsid w:val="00AF20FD"/>
    <w:rsid w:val="00AF210F"/>
    <w:rsid w:val="00AF27F4"/>
    <w:rsid w:val="00AF3132"/>
    <w:rsid w:val="00AF364E"/>
    <w:rsid w:val="00AF3A29"/>
    <w:rsid w:val="00AF3D7D"/>
    <w:rsid w:val="00AF3EA8"/>
    <w:rsid w:val="00AF411A"/>
    <w:rsid w:val="00AF42F5"/>
    <w:rsid w:val="00AF4AAB"/>
    <w:rsid w:val="00AF4DC1"/>
    <w:rsid w:val="00AF50A6"/>
    <w:rsid w:val="00AF5E00"/>
    <w:rsid w:val="00AF62B6"/>
    <w:rsid w:val="00AF640E"/>
    <w:rsid w:val="00AF6ABD"/>
    <w:rsid w:val="00B0081C"/>
    <w:rsid w:val="00B00845"/>
    <w:rsid w:val="00B00B17"/>
    <w:rsid w:val="00B00BA6"/>
    <w:rsid w:val="00B00C84"/>
    <w:rsid w:val="00B012C2"/>
    <w:rsid w:val="00B01919"/>
    <w:rsid w:val="00B01E67"/>
    <w:rsid w:val="00B021E0"/>
    <w:rsid w:val="00B02286"/>
    <w:rsid w:val="00B0233E"/>
    <w:rsid w:val="00B02435"/>
    <w:rsid w:val="00B02505"/>
    <w:rsid w:val="00B0310D"/>
    <w:rsid w:val="00B03575"/>
    <w:rsid w:val="00B038B7"/>
    <w:rsid w:val="00B03D5C"/>
    <w:rsid w:val="00B03D5D"/>
    <w:rsid w:val="00B042B2"/>
    <w:rsid w:val="00B0460F"/>
    <w:rsid w:val="00B048E1"/>
    <w:rsid w:val="00B04D13"/>
    <w:rsid w:val="00B051FC"/>
    <w:rsid w:val="00B055BD"/>
    <w:rsid w:val="00B05644"/>
    <w:rsid w:val="00B05B52"/>
    <w:rsid w:val="00B06241"/>
    <w:rsid w:val="00B069E5"/>
    <w:rsid w:val="00B06C08"/>
    <w:rsid w:val="00B06DA1"/>
    <w:rsid w:val="00B06E36"/>
    <w:rsid w:val="00B06F01"/>
    <w:rsid w:val="00B06F64"/>
    <w:rsid w:val="00B075BC"/>
    <w:rsid w:val="00B0799B"/>
    <w:rsid w:val="00B107EC"/>
    <w:rsid w:val="00B109CE"/>
    <w:rsid w:val="00B10A1D"/>
    <w:rsid w:val="00B10A80"/>
    <w:rsid w:val="00B10C60"/>
    <w:rsid w:val="00B1143E"/>
    <w:rsid w:val="00B11815"/>
    <w:rsid w:val="00B11B96"/>
    <w:rsid w:val="00B11E1B"/>
    <w:rsid w:val="00B11FC9"/>
    <w:rsid w:val="00B12485"/>
    <w:rsid w:val="00B12C3C"/>
    <w:rsid w:val="00B13D58"/>
    <w:rsid w:val="00B13F60"/>
    <w:rsid w:val="00B13F87"/>
    <w:rsid w:val="00B14093"/>
    <w:rsid w:val="00B14107"/>
    <w:rsid w:val="00B14E36"/>
    <w:rsid w:val="00B15015"/>
    <w:rsid w:val="00B1503F"/>
    <w:rsid w:val="00B15400"/>
    <w:rsid w:val="00B15633"/>
    <w:rsid w:val="00B15B04"/>
    <w:rsid w:val="00B16B95"/>
    <w:rsid w:val="00B16EFC"/>
    <w:rsid w:val="00B16FDD"/>
    <w:rsid w:val="00B1706D"/>
    <w:rsid w:val="00B17419"/>
    <w:rsid w:val="00B17598"/>
    <w:rsid w:val="00B1761E"/>
    <w:rsid w:val="00B176A1"/>
    <w:rsid w:val="00B20088"/>
    <w:rsid w:val="00B203D1"/>
    <w:rsid w:val="00B205B2"/>
    <w:rsid w:val="00B20BDF"/>
    <w:rsid w:val="00B20F64"/>
    <w:rsid w:val="00B21BC2"/>
    <w:rsid w:val="00B21C4C"/>
    <w:rsid w:val="00B21D2F"/>
    <w:rsid w:val="00B21E41"/>
    <w:rsid w:val="00B2212B"/>
    <w:rsid w:val="00B22290"/>
    <w:rsid w:val="00B228AC"/>
    <w:rsid w:val="00B22D7A"/>
    <w:rsid w:val="00B23905"/>
    <w:rsid w:val="00B23957"/>
    <w:rsid w:val="00B23A86"/>
    <w:rsid w:val="00B23CD2"/>
    <w:rsid w:val="00B23D66"/>
    <w:rsid w:val="00B241ED"/>
    <w:rsid w:val="00B24E89"/>
    <w:rsid w:val="00B2535C"/>
    <w:rsid w:val="00B253A0"/>
    <w:rsid w:val="00B25D37"/>
    <w:rsid w:val="00B26274"/>
    <w:rsid w:val="00B2666E"/>
    <w:rsid w:val="00B26960"/>
    <w:rsid w:val="00B26DF3"/>
    <w:rsid w:val="00B274C8"/>
    <w:rsid w:val="00B27B0B"/>
    <w:rsid w:val="00B30266"/>
    <w:rsid w:val="00B303CD"/>
    <w:rsid w:val="00B30793"/>
    <w:rsid w:val="00B3095F"/>
    <w:rsid w:val="00B31591"/>
    <w:rsid w:val="00B31847"/>
    <w:rsid w:val="00B31B90"/>
    <w:rsid w:val="00B31DE6"/>
    <w:rsid w:val="00B3237D"/>
    <w:rsid w:val="00B324BC"/>
    <w:rsid w:val="00B32620"/>
    <w:rsid w:val="00B32934"/>
    <w:rsid w:val="00B32B77"/>
    <w:rsid w:val="00B32CEF"/>
    <w:rsid w:val="00B32FEE"/>
    <w:rsid w:val="00B33656"/>
    <w:rsid w:val="00B33990"/>
    <w:rsid w:val="00B34342"/>
    <w:rsid w:val="00B3439D"/>
    <w:rsid w:val="00B34437"/>
    <w:rsid w:val="00B34B90"/>
    <w:rsid w:val="00B34D01"/>
    <w:rsid w:val="00B34F08"/>
    <w:rsid w:val="00B34FCD"/>
    <w:rsid w:val="00B350F1"/>
    <w:rsid w:val="00B35359"/>
    <w:rsid w:val="00B3539E"/>
    <w:rsid w:val="00B3569B"/>
    <w:rsid w:val="00B356F6"/>
    <w:rsid w:val="00B35B58"/>
    <w:rsid w:val="00B35BB1"/>
    <w:rsid w:val="00B35C01"/>
    <w:rsid w:val="00B35C63"/>
    <w:rsid w:val="00B3631F"/>
    <w:rsid w:val="00B36486"/>
    <w:rsid w:val="00B36513"/>
    <w:rsid w:val="00B3678D"/>
    <w:rsid w:val="00B36982"/>
    <w:rsid w:val="00B36AE7"/>
    <w:rsid w:val="00B36B48"/>
    <w:rsid w:val="00B36CE9"/>
    <w:rsid w:val="00B36DCD"/>
    <w:rsid w:val="00B36F78"/>
    <w:rsid w:val="00B3772A"/>
    <w:rsid w:val="00B403F4"/>
    <w:rsid w:val="00B4048A"/>
    <w:rsid w:val="00B405B9"/>
    <w:rsid w:val="00B4093D"/>
    <w:rsid w:val="00B40D22"/>
    <w:rsid w:val="00B40F11"/>
    <w:rsid w:val="00B4118B"/>
    <w:rsid w:val="00B41B65"/>
    <w:rsid w:val="00B4235B"/>
    <w:rsid w:val="00B42443"/>
    <w:rsid w:val="00B42526"/>
    <w:rsid w:val="00B4262B"/>
    <w:rsid w:val="00B42AEF"/>
    <w:rsid w:val="00B42DAA"/>
    <w:rsid w:val="00B43017"/>
    <w:rsid w:val="00B43165"/>
    <w:rsid w:val="00B435C5"/>
    <w:rsid w:val="00B4371E"/>
    <w:rsid w:val="00B43854"/>
    <w:rsid w:val="00B447CF"/>
    <w:rsid w:val="00B44DDE"/>
    <w:rsid w:val="00B45A9C"/>
    <w:rsid w:val="00B460A4"/>
    <w:rsid w:val="00B4619C"/>
    <w:rsid w:val="00B461DA"/>
    <w:rsid w:val="00B46A7E"/>
    <w:rsid w:val="00B46C08"/>
    <w:rsid w:val="00B46D36"/>
    <w:rsid w:val="00B47823"/>
    <w:rsid w:val="00B47B6C"/>
    <w:rsid w:val="00B50109"/>
    <w:rsid w:val="00B50169"/>
    <w:rsid w:val="00B50AF7"/>
    <w:rsid w:val="00B50DC3"/>
    <w:rsid w:val="00B513D4"/>
    <w:rsid w:val="00B513E4"/>
    <w:rsid w:val="00B51869"/>
    <w:rsid w:val="00B5245A"/>
    <w:rsid w:val="00B52507"/>
    <w:rsid w:val="00B52C71"/>
    <w:rsid w:val="00B534A0"/>
    <w:rsid w:val="00B53BB8"/>
    <w:rsid w:val="00B53BD0"/>
    <w:rsid w:val="00B541F8"/>
    <w:rsid w:val="00B5435E"/>
    <w:rsid w:val="00B54480"/>
    <w:rsid w:val="00B5452A"/>
    <w:rsid w:val="00B54AC0"/>
    <w:rsid w:val="00B54AF5"/>
    <w:rsid w:val="00B54E07"/>
    <w:rsid w:val="00B54F51"/>
    <w:rsid w:val="00B553E0"/>
    <w:rsid w:val="00B55863"/>
    <w:rsid w:val="00B559A5"/>
    <w:rsid w:val="00B559B0"/>
    <w:rsid w:val="00B55B1C"/>
    <w:rsid w:val="00B55E4F"/>
    <w:rsid w:val="00B56513"/>
    <w:rsid w:val="00B567F6"/>
    <w:rsid w:val="00B56837"/>
    <w:rsid w:val="00B56A67"/>
    <w:rsid w:val="00B56B62"/>
    <w:rsid w:val="00B56D43"/>
    <w:rsid w:val="00B5704A"/>
    <w:rsid w:val="00B57807"/>
    <w:rsid w:val="00B57882"/>
    <w:rsid w:val="00B578FA"/>
    <w:rsid w:val="00B57AA0"/>
    <w:rsid w:val="00B57C39"/>
    <w:rsid w:val="00B57DEB"/>
    <w:rsid w:val="00B57F8D"/>
    <w:rsid w:val="00B601A5"/>
    <w:rsid w:val="00B60548"/>
    <w:rsid w:val="00B60E71"/>
    <w:rsid w:val="00B613F5"/>
    <w:rsid w:val="00B6177F"/>
    <w:rsid w:val="00B61CEB"/>
    <w:rsid w:val="00B624FD"/>
    <w:rsid w:val="00B62C0D"/>
    <w:rsid w:val="00B62D97"/>
    <w:rsid w:val="00B62F4B"/>
    <w:rsid w:val="00B62FF4"/>
    <w:rsid w:val="00B6313D"/>
    <w:rsid w:val="00B631AA"/>
    <w:rsid w:val="00B640A2"/>
    <w:rsid w:val="00B64890"/>
    <w:rsid w:val="00B64D87"/>
    <w:rsid w:val="00B654A2"/>
    <w:rsid w:val="00B65A41"/>
    <w:rsid w:val="00B65EF3"/>
    <w:rsid w:val="00B65F3A"/>
    <w:rsid w:val="00B66067"/>
    <w:rsid w:val="00B66322"/>
    <w:rsid w:val="00B66615"/>
    <w:rsid w:val="00B66A2E"/>
    <w:rsid w:val="00B6763E"/>
    <w:rsid w:val="00B67AA8"/>
    <w:rsid w:val="00B703CA"/>
    <w:rsid w:val="00B705B7"/>
    <w:rsid w:val="00B70A7C"/>
    <w:rsid w:val="00B70F23"/>
    <w:rsid w:val="00B70FEE"/>
    <w:rsid w:val="00B718C1"/>
    <w:rsid w:val="00B72020"/>
    <w:rsid w:val="00B72952"/>
    <w:rsid w:val="00B72BFF"/>
    <w:rsid w:val="00B72EA9"/>
    <w:rsid w:val="00B73493"/>
    <w:rsid w:val="00B734F9"/>
    <w:rsid w:val="00B7378E"/>
    <w:rsid w:val="00B739EA"/>
    <w:rsid w:val="00B743FB"/>
    <w:rsid w:val="00B74B56"/>
    <w:rsid w:val="00B74EE6"/>
    <w:rsid w:val="00B7505B"/>
    <w:rsid w:val="00B75501"/>
    <w:rsid w:val="00B75B99"/>
    <w:rsid w:val="00B75DA3"/>
    <w:rsid w:val="00B75FFC"/>
    <w:rsid w:val="00B762E1"/>
    <w:rsid w:val="00B76FC0"/>
    <w:rsid w:val="00B770BF"/>
    <w:rsid w:val="00B7798B"/>
    <w:rsid w:val="00B803B3"/>
    <w:rsid w:val="00B80809"/>
    <w:rsid w:val="00B80947"/>
    <w:rsid w:val="00B81B77"/>
    <w:rsid w:val="00B81D54"/>
    <w:rsid w:val="00B8287E"/>
    <w:rsid w:val="00B82BD8"/>
    <w:rsid w:val="00B82DA6"/>
    <w:rsid w:val="00B82DCF"/>
    <w:rsid w:val="00B833B4"/>
    <w:rsid w:val="00B835A6"/>
    <w:rsid w:val="00B83970"/>
    <w:rsid w:val="00B83E36"/>
    <w:rsid w:val="00B83E92"/>
    <w:rsid w:val="00B841E0"/>
    <w:rsid w:val="00B84262"/>
    <w:rsid w:val="00B84638"/>
    <w:rsid w:val="00B84A02"/>
    <w:rsid w:val="00B84B33"/>
    <w:rsid w:val="00B84CD2"/>
    <w:rsid w:val="00B84F86"/>
    <w:rsid w:val="00B851AA"/>
    <w:rsid w:val="00B851EB"/>
    <w:rsid w:val="00B85231"/>
    <w:rsid w:val="00B8527B"/>
    <w:rsid w:val="00B86098"/>
    <w:rsid w:val="00B86BF1"/>
    <w:rsid w:val="00B87569"/>
    <w:rsid w:val="00B87E5C"/>
    <w:rsid w:val="00B90228"/>
    <w:rsid w:val="00B90495"/>
    <w:rsid w:val="00B90C0D"/>
    <w:rsid w:val="00B90D68"/>
    <w:rsid w:val="00B90FF9"/>
    <w:rsid w:val="00B910F5"/>
    <w:rsid w:val="00B9139D"/>
    <w:rsid w:val="00B91592"/>
    <w:rsid w:val="00B916C1"/>
    <w:rsid w:val="00B92461"/>
    <w:rsid w:val="00B92C02"/>
    <w:rsid w:val="00B93184"/>
    <w:rsid w:val="00B93582"/>
    <w:rsid w:val="00B93C96"/>
    <w:rsid w:val="00B9404F"/>
    <w:rsid w:val="00B941CE"/>
    <w:rsid w:val="00B94211"/>
    <w:rsid w:val="00B945DE"/>
    <w:rsid w:val="00B94697"/>
    <w:rsid w:val="00B947CA"/>
    <w:rsid w:val="00B94955"/>
    <w:rsid w:val="00B94A21"/>
    <w:rsid w:val="00B94F9C"/>
    <w:rsid w:val="00B94FD9"/>
    <w:rsid w:val="00B94FF8"/>
    <w:rsid w:val="00B954D1"/>
    <w:rsid w:val="00B95836"/>
    <w:rsid w:val="00B958AF"/>
    <w:rsid w:val="00B95AEE"/>
    <w:rsid w:val="00B95FEC"/>
    <w:rsid w:val="00B960EE"/>
    <w:rsid w:val="00B9685E"/>
    <w:rsid w:val="00B96ABC"/>
    <w:rsid w:val="00B96C1B"/>
    <w:rsid w:val="00B96C26"/>
    <w:rsid w:val="00B97032"/>
    <w:rsid w:val="00B97036"/>
    <w:rsid w:val="00B97540"/>
    <w:rsid w:val="00B978D8"/>
    <w:rsid w:val="00B979EC"/>
    <w:rsid w:val="00B97C7F"/>
    <w:rsid w:val="00B97CBA"/>
    <w:rsid w:val="00B97EA4"/>
    <w:rsid w:val="00BA0038"/>
    <w:rsid w:val="00BA01DC"/>
    <w:rsid w:val="00BA0245"/>
    <w:rsid w:val="00BA02B0"/>
    <w:rsid w:val="00BA0331"/>
    <w:rsid w:val="00BA04B7"/>
    <w:rsid w:val="00BA0748"/>
    <w:rsid w:val="00BA0C31"/>
    <w:rsid w:val="00BA0D24"/>
    <w:rsid w:val="00BA0FAE"/>
    <w:rsid w:val="00BA11E8"/>
    <w:rsid w:val="00BA17AD"/>
    <w:rsid w:val="00BA1946"/>
    <w:rsid w:val="00BA2265"/>
    <w:rsid w:val="00BA277D"/>
    <w:rsid w:val="00BA2C34"/>
    <w:rsid w:val="00BA2C58"/>
    <w:rsid w:val="00BA3DD5"/>
    <w:rsid w:val="00BA4AAC"/>
    <w:rsid w:val="00BA4B31"/>
    <w:rsid w:val="00BA4BEE"/>
    <w:rsid w:val="00BA4F0F"/>
    <w:rsid w:val="00BA5061"/>
    <w:rsid w:val="00BA52BD"/>
    <w:rsid w:val="00BA587D"/>
    <w:rsid w:val="00BA59C2"/>
    <w:rsid w:val="00BA5BCC"/>
    <w:rsid w:val="00BA5BCD"/>
    <w:rsid w:val="00BA5C20"/>
    <w:rsid w:val="00BA6370"/>
    <w:rsid w:val="00BA6FE1"/>
    <w:rsid w:val="00BA7237"/>
    <w:rsid w:val="00BA7E86"/>
    <w:rsid w:val="00BB0431"/>
    <w:rsid w:val="00BB0647"/>
    <w:rsid w:val="00BB0766"/>
    <w:rsid w:val="00BB0BD2"/>
    <w:rsid w:val="00BB1161"/>
    <w:rsid w:val="00BB1641"/>
    <w:rsid w:val="00BB1873"/>
    <w:rsid w:val="00BB18E4"/>
    <w:rsid w:val="00BB1A44"/>
    <w:rsid w:val="00BB21D7"/>
    <w:rsid w:val="00BB26FB"/>
    <w:rsid w:val="00BB27A9"/>
    <w:rsid w:val="00BB2FB5"/>
    <w:rsid w:val="00BB2FC0"/>
    <w:rsid w:val="00BB30E4"/>
    <w:rsid w:val="00BB322B"/>
    <w:rsid w:val="00BB3261"/>
    <w:rsid w:val="00BB34FF"/>
    <w:rsid w:val="00BB3BE0"/>
    <w:rsid w:val="00BB3CEF"/>
    <w:rsid w:val="00BB3D15"/>
    <w:rsid w:val="00BB3E60"/>
    <w:rsid w:val="00BB3EF9"/>
    <w:rsid w:val="00BB405D"/>
    <w:rsid w:val="00BB4109"/>
    <w:rsid w:val="00BB460F"/>
    <w:rsid w:val="00BB4A4E"/>
    <w:rsid w:val="00BB577C"/>
    <w:rsid w:val="00BB5E6D"/>
    <w:rsid w:val="00BB5F3F"/>
    <w:rsid w:val="00BB67A2"/>
    <w:rsid w:val="00BB6E36"/>
    <w:rsid w:val="00BB7059"/>
    <w:rsid w:val="00BB723E"/>
    <w:rsid w:val="00BB726F"/>
    <w:rsid w:val="00BB7357"/>
    <w:rsid w:val="00BB75C5"/>
    <w:rsid w:val="00BB7674"/>
    <w:rsid w:val="00BB791E"/>
    <w:rsid w:val="00BB7CED"/>
    <w:rsid w:val="00BC0759"/>
    <w:rsid w:val="00BC0E3D"/>
    <w:rsid w:val="00BC14B9"/>
    <w:rsid w:val="00BC1CF6"/>
    <w:rsid w:val="00BC2690"/>
    <w:rsid w:val="00BC28BD"/>
    <w:rsid w:val="00BC2E78"/>
    <w:rsid w:val="00BC2EA2"/>
    <w:rsid w:val="00BC382F"/>
    <w:rsid w:val="00BC3896"/>
    <w:rsid w:val="00BC38A0"/>
    <w:rsid w:val="00BC422A"/>
    <w:rsid w:val="00BC42E0"/>
    <w:rsid w:val="00BC4835"/>
    <w:rsid w:val="00BC48A9"/>
    <w:rsid w:val="00BC4BB6"/>
    <w:rsid w:val="00BC58D0"/>
    <w:rsid w:val="00BC624C"/>
    <w:rsid w:val="00BC6A6A"/>
    <w:rsid w:val="00BC6C22"/>
    <w:rsid w:val="00BC72AE"/>
    <w:rsid w:val="00BC7935"/>
    <w:rsid w:val="00BC7D44"/>
    <w:rsid w:val="00BD068D"/>
    <w:rsid w:val="00BD0A5F"/>
    <w:rsid w:val="00BD0EE1"/>
    <w:rsid w:val="00BD0FAE"/>
    <w:rsid w:val="00BD1474"/>
    <w:rsid w:val="00BD261F"/>
    <w:rsid w:val="00BD2A87"/>
    <w:rsid w:val="00BD2A99"/>
    <w:rsid w:val="00BD2C00"/>
    <w:rsid w:val="00BD2FF9"/>
    <w:rsid w:val="00BD35D7"/>
    <w:rsid w:val="00BD366E"/>
    <w:rsid w:val="00BD37CD"/>
    <w:rsid w:val="00BD38D7"/>
    <w:rsid w:val="00BD3BCB"/>
    <w:rsid w:val="00BD43BC"/>
    <w:rsid w:val="00BD4672"/>
    <w:rsid w:val="00BD4B65"/>
    <w:rsid w:val="00BD4FD4"/>
    <w:rsid w:val="00BD50CD"/>
    <w:rsid w:val="00BD5165"/>
    <w:rsid w:val="00BD5369"/>
    <w:rsid w:val="00BD53B3"/>
    <w:rsid w:val="00BD5DD6"/>
    <w:rsid w:val="00BD5FBE"/>
    <w:rsid w:val="00BD6335"/>
    <w:rsid w:val="00BD63E8"/>
    <w:rsid w:val="00BD686B"/>
    <w:rsid w:val="00BD7095"/>
    <w:rsid w:val="00BD7D3A"/>
    <w:rsid w:val="00BD7D8A"/>
    <w:rsid w:val="00BE0080"/>
    <w:rsid w:val="00BE016C"/>
    <w:rsid w:val="00BE0492"/>
    <w:rsid w:val="00BE0622"/>
    <w:rsid w:val="00BE090B"/>
    <w:rsid w:val="00BE0F26"/>
    <w:rsid w:val="00BE1550"/>
    <w:rsid w:val="00BE1BC9"/>
    <w:rsid w:val="00BE1F91"/>
    <w:rsid w:val="00BE22F4"/>
    <w:rsid w:val="00BE2481"/>
    <w:rsid w:val="00BE2771"/>
    <w:rsid w:val="00BE28BD"/>
    <w:rsid w:val="00BE2ADC"/>
    <w:rsid w:val="00BE2F38"/>
    <w:rsid w:val="00BE3131"/>
    <w:rsid w:val="00BE3A89"/>
    <w:rsid w:val="00BE3EE1"/>
    <w:rsid w:val="00BE444C"/>
    <w:rsid w:val="00BE485A"/>
    <w:rsid w:val="00BE4881"/>
    <w:rsid w:val="00BE4EA5"/>
    <w:rsid w:val="00BE53D0"/>
    <w:rsid w:val="00BE5586"/>
    <w:rsid w:val="00BE5A15"/>
    <w:rsid w:val="00BE5C48"/>
    <w:rsid w:val="00BE6312"/>
    <w:rsid w:val="00BE67E7"/>
    <w:rsid w:val="00BE6B83"/>
    <w:rsid w:val="00BE6E16"/>
    <w:rsid w:val="00BE6E90"/>
    <w:rsid w:val="00BE7781"/>
    <w:rsid w:val="00BE7983"/>
    <w:rsid w:val="00BE7BDE"/>
    <w:rsid w:val="00BE7DEC"/>
    <w:rsid w:val="00BE7E51"/>
    <w:rsid w:val="00BE7EC4"/>
    <w:rsid w:val="00BF0583"/>
    <w:rsid w:val="00BF06B9"/>
    <w:rsid w:val="00BF11A8"/>
    <w:rsid w:val="00BF12A3"/>
    <w:rsid w:val="00BF15AB"/>
    <w:rsid w:val="00BF197E"/>
    <w:rsid w:val="00BF302F"/>
    <w:rsid w:val="00BF399A"/>
    <w:rsid w:val="00BF3B5F"/>
    <w:rsid w:val="00BF3F05"/>
    <w:rsid w:val="00BF4056"/>
    <w:rsid w:val="00BF4455"/>
    <w:rsid w:val="00BF4508"/>
    <w:rsid w:val="00BF4515"/>
    <w:rsid w:val="00BF45FA"/>
    <w:rsid w:val="00BF4766"/>
    <w:rsid w:val="00BF4BB9"/>
    <w:rsid w:val="00BF4DD1"/>
    <w:rsid w:val="00BF51DD"/>
    <w:rsid w:val="00BF5CF2"/>
    <w:rsid w:val="00BF62DE"/>
    <w:rsid w:val="00BF672C"/>
    <w:rsid w:val="00BF7274"/>
    <w:rsid w:val="00BF7299"/>
    <w:rsid w:val="00BF73BC"/>
    <w:rsid w:val="00BF7651"/>
    <w:rsid w:val="00BF773F"/>
    <w:rsid w:val="00BF77E5"/>
    <w:rsid w:val="00BF7E11"/>
    <w:rsid w:val="00BF7FC5"/>
    <w:rsid w:val="00C0000A"/>
    <w:rsid w:val="00C000E5"/>
    <w:rsid w:val="00C00210"/>
    <w:rsid w:val="00C0035C"/>
    <w:rsid w:val="00C007B3"/>
    <w:rsid w:val="00C00B4F"/>
    <w:rsid w:val="00C00E73"/>
    <w:rsid w:val="00C00F35"/>
    <w:rsid w:val="00C016BF"/>
    <w:rsid w:val="00C018B1"/>
    <w:rsid w:val="00C01C4D"/>
    <w:rsid w:val="00C02C27"/>
    <w:rsid w:val="00C02D6B"/>
    <w:rsid w:val="00C031BB"/>
    <w:rsid w:val="00C033B1"/>
    <w:rsid w:val="00C03604"/>
    <w:rsid w:val="00C038BF"/>
    <w:rsid w:val="00C03AF8"/>
    <w:rsid w:val="00C04037"/>
    <w:rsid w:val="00C04142"/>
    <w:rsid w:val="00C046C3"/>
    <w:rsid w:val="00C047B3"/>
    <w:rsid w:val="00C04814"/>
    <w:rsid w:val="00C04985"/>
    <w:rsid w:val="00C04A79"/>
    <w:rsid w:val="00C04CAF"/>
    <w:rsid w:val="00C050F3"/>
    <w:rsid w:val="00C051A7"/>
    <w:rsid w:val="00C05269"/>
    <w:rsid w:val="00C056F1"/>
    <w:rsid w:val="00C05997"/>
    <w:rsid w:val="00C066A4"/>
    <w:rsid w:val="00C069B4"/>
    <w:rsid w:val="00C06A04"/>
    <w:rsid w:val="00C06F93"/>
    <w:rsid w:val="00C074D4"/>
    <w:rsid w:val="00C07974"/>
    <w:rsid w:val="00C10268"/>
    <w:rsid w:val="00C105F4"/>
    <w:rsid w:val="00C10973"/>
    <w:rsid w:val="00C10B34"/>
    <w:rsid w:val="00C10C37"/>
    <w:rsid w:val="00C10DAF"/>
    <w:rsid w:val="00C1139E"/>
    <w:rsid w:val="00C11E76"/>
    <w:rsid w:val="00C1213C"/>
    <w:rsid w:val="00C12603"/>
    <w:rsid w:val="00C12858"/>
    <w:rsid w:val="00C129CF"/>
    <w:rsid w:val="00C12CBE"/>
    <w:rsid w:val="00C12E3E"/>
    <w:rsid w:val="00C12F5A"/>
    <w:rsid w:val="00C131BF"/>
    <w:rsid w:val="00C1349B"/>
    <w:rsid w:val="00C134EA"/>
    <w:rsid w:val="00C138EA"/>
    <w:rsid w:val="00C139BD"/>
    <w:rsid w:val="00C13BB6"/>
    <w:rsid w:val="00C13C50"/>
    <w:rsid w:val="00C13E8E"/>
    <w:rsid w:val="00C13FED"/>
    <w:rsid w:val="00C14130"/>
    <w:rsid w:val="00C14195"/>
    <w:rsid w:val="00C1431E"/>
    <w:rsid w:val="00C146DC"/>
    <w:rsid w:val="00C14AA6"/>
    <w:rsid w:val="00C14ABC"/>
    <w:rsid w:val="00C1561A"/>
    <w:rsid w:val="00C160FC"/>
    <w:rsid w:val="00C163E2"/>
    <w:rsid w:val="00C16529"/>
    <w:rsid w:val="00C1657D"/>
    <w:rsid w:val="00C17975"/>
    <w:rsid w:val="00C17A7F"/>
    <w:rsid w:val="00C2021C"/>
    <w:rsid w:val="00C2046F"/>
    <w:rsid w:val="00C20590"/>
    <w:rsid w:val="00C20638"/>
    <w:rsid w:val="00C20A92"/>
    <w:rsid w:val="00C2110D"/>
    <w:rsid w:val="00C211A5"/>
    <w:rsid w:val="00C213AB"/>
    <w:rsid w:val="00C2178D"/>
    <w:rsid w:val="00C21811"/>
    <w:rsid w:val="00C2194F"/>
    <w:rsid w:val="00C219EE"/>
    <w:rsid w:val="00C21B46"/>
    <w:rsid w:val="00C22202"/>
    <w:rsid w:val="00C222FF"/>
    <w:rsid w:val="00C22696"/>
    <w:rsid w:val="00C22AF9"/>
    <w:rsid w:val="00C22B5C"/>
    <w:rsid w:val="00C22C86"/>
    <w:rsid w:val="00C231C7"/>
    <w:rsid w:val="00C23505"/>
    <w:rsid w:val="00C23642"/>
    <w:rsid w:val="00C237B5"/>
    <w:rsid w:val="00C23912"/>
    <w:rsid w:val="00C23BBB"/>
    <w:rsid w:val="00C23F21"/>
    <w:rsid w:val="00C23F5D"/>
    <w:rsid w:val="00C244D6"/>
    <w:rsid w:val="00C24890"/>
    <w:rsid w:val="00C24C10"/>
    <w:rsid w:val="00C25447"/>
    <w:rsid w:val="00C255F3"/>
    <w:rsid w:val="00C259A6"/>
    <w:rsid w:val="00C25D9E"/>
    <w:rsid w:val="00C26F52"/>
    <w:rsid w:val="00C276A6"/>
    <w:rsid w:val="00C27907"/>
    <w:rsid w:val="00C27C1B"/>
    <w:rsid w:val="00C27EF6"/>
    <w:rsid w:val="00C313EB"/>
    <w:rsid w:val="00C31626"/>
    <w:rsid w:val="00C31A8C"/>
    <w:rsid w:val="00C31E85"/>
    <w:rsid w:val="00C32781"/>
    <w:rsid w:val="00C336B0"/>
    <w:rsid w:val="00C3399E"/>
    <w:rsid w:val="00C33F91"/>
    <w:rsid w:val="00C33FC0"/>
    <w:rsid w:val="00C3413B"/>
    <w:rsid w:val="00C34AA6"/>
    <w:rsid w:val="00C34ED7"/>
    <w:rsid w:val="00C3552D"/>
    <w:rsid w:val="00C3567D"/>
    <w:rsid w:val="00C359E8"/>
    <w:rsid w:val="00C3642A"/>
    <w:rsid w:val="00C364E9"/>
    <w:rsid w:val="00C36ADE"/>
    <w:rsid w:val="00C37AEE"/>
    <w:rsid w:val="00C40719"/>
    <w:rsid w:val="00C40C2B"/>
    <w:rsid w:val="00C40E6F"/>
    <w:rsid w:val="00C41310"/>
    <w:rsid w:val="00C41C1A"/>
    <w:rsid w:val="00C41F4C"/>
    <w:rsid w:val="00C424A9"/>
    <w:rsid w:val="00C425BA"/>
    <w:rsid w:val="00C4272D"/>
    <w:rsid w:val="00C42785"/>
    <w:rsid w:val="00C427BF"/>
    <w:rsid w:val="00C42F17"/>
    <w:rsid w:val="00C43556"/>
    <w:rsid w:val="00C4389C"/>
    <w:rsid w:val="00C43A1E"/>
    <w:rsid w:val="00C4401C"/>
    <w:rsid w:val="00C453EF"/>
    <w:rsid w:val="00C45486"/>
    <w:rsid w:val="00C45A43"/>
    <w:rsid w:val="00C45AFF"/>
    <w:rsid w:val="00C46953"/>
    <w:rsid w:val="00C46C84"/>
    <w:rsid w:val="00C4700D"/>
    <w:rsid w:val="00C477EC"/>
    <w:rsid w:val="00C47918"/>
    <w:rsid w:val="00C479E9"/>
    <w:rsid w:val="00C47CB2"/>
    <w:rsid w:val="00C50134"/>
    <w:rsid w:val="00C503B1"/>
    <w:rsid w:val="00C50ABB"/>
    <w:rsid w:val="00C50E5C"/>
    <w:rsid w:val="00C51246"/>
    <w:rsid w:val="00C5143E"/>
    <w:rsid w:val="00C5150C"/>
    <w:rsid w:val="00C51797"/>
    <w:rsid w:val="00C52162"/>
    <w:rsid w:val="00C5220E"/>
    <w:rsid w:val="00C5232F"/>
    <w:rsid w:val="00C524DF"/>
    <w:rsid w:val="00C525B3"/>
    <w:rsid w:val="00C52DAE"/>
    <w:rsid w:val="00C52ED7"/>
    <w:rsid w:val="00C52F42"/>
    <w:rsid w:val="00C53757"/>
    <w:rsid w:val="00C538D4"/>
    <w:rsid w:val="00C53DF8"/>
    <w:rsid w:val="00C53E1A"/>
    <w:rsid w:val="00C53ECD"/>
    <w:rsid w:val="00C54063"/>
    <w:rsid w:val="00C540C2"/>
    <w:rsid w:val="00C540DC"/>
    <w:rsid w:val="00C542F5"/>
    <w:rsid w:val="00C5443C"/>
    <w:rsid w:val="00C544D8"/>
    <w:rsid w:val="00C545A4"/>
    <w:rsid w:val="00C54789"/>
    <w:rsid w:val="00C54823"/>
    <w:rsid w:val="00C55239"/>
    <w:rsid w:val="00C555D1"/>
    <w:rsid w:val="00C5585A"/>
    <w:rsid w:val="00C55D6B"/>
    <w:rsid w:val="00C56A92"/>
    <w:rsid w:val="00C56F69"/>
    <w:rsid w:val="00C570FB"/>
    <w:rsid w:val="00C5738F"/>
    <w:rsid w:val="00C57464"/>
    <w:rsid w:val="00C575B9"/>
    <w:rsid w:val="00C576CA"/>
    <w:rsid w:val="00C57930"/>
    <w:rsid w:val="00C60179"/>
    <w:rsid w:val="00C605B4"/>
    <w:rsid w:val="00C60663"/>
    <w:rsid w:val="00C60857"/>
    <w:rsid w:val="00C60ABD"/>
    <w:rsid w:val="00C61625"/>
    <w:rsid w:val="00C617EB"/>
    <w:rsid w:val="00C61A90"/>
    <w:rsid w:val="00C61EDE"/>
    <w:rsid w:val="00C62293"/>
    <w:rsid w:val="00C6234E"/>
    <w:rsid w:val="00C623AB"/>
    <w:rsid w:val="00C62D82"/>
    <w:rsid w:val="00C62FE7"/>
    <w:rsid w:val="00C63202"/>
    <w:rsid w:val="00C63ADC"/>
    <w:rsid w:val="00C63BDB"/>
    <w:rsid w:val="00C63F7E"/>
    <w:rsid w:val="00C6408D"/>
    <w:rsid w:val="00C644EF"/>
    <w:rsid w:val="00C6458B"/>
    <w:rsid w:val="00C645C6"/>
    <w:rsid w:val="00C647E4"/>
    <w:rsid w:val="00C6487C"/>
    <w:rsid w:val="00C64EF2"/>
    <w:rsid w:val="00C6573A"/>
    <w:rsid w:val="00C657AF"/>
    <w:rsid w:val="00C66368"/>
    <w:rsid w:val="00C668EA"/>
    <w:rsid w:val="00C6760E"/>
    <w:rsid w:val="00C678E5"/>
    <w:rsid w:val="00C67B5A"/>
    <w:rsid w:val="00C67D6F"/>
    <w:rsid w:val="00C70037"/>
    <w:rsid w:val="00C7039A"/>
    <w:rsid w:val="00C7041E"/>
    <w:rsid w:val="00C70644"/>
    <w:rsid w:val="00C70942"/>
    <w:rsid w:val="00C70943"/>
    <w:rsid w:val="00C70AAC"/>
    <w:rsid w:val="00C70CAF"/>
    <w:rsid w:val="00C70DD0"/>
    <w:rsid w:val="00C71078"/>
    <w:rsid w:val="00C710BC"/>
    <w:rsid w:val="00C7224A"/>
    <w:rsid w:val="00C72396"/>
    <w:rsid w:val="00C727A2"/>
    <w:rsid w:val="00C7299C"/>
    <w:rsid w:val="00C72DBC"/>
    <w:rsid w:val="00C72E0A"/>
    <w:rsid w:val="00C73939"/>
    <w:rsid w:val="00C73F62"/>
    <w:rsid w:val="00C74335"/>
    <w:rsid w:val="00C748C2"/>
    <w:rsid w:val="00C74E90"/>
    <w:rsid w:val="00C75009"/>
    <w:rsid w:val="00C750F5"/>
    <w:rsid w:val="00C7519C"/>
    <w:rsid w:val="00C755D7"/>
    <w:rsid w:val="00C75DAF"/>
    <w:rsid w:val="00C75EAF"/>
    <w:rsid w:val="00C75F3C"/>
    <w:rsid w:val="00C760C5"/>
    <w:rsid w:val="00C76423"/>
    <w:rsid w:val="00C7653D"/>
    <w:rsid w:val="00C7653F"/>
    <w:rsid w:val="00C7766D"/>
    <w:rsid w:val="00C77BAA"/>
    <w:rsid w:val="00C77F56"/>
    <w:rsid w:val="00C80821"/>
    <w:rsid w:val="00C80C62"/>
    <w:rsid w:val="00C80C7B"/>
    <w:rsid w:val="00C81559"/>
    <w:rsid w:val="00C81C8B"/>
    <w:rsid w:val="00C82214"/>
    <w:rsid w:val="00C823E8"/>
    <w:rsid w:val="00C830BA"/>
    <w:rsid w:val="00C8310D"/>
    <w:rsid w:val="00C834B5"/>
    <w:rsid w:val="00C835B2"/>
    <w:rsid w:val="00C8387E"/>
    <w:rsid w:val="00C83B3A"/>
    <w:rsid w:val="00C84262"/>
    <w:rsid w:val="00C842DE"/>
    <w:rsid w:val="00C84658"/>
    <w:rsid w:val="00C84A90"/>
    <w:rsid w:val="00C8599E"/>
    <w:rsid w:val="00C85A1F"/>
    <w:rsid w:val="00C85A63"/>
    <w:rsid w:val="00C86189"/>
    <w:rsid w:val="00C87421"/>
    <w:rsid w:val="00C87422"/>
    <w:rsid w:val="00C87485"/>
    <w:rsid w:val="00C87612"/>
    <w:rsid w:val="00C879CB"/>
    <w:rsid w:val="00C87AAE"/>
    <w:rsid w:val="00C87E0A"/>
    <w:rsid w:val="00C87EAC"/>
    <w:rsid w:val="00C87F6D"/>
    <w:rsid w:val="00C900B9"/>
    <w:rsid w:val="00C900DE"/>
    <w:rsid w:val="00C90385"/>
    <w:rsid w:val="00C90469"/>
    <w:rsid w:val="00C909AB"/>
    <w:rsid w:val="00C90F74"/>
    <w:rsid w:val="00C9122E"/>
    <w:rsid w:val="00C913FA"/>
    <w:rsid w:val="00C92C6B"/>
    <w:rsid w:val="00C92DD0"/>
    <w:rsid w:val="00C93A1E"/>
    <w:rsid w:val="00C93C60"/>
    <w:rsid w:val="00C95392"/>
    <w:rsid w:val="00C95703"/>
    <w:rsid w:val="00C95DF5"/>
    <w:rsid w:val="00C964A0"/>
    <w:rsid w:val="00C96789"/>
    <w:rsid w:val="00C96798"/>
    <w:rsid w:val="00C9680F"/>
    <w:rsid w:val="00C96A65"/>
    <w:rsid w:val="00C97166"/>
    <w:rsid w:val="00C971E6"/>
    <w:rsid w:val="00C973B0"/>
    <w:rsid w:val="00C974DD"/>
    <w:rsid w:val="00C97E57"/>
    <w:rsid w:val="00CA0103"/>
    <w:rsid w:val="00CA1045"/>
    <w:rsid w:val="00CA13E3"/>
    <w:rsid w:val="00CA15EA"/>
    <w:rsid w:val="00CA1ADE"/>
    <w:rsid w:val="00CA1D17"/>
    <w:rsid w:val="00CA2501"/>
    <w:rsid w:val="00CA260C"/>
    <w:rsid w:val="00CA2875"/>
    <w:rsid w:val="00CA2909"/>
    <w:rsid w:val="00CA2A0D"/>
    <w:rsid w:val="00CA2BE7"/>
    <w:rsid w:val="00CA2CE0"/>
    <w:rsid w:val="00CA3269"/>
    <w:rsid w:val="00CA3B37"/>
    <w:rsid w:val="00CA41BD"/>
    <w:rsid w:val="00CA4A0A"/>
    <w:rsid w:val="00CA4A42"/>
    <w:rsid w:val="00CA4F1C"/>
    <w:rsid w:val="00CA53F9"/>
    <w:rsid w:val="00CA54F3"/>
    <w:rsid w:val="00CA5562"/>
    <w:rsid w:val="00CA5587"/>
    <w:rsid w:val="00CA57CE"/>
    <w:rsid w:val="00CA6075"/>
    <w:rsid w:val="00CA62E9"/>
    <w:rsid w:val="00CA6712"/>
    <w:rsid w:val="00CA71E3"/>
    <w:rsid w:val="00CA72AA"/>
    <w:rsid w:val="00CA7500"/>
    <w:rsid w:val="00CA7A1C"/>
    <w:rsid w:val="00CA7AB7"/>
    <w:rsid w:val="00CA7E0E"/>
    <w:rsid w:val="00CA7EA5"/>
    <w:rsid w:val="00CB0565"/>
    <w:rsid w:val="00CB08EA"/>
    <w:rsid w:val="00CB0B80"/>
    <w:rsid w:val="00CB0C03"/>
    <w:rsid w:val="00CB10A4"/>
    <w:rsid w:val="00CB1134"/>
    <w:rsid w:val="00CB13B6"/>
    <w:rsid w:val="00CB1414"/>
    <w:rsid w:val="00CB1518"/>
    <w:rsid w:val="00CB1603"/>
    <w:rsid w:val="00CB1721"/>
    <w:rsid w:val="00CB1B70"/>
    <w:rsid w:val="00CB20D7"/>
    <w:rsid w:val="00CB2269"/>
    <w:rsid w:val="00CB29D7"/>
    <w:rsid w:val="00CB2CA0"/>
    <w:rsid w:val="00CB3012"/>
    <w:rsid w:val="00CB3492"/>
    <w:rsid w:val="00CB3A70"/>
    <w:rsid w:val="00CB3C0D"/>
    <w:rsid w:val="00CB4181"/>
    <w:rsid w:val="00CB43E0"/>
    <w:rsid w:val="00CB443D"/>
    <w:rsid w:val="00CB53FF"/>
    <w:rsid w:val="00CB5941"/>
    <w:rsid w:val="00CB5EFC"/>
    <w:rsid w:val="00CB6433"/>
    <w:rsid w:val="00CB6980"/>
    <w:rsid w:val="00CB6E32"/>
    <w:rsid w:val="00CB71DA"/>
    <w:rsid w:val="00CB7A35"/>
    <w:rsid w:val="00CB7D37"/>
    <w:rsid w:val="00CC01C5"/>
    <w:rsid w:val="00CC01C6"/>
    <w:rsid w:val="00CC059F"/>
    <w:rsid w:val="00CC0948"/>
    <w:rsid w:val="00CC1079"/>
    <w:rsid w:val="00CC13C1"/>
    <w:rsid w:val="00CC16DB"/>
    <w:rsid w:val="00CC1A67"/>
    <w:rsid w:val="00CC1E40"/>
    <w:rsid w:val="00CC2A8F"/>
    <w:rsid w:val="00CC2C8C"/>
    <w:rsid w:val="00CC2D58"/>
    <w:rsid w:val="00CC2FE4"/>
    <w:rsid w:val="00CC2FFB"/>
    <w:rsid w:val="00CC312E"/>
    <w:rsid w:val="00CC3BDC"/>
    <w:rsid w:val="00CC3DD4"/>
    <w:rsid w:val="00CC429F"/>
    <w:rsid w:val="00CC4326"/>
    <w:rsid w:val="00CC44DC"/>
    <w:rsid w:val="00CC4604"/>
    <w:rsid w:val="00CC4C3E"/>
    <w:rsid w:val="00CC52B0"/>
    <w:rsid w:val="00CC57EA"/>
    <w:rsid w:val="00CC5A08"/>
    <w:rsid w:val="00CC5DFC"/>
    <w:rsid w:val="00CC6303"/>
    <w:rsid w:val="00CC65B3"/>
    <w:rsid w:val="00CC709D"/>
    <w:rsid w:val="00CC719F"/>
    <w:rsid w:val="00CC723E"/>
    <w:rsid w:val="00CC76E9"/>
    <w:rsid w:val="00CC7E95"/>
    <w:rsid w:val="00CC7E9A"/>
    <w:rsid w:val="00CD058C"/>
    <w:rsid w:val="00CD06C7"/>
    <w:rsid w:val="00CD09AE"/>
    <w:rsid w:val="00CD0D73"/>
    <w:rsid w:val="00CD12E5"/>
    <w:rsid w:val="00CD19C9"/>
    <w:rsid w:val="00CD2061"/>
    <w:rsid w:val="00CD2090"/>
    <w:rsid w:val="00CD28B9"/>
    <w:rsid w:val="00CD344D"/>
    <w:rsid w:val="00CD3B75"/>
    <w:rsid w:val="00CD3CFF"/>
    <w:rsid w:val="00CD3E9E"/>
    <w:rsid w:val="00CD43A1"/>
    <w:rsid w:val="00CD4700"/>
    <w:rsid w:val="00CD5068"/>
    <w:rsid w:val="00CD52E8"/>
    <w:rsid w:val="00CD55DB"/>
    <w:rsid w:val="00CD5667"/>
    <w:rsid w:val="00CD56AD"/>
    <w:rsid w:val="00CD5707"/>
    <w:rsid w:val="00CD5816"/>
    <w:rsid w:val="00CD5830"/>
    <w:rsid w:val="00CD5A27"/>
    <w:rsid w:val="00CD5EB7"/>
    <w:rsid w:val="00CD61EC"/>
    <w:rsid w:val="00CD64C4"/>
    <w:rsid w:val="00CD6511"/>
    <w:rsid w:val="00CD658F"/>
    <w:rsid w:val="00CD65E6"/>
    <w:rsid w:val="00CD669A"/>
    <w:rsid w:val="00CD702D"/>
    <w:rsid w:val="00CD7378"/>
    <w:rsid w:val="00CD7D08"/>
    <w:rsid w:val="00CD7EE8"/>
    <w:rsid w:val="00CD7F22"/>
    <w:rsid w:val="00CD7F70"/>
    <w:rsid w:val="00CE08C2"/>
    <w:rsid w:val="00CE09D1"/>
    <w:rsid w:val="00CE0E90"/>
    <w:rsid w:val="00CE202A"/>
    <w:rsid w:val="00CE2268"/>
    <w:rsid w:val="00CE2420"/>
    <w:rsid w:val="00CE3122"/>
    <w:rsid w:val="00CE34AB"/>
    <w:rsid w:val="00CE4AB5"/>
    <w:rsid w:val="00CE5277"/>
    <w:rsid w:val="00CE5302"/>
    <w:rsid w:val="00CE566C"/>
    <w:rsid w:val="00CE576B"/>
    <w:rsid w:val="00CE5992"/>
    <w:rsid w:val="00CE5D25"/>
    <w:rsid w:val="00CE641D"/>
    <w:rsid w:val="00CE6781"/>
    <w:rsid w:val="00CE67D2"/>
    <w:rsid w:val="00CE68E1"/>
    <w:rsid w:val="00CE7062"/>
    <w:rsid w:val="00CE715D"/>
    <w:rsid w:val="00CE7779"/>
    <w:rsid w:val="00CE78AA"/>
    <w:rsid w:val="00CE7917"/>
    <w:rsid w:val="00CE7AFC"/>
    <w:rsid w:val="00CE7CCD"/>
    <w:rsid w:val="00CE7E61"/>
    <w:rsid w:val="00CF019F"/>
    <w:rsid w:val="00CF02E7"/>
    <w:rsid w:val="00CF0704"/>
    <w:rsid w:val="00CF0859"/>
    <w:rsid w:val="00CF0CFF"/>
    <w:rsid w:val="00CF0D6B"/>
    <w:rsid w:val="00CF10A4"/>
    <w:rsid w:val="00CF111E"/>
    <w:rsid w:val="00CF1865"/>
    <w:rsid w:val="00CF1966"/>
    <w:rsid w:val="00CF1BFF"/>
    <w:rsid w:val="00CF1C60"/>
    <w:rsid w:val="00CF2314"/>
    <w:rsid w:val="00CF23C9"/>
    <w:rsid w:val="00CF240A"/>
    <w:rsid w:val="00CF25C4"/>
    <w:rsid w:val="00CF29CB"/>
    <w:rsid w:val="00CF2BE8"/>
    <w:rsid w:val="00CF2C77"/>
    <w:rsid w:val="00CF31A2"/>
    <w:rsid w:val="00CF33F7"/>
    <w:rsid w:val="00CF355B"/>
    <w:rsid w:val="00CF36E4"/>
    <w:rsid w:val="00CF3938"/>
    <w:rsid w:val="00CF3B82"/>
    <w:rsid w:val="00CF3C11"/>
    <w:rsid w:val="00CF411F"/>
    <w:rsid w:val="00CF419D"/>
    <w:rsid w:val="00CF4570"/>
    <w:rsid w:val="00CF4E30"/>
    <w:rsid w:val="00CF55C6"/>
    <w:rsid w:val="00CF60D2"/>
    <w:rsid w:val="00CF6ACC"/>
    <w:rsid w:val="00CF75F7"/>
    <w:rsid w:val="00CF7750"/>
    <w:rsid w:val="00CF7C07"/>
    <w:rsid w:val="00CF7F65"/>
    <w:rsid w:val="00D00AAC"/>
    <w:rsid w:val="00D00EF4"/>
    <w:rsid w:val="00D0198C"/>
    <w:rsid w:val="00D01EF0"/>
    <w:rsid w:val="00D021E5"/>
    <w:rsid w:val="00D0228E"/>
    <w:rsid w:val="00D0255E"/>
    <w:rsid w:val="00D026AB"/>
    <w:rsid w:val="00D0278A"/>
    <w:rsid w:val="00D02B71"/>
    <w:rsid w:val="00D03111"/>
    <w:rsid w:val="00D0319E"/>
    <w:rsid w:val="00D03AD1"/>
    <w:rsid w:val="00D03B6F"/>
    <w:rsid w:val="00D0415D"/>
    <w:rsid w:val="00D043D5"/>
    <w:rsid w:val="00D0483D"/>
    <w:rsid w:val="00D04AED"/>
    <w:rsid w:val="00D050E4"/>
    <w:rsid w:val="00D055B6"/>
    <w:rsid w:val="00D05751"/>
    <w:rsid w:val="00D05CEF"/>
    <w:rsid w:val="00D0636E"/>
    <w:rsid w:val="00D06425"/>
    <w:rsid w:val="00D0645B"/>
    <w:rsid w:val="00D07144"/>
    <w:rsid w:val="00D07499"/>
    <w:rsid w:val="00D07CD4"/>
    <w:rsid w:val="00D07D7C"/>
    <w:rsid w:val="00D1000A"/>
    <w:rsid w:val="00D103EB"/>
    <w:rsid w:val="00D1065C"/>
    <w:rsid w:val="00D10A62"/>
    <w:rsid w:val="00D10FAC"/>
    <w:rsid w:val="00D11333"/>
    <w:rsid w:val="00D1175A"/>
    <w:rsid w:val="00D118B6"/>
    <w:rsid w:val="00D11D5B"/>
    <w:rsid w:val="00D1298A"/>
    <w:rsid w:val="00D12A5A"/>
    <w:rsid w:val="00D135AE"/>
    <w:rsid w:val="00D13A14"/>
    <w:rsid w:val="00D13EA2"/>
    <w:rsid w:val="00D147F4"/>
    <w:rsid w:val="00D14A43"/>
    <w:rsid w:val="00D14F61"/>
    <w:rsid w:val="00D15294"/>
    <w:rsid w:val="00D15624"/>
    <w:rsid w:val="00D157AF"/>
    <w:rsid w:val="00D15C46"/>
    <w:rsid w:val="00D160F4"/>
    <w:rsid w:val="00D16534"/>
    <w:rsid w:val="00D16A57"/>
    <w:rsid w:val="00D16EDA"/>
    <w:rsid w:val="00D1786B"/>
    <w:rsid w:val="00D17BB4"/>
    <w:rsid w:val="00D211C2"/>
    <w:rsid w:val="00D213E4"/>
    <w:rsid w:val="00D21733"/>
    <w:rsid w:val="00D21874"/>
    <w:rsid w:val="00D223A6"/>
    <w:rsid w:val="00D22590"/>
    <w:rsid w:val="00D23374"/>
    <w:rsid w:val="00D23561"/>
    <w:rsid w:val="00D23CFC"/>
    <w:rsid w:val="00D23FF3"/>
    <w:rsid w:val="00D2415B"/>
    <w:rsid w:val="00D24497"/>
    <w:rsid w:val="00D24706"/>
    <w:rsid w:val="00D24C1E"/>
    <w:rsid w:val="00D256C6"/>
    <w:rsid w:val="00D25EE5"/>
    <w:rsid w:val="00D262BB"/>
    <w:rsid w:val="00D26881"/>
    <w:rsid w:val="00D26A2D"/>
    <w:rsid w:val="00D26BA3"/>
    <w:rsid w:val="00D27097"/>
    <w:rsid w:val="00D273AA"/>
    <w:rsid w:val="00D27673"/>
    <w:rsid w:val="00D27853"/>
    <w:rsid w:val="00D2796A"/>
    <w:rsid w:val="00D301D8"/>
    <w:rsid w:val="00D30233"/>
    <w:rsid w:val="00D309FD"/>
    <w:rsid w:val="00D30F8E"/>
    <w:rsid w:val="00D31260"/>
    <w:rsid w:val="00D31618"/>
    <w:rsid w:val="00D316F2"/>
    <w:rsid w:val="00D31A65"/>
    <w:rsid w:val="00D3212B"/>
    <w:rsid w:val="00D321B8"/>
    <w:rsid w:val="00D3246A"/>
    <w:rsid w:val="00D32665"/>
    <w:rsid w:val="00D32789"/>
    <w:rsid w:val="00D3280C"/>
    <w:rsid w:val="00D32AB1"/>
    <w:rsid w:val="00D32C7E"/>
    <w:rsid w:val="00D32EAF"/>
    <w:rsid w:val="00D32F6A"/>
    <w:rsid w:val="00D33055"/>
    <w:rsid w:val="00D3307E"/>
    <w:rsid w:val="00D33107"/>
    <w:rsid w:val="00D3350B"/>
    <w:rsid w:val="00D33575"/>
    <w:rsid w:val="00D33614"/>
    <w:rsid w:val="00D33BE3"/>
    <w:rsid w:val="00D33D23"/>
    <w:rsid w:val="00D33D9B"/>
    <w:rsid w:val="00D34200"/>
    <w:rsid w:val="00D3477B"/>
    <w:rsid w:val="00D34A94"/>
    <w:rsid w:val="00D352EE"/>
    <w:rsid w:val="00D36204"/>
    <w:rsid w:val="00D36401"/>
    <w:rsid w:val="00D36450"/>
    <w:rsid w:val="00D365FE"/>
    <w:rsid w:val="00D368C5"/>
    <w:rsid w:val="00D371A2"/>
    <w:rsid w:val="00D37C41"/>
    <w:rsid w:val="00D40022"/>
    <w:rsid w:val="00D4068E"/>
    <w:rsid w:val="00D407E5"/>
    <w:rsid w:val="00D40948"/>
    <w:rsid w:val="00D409EB"/>
    <w:rsid w:val="00D4156E"/>
    <w:rsid w:val="00D41771"/>
    <w:rsid w:val="00D41C34"/>
    <w:rsid w:val="00D41CE6"/>
    <w:rsid w:val="00D420BB"/>
    <w:rsid w:val="00D422F5"/>
    <w:rsid w:val="00D426A3"/>
    <w:rsid w:val="00D42D3E"/>
    <w:rsid w:val="00D42D67"/>
    <w:rsid w:val="00D42FA6"/>
    <w:rsid w:val="00D43137"/>
    <w:rsid w:val="00D4351C"/>
    <w:rsid w:val="00D43670"/>
    <w:rsid w:val="00D43989"/>
    <w:rsid w:val="00D44031"/>
    <w:rsid w:val="00D4434E"/>
    <w:rsid w:val="00D44814"/>
    <w:rsid w:val="00D4492D"/>
    <w:rsid w:val="00D44E17"/>
    <w:rsid w:val="00D44ECB"/>
    <w:rsid w:val="00D450C0"/>
    <w:rsid w:val="00D451D6"/>
    <w:rsid w:val="00D454DA"/>
    <w:rsid w:val="00D46735"/>
    <w:rsid w:val="00D46858"/>
    <w:rsid w:val="00D46DC2"/>
    <w:rsid w:val="00D474A9"/>
    <w:rsid w:val="00D47B15"/>
    <w:rsid w:val="00D50186"/>
    <w:rsid w:val="00D50340"/>
    <w:rsid w:val="00D50F9F"/>
    <w:rsid w:val="00D517FF"/>
    <w:rsid w:val="00D520CD"/>
    <w:rsid w:val="00D52E0E"/>
    <w:rsid w:val="00D52E2D"/>
    <w:rsid w:val="00D54D4F"/>
    <w:rsid w:val="00D55B82"/>
    <w:rsid w:val="00D56054"/>
    <w:rsid w:val="00D56261"/>
    <w:rsid w:val="00D562EB"/>
    <w:rsid w:val="00D56AEB"/>
    <w:rsid w:val="00D56D8D"/>
    <w:rsid w:val="00D571A5"/>
    <w:rsid w:val="00D6021C"/>
    <w:rsid w:val="00D60D20"/>
    <w:rsid w:val="00D6136D"/>
    <w:rsid w:val="00D62708"/>
    <w:rsid w:val="00D62724"/>
    <w:rsid w:val="00D628F4"/>
    <w:rsid w:val="00D62F28"/>
    <w:rsid w:val="00D63007"/>
    <w:rsid w:val="00D63261"/>
    <w:rsid w:val="00D63E9B"/>
    <w:rsid w:val="00D63F19"/>
    <w:rsid w:val="00D63FC3"/>
    <w:rsid w:val="00D643DB"/>
    <w:rsid w:val="00D646C3"/>
    <w:rsid w:val="00D64F8D"/>
    <w:rsid w:val="00D650B7"/>
    <w:rsid w:val="00D652B3"/>
    <w:rsid w:val="00D65570"/>
    <w:rsid w:val="00D65FC6"/>
    <w:rsid w:val="00D66097"/>
    <w:rsid w:val="00D6623B"/>
    <w:rsid w:val="00D663E3"/>
    <w:rsid w:val="00D66BB3"/>
    <w:rsid w:val="00D66D5B"/>
    <w:rsid w:val="00D66E18"/>
    <w:rsid w:val="00D670E7"/>
    <w:rsid w:val="00D6727F"/>
    <w:rsid w:val="00D67563"/>
    <w:rsid w:val="00D675FB"/>
    <w:rsid w:val="00D677D9"/>
    <w:rsid w:val="00D678F5"/>
    <w:rsid w:val="00D703B8"/>
    <w:rsid w:val="00D703D8"/>
    <w:rsid w:val="00D70600"/>
    <w:rsid w:val="00D71267"/>
    <w:rsid w:val="00D717D3"/>
    <w:rsid w:val="00D71E89"/>
    <w:rsid w:val="00D71F7E"/>
    <w:rsid w:val="00D72461"/>
    <w:rsid w:val="00D72B2D"/>
    <w:rsid w:val="00D72ECB"/>
    <w:rsid w:val="00D731DF"/>
    <w:rsid w:val="00D733B0"/>
    <w:rsid w:val="00D73916"/>
    <w:rsid w:val="00D73C89"/>
    <w:rsid w:val="00D73C99"/>
    <w:rsid w:val="00D73F2E"/>
    <w:rsid w:val="00D73FE8"/>
    <w:rsid w:val="00D751ED"/>
    <w:rsid w:val="00D75289"/>
    <w:rsid w:val="00D759F4"/>
    <w:rsid w:val="00D75A71"/>
    <w:rsid w:val="00D75F1A"/>
    <w:rsid w:val="00D7665D"/>
    <w:rsid w:val="00D767E4"/>
    <w:rsid w:val="00D76A8E"/>
    <w:rsid w:val="00D76B66"/>
    <w:rsid w:val="00D76B6F"/>
    <w:rsid w:val="00D77101"/>
    <w:rsid w:val="00D77354"/>
    <w:rsid w:val="00D7770B"/>
    <w:rsid w:val="00D77CD5"/>
    <w:rsid w:val="00D77ED5"/>
    <w:rsid w:val="00D77FF2"/>
    <w:rsid w:val="00D80242"/>
    <w:rsid w:val="00D80287"/>
    <w:rsid w:val="00D80629"/>
    <w:rsid w:val="00D80780"/>
    <w:rsid w:val="00D80BFC"/>
    <w:rsid w:val="00D810D2"/>
    <w:rsid w:val="00D81488"/>
    <w:rsid w:val="00D8150D"/>
    <w:rsid w:val="00D81567"/>
    <w:rsid w:val="00D81929"/>
    <w:rsid w:val="00D81F7F"/>
    <w:rsid w:val="00D821C8"/>
    <w:rsid w:val="00D82E77"/>
    <w:rsid w:val="00D839F7"/>
    <w:rsid w:val="00D83CC4"/>
    <w:rsid w:val="00D83D8C"/>
    <w:rsid w:val="00D83F09"/>
    <w:rsid w:val="00D84076"/>
    <w:rsid w:val="00D8418C"/>
    <w:rsid w:val="00D842A8"/>
    <w:rsid w:val="00D844F3"/>
    <w:rsid w:val="00D84E32"/>
    <w:rsid w:val="00D85766"/>
    <w:rsid w:val="00D8620D"/>
    <w:rsid w:val="00D86C0B"/>
    <w:rsid w:val="00D86D2D"/>
    <w:rsid w:val="00D870A6"/>
    <w:rsid w:val="00D874A9"/>
    <w:rsid w:val="00D874D2"/>
    <w:rsid w:val="00D877F1"/>
    <w:rsid w:val="00D87998"/>
    <w:rsid w:val="00D87C22"/>
    <w:rsid w:val="00D87D5C"/>
    <w:rsid w:val="00D87F2C"/>
    <w:rsid w:val="00D90253"/>
    <w:rsid w:val="00D905D4"/>
    <w:rsid w:val="00D90612"/>
    <w:rsid w:val="00D907BF"/>
    <w:rsid w:val="00D90EB3"/>
    <w:rsid w:val="00D91086"/>
    <w:rsid w:val="00D91FF4"/>
    <w:rsid w:val="00D930B9"/>
    <w:rsid w:val="00D93282"/>
    <w:rsid w:val="00D933FB"/>
    <w:rsid w:val="00D934E0"/>
    <w:rsid w:val="00D94143"/>
    <w:rsid w:val="00D94CAC"/>
    <w:rsid w:val="00D9531E"/>
    <w:rsid w:val="00D9570D"/>
    <w:rsid w:val="00D95746"/>
    <w:rsid w:val="00D9611D"/>
    <w:rsid w:val="00D96949"/>
    <w:rsid w:val="00D9694E"/>
    <w:rsid w:val="00D96DC6"/>
    <w:rsid w:val="00D9766C"/>
    <w:rsid w:val="00D977C6"/>
    <w:rsid w:val="00D97AA9"/>
    <w:rsid w:val="00D97CA6"/>
    <w:rsid w:val="00D97D0C"/>
    <w:rsid w:val="00DA02B1"/>
    <w:rsid w:val="00DA0680"/>
    <w:rsid w:val="00DA0D22"/>
    <w:rsid w:val="00DA0E1C"/>
    <w:rsid w:val="00DA11FE"/>
    <w:rsid w:val="00DA130C"/>
    <w:rsid w:val="00DA1726"/>
    <w:rsid w:val="00DA195A"/>
    <w:rsid w:val="00DA1EA1"/>
    <w:rsid w:val="00DA23BA"/>
    <w:rsid w:val="00DA23E4"/>
    <w:rsid w:val="00DA2D49"/>
    <w:rsid w:val="00DA2E66"/>
    <w:rsid w:val="00DA2E87"/>
    <w:rsid w:val="00DA315E"/>
    <w:rsid w:val="00DA37FF"/>
    <w:rsid w:val="00DA3CF5"/>
    <w:rsid w:val="00DA3DC6"/>
    <w:rsid w:val="00DA41B1"/>
    <w:rsid w:val="00DA41F1"/>
    <w:rsid w:val="00DA45A3"/>
    <w:rsid w:val="00DA4CE3"/>
    <w:rsid w:val="00DA4D9B"/>
    <w:rsid w:val="00DA505E"/>
    <w:rsid w:val="00DA5467"/>
    <w:rsid w:val="00DA5646"/>
    <w:rsid w:val="00DA59DC"/>
    <w:rsid w:val="00DA59F7"/>
    <w:rsid w:val="00DA5AFD"/>
    <w:rsid w:val="00DA609D"/>
    <w:rsid w:val="00DA611D"/>
    <w:rsid w:val="00DA6CAC"/>
    <w:rsid w:val="00DA6D4D"/>
    <w:rsid w:val="00DA6EC1"/>
    <w:rsid w:val="00DA6EDE"/>
    <w:rsid w:val="00DA72A0"/>
    <w:rsid w:val="00DA7313"/>
    <w:rsid w:val="00DA7C85"/>
    <w:rsid w:val="00DA7DC6"/>
    <w:rsid w:val="00DA7DF1"/>
    <w:rsid w:val="00DB00AB"/>
    <w:rsid w:val="00DB0487"/>
    <w:rsid w:val="00DB1A7A"/>
    <w:rsid w:val="00DB1D15"/>
    <w:rsid w:val="00DB1D85"/>
    <w:rsid w:val="00DB1DE5"/>
    <w:rsid w:val="00DB1F43"/>
    <w:rsid w:val="00DB26F9"/>
    <w:rsid w:val="00DB332C"/>
    <w:rsid w:val="00DB347B"/>
    <w:rsid w:val="00DB34C7"/>
    <w:rsid w:val="00DB379F"/>
    <w:rsid w:val="00DB3817"/>
    <w:rsid w:val="00DB3A5C"/>
    <w:rsid w:val="00DB3A99"/>
    <w:rsid w:val="00DB3CBB"/>
    <w:rsid w:val="00DB415E"/>
    <w:rsid w:val="00DB424E"/>
    <w:rsid w:val="00DB44A3"/>
    <w:rsid w:val="00DB45B2"/>
    <w:rsid w:val="00DB46AA"/>
    <w:rsid w:val="00DB50B5"/>
    <w:rsid w:val="00DB5137"/>
    <w:rsid w:val="00DB549E"/>
    <w:rsid w:val="00DB5A06"/>
    <w:rsid w:val="00DB5C87"/>
    <w:rsid w:val="00DB5CBD"/>
    <w:rsid w:val="00DB5D30"/>
    <w:rsid w:val="00DB5E3E"/>
    <w:rsid w:val="00DB6109"/>
    <w:rsid w:val="00DB704D"/>
    <w:rsid w:val="00DB7F27"/>
    <w:rsid w:val="00DC080D"/>
    <w:rsid w:val="00DC0A57"/>
    <w:rsid w:val="00DC0AC5"/>
    <w:rsid w:val="00DC1289"/>
    <w:rsid w:val="00DC1528"/>
    <w:rsid w:val="00DC18DD"/>
    <w:rsid w:val="00DC1B18"/>
    <w:rsid w:val="00DC1C75"/>
    <w:rsid w:val="00DC21C1"/>
    <w:rsid w:val="00DC2284"/>
    <w:rsid w:val="00DC3A30"/>
    <w:rsid w:val="00DC3D2A"/>
    <w:rsid w:val="00DC421D"/>
    <w:rsid w:val="00DC4517"/>
    <w:rsid w:val="00DC480E"/>
    <w:rsid w:val="00DC4C63"/>
    <w:rsid w:val="00DC4C7B"/>
    <w:rsid w:val="00DC4D9C"/>
    <w:rsid w:val="00DC520E"/>
    <w:rsid w:val="00DC592A"/>
    <w:rsid w:val="00DC6016"/>
    <w:rsid w:val="00DC6025"/>
    <w:rsid w:val="00DC63BC"/>
    <w:rsid w:val="00DC6655"/>
    <w:rsid w:val="00DC67A6"/>
    <w:rsid w:val="00DC70A3"/>
    <w:rsid w:val="00DC7543"/>
    <w:rsid w:val="00DC7A3D"/>
    <w:rsid w:val="00DD06E8"/>
    <w:rsid w:val="00DD0826"/>
    <w:rsid w:val="00DD0BD0"/>
    <w:rsid w:val="00DD0E18"/>
    <w:rsid w:val="00DD0ED4"/>
    <w:rsid w:val="00DD0F9C"/>
    <w:rsid w:val="00DD1096"/>
    <w:rsid w:val="00DD11AE"/>
    <w:rsid w:val="00DD11AF"/>
    <w:rsid w:val="00DD1796"/>
    <w:rsid w:val="00DD193A"/>
    <w:rsid w:val="00DD1AF8"/>
    <w:rsid w:val="00DD1C96"/>
    <w:rsid w:val="00DD1D05"/>
    <w:rsid w:val="00DD2026"/>
    <w:rsid w:val="00DD24E9"/>
    <w:rsid w:val="00DD27D3"/>
    <w:rsid w:val="00DD2BE6"/>
    <w:rsid w:val="00DD35F3"/>
    <w:rsid w:val="00DD3703"/>
    <w:rsid w:val="00DD3B42"/>
    <w:rsid w:val="00DD3F17"/>
    <w:rsid w:val="00DD40E4"/>
    <w:rsid w:val="00DD420D"/>
    <w:rsid w:val="00DD44C8"/>
    <w:rsid w:val="00DD4CA6"/>
    <w:rsid w:val="00DD604E"/>
    <w:rsid w:val="00DD6302"/>
    <w:rsid w:val="00DD64B7"/>
    <w:rsid w:val="00DD6B34"/>
    <w:rsid w:val="00DD7580"/>
    <w:rsid w:val="00DD7617"/>
    <w:rsid w:val="00DD7DB6"/>
    <w:rsid w:val="00DD7FB0"/>
    <w:rsid w:val="00DE0263"/>
    <w:rsid w:val="00DE0897"/>
    <w:rsid w:val="00DE201E"/>
    <w:rsid w:val="00DE2065"/>
    <w:rsid w:val="00DE2FA1"/>
    <w:rsid w:val="00DE3182"/>
    <w:rsid w:val="00DE332F"/>
    <w:rsid w:val="00DE38AA"/>
    <w:rsid w:val="00DE3CCF"/>
    <w:rsid w:val="00DE47B8"/>
    <w:rsid w:val="00DE4927"/>
    <w:rsid w:val="00DE4A44"/>
    <w:rsid w:val="00DE5057"/>
    <w:rsid w:val="00DE56CC"/>
    <w:rsid w:val="00DE591C"/>
    <w:rsid w:val="00DE5F9B"/>
    <w:rsid w:val="00DE611B"/>
    <w:rsid w:val="00DE6423"/>
    <w:rsid w:val="00DE65AA"/>
    <w:rsid w:val="00DE66A9"/>
    <w:rsid w:val="00DE6DDE"/>
    <w:rsid w:val="00DE6E5A"/>
    <w:rsid w:val="00DE741D"/>
    <w:rsid w:val="00DE7670"/>
    <w:rsid w:val="00DE77BA"/>
    <w:rsid w:val="00DE7A7E"/>
    <w:rsid w:val="00DE7EFC"/>
    <w:rsid w:val="00DF005D"/>
    <w:rsid w:val="00DF036E"/>
    <w:rsid w:val="00DF09C2"/>
    <w:rsid w:val="00DF1095"/>
    <w:rsid w:val="00DF1D94"/>
    <w:rsid w:val="00DF273F"/>
    <w:rsid w:val="00DF294A"/>
    <w:rsid w:val="00DF2979"/>
    <w:rsid w:val="00DF2B6C"/>
    <w:rsid w:val="00DF32DB"/>
    <w:rsid w:val="00DF340C"/>
    <w:rsid w:val="00DF36E9"/>
    <w:rsid w:val="00DF40DB"/>
    <w:rsid w:val="00DF43D8"/>
    <w:rsid w:val="00DF49BB"/>
    <w:rsid w:val="00DF4A7E"/>
    <w:rsid w:val="00DF4AC3"/>
    <w:rsid w:val="00DF5A75"/>
    <w:rsid w:val="00DF6235"/>
    <w:rsid w:val="00DF68D9"/>
    <w:rsid w:val="00DF6ADD"/>
    <w:rsid w:val="00DF6B99"/>
    <w:rsid w:val="00DF6BA2"/>
    <w:rsid w:val="00DF6EB8"/>
    <w:rsid w:val="00DF722D"/>
    <w:rsid w:val="00DF78DE"/>
    <w:rsid w:val="00DF7A89"/>
    <w:rsid w:val="00DF7BFF"/>
    <w:rsid w:val="00DF7D99"/>
    <w:rsid w:val="00E0042D"/>
    <w:rsid w:val="00E004E9"/>
    <w:rsid w:val="00E007E4"/>
    <w:rsid w:val="00E008EB"/>
    <w:rsid w:val="00E00E71"/>
    <w:rsid w:val="00E00E8A"/>
    <w:rsid w:val="00E01318"/>
    <w:rsid w:val="00E01442"/>
    <w:rsid w:val="00E01EB1"/>
    <w:rsid w:val="00E01FAF"/>
    <w:rsid w:val="00E02178"/>
    <w:rsid w:val="00E02B9C"/>
    <w:rsid w:val="00E02C57"/>
    <w:rsid w:val="00E02EB8"/>
    <w:rsid w:val="00E0306D"/>
    <w:rsid w:val="00E03CB8"/>
    <w:rsid w:val="00E04583"/>
    <w:rsid w:val="00E05804"/>
    <w:rsid w:val="00E06323"/>
    <w:rsid w:val="00E064D0"/>
    <w:rsid w:val="00E06772"/>
    <w:rsid w:val="00E07118"/>
    <w:rsid w:val="00E07381"/>
    <w:rsid w:val="00E076B2"/>
    <w:rsid w:val="00E0783B"/>
    <w:rsid w:val="00E07A9B"/>
    <w:rsid w:val="00E07F24"/>
    <w:rsid w:val="00E106DA"/>
    <w:rsid w:val="00E1088B"/>
    <w:rsid w:val="00E11023"/>
    <w:rsid w:val="00E114DB"/>
    <w:rsid w:val="00E117AF"/>
    <w:rsid w:val="00E11ADE"/>
    <w:rsid w:val="00E11F7C"/>
    <w:rsid w:val="00E1255D"/>
    <w:rsid w:val="00E12A22"/>
    <w:rsid w:val="00E12CE2"/>
    <w:rsid w:val="00E12E66"/>
    <w:rsid w:val="00E1386A"/>
    <w:rsid w:val="00E13EF5"/>
    <w:rsid w:val="00E142BC"/>
    <w:rsid w:val="00E14E45"/>
    <w:rsid w:val="00E15088"/>
    <w:rsid w:val="00E1538C"/>
    <w:rsid w:val="00E153B4"/>
    <w:rsid w:val="00E1564F"/>
    <w:rsid w:val="00E1591C"/>
    <w:rsid w:val="00E15B23"/>
    <w:rsid w:val="00E15C17"/>
    <w:rsid w:val="00E163DA"/>
    <w:rsid w:val="00E1646A"/>
    <w:rsid w:val="00E165F1"/>
    <w:rsid w:val="00E16CA9"/>
    <w:rsid w:val="00E1718E"/>
    <w:rsid w:val="00E177C2"/>
    <w:rsid w:val="00E17ABC"/>
    <w:rsid w:val="00E20371"/>
    <w:rsid w:val="00E2084C"/>
    <w:rsid w:val="00E20B7D"/>
    <w:rsid w:val="00E20C54"/>
    <w:rsid w:val="00E20F14"/>
    <w:rsid w:val="00E20F1C"/>
    <w:rsid w:val="00E213F0"/>
    <w:rsid w:val="00E2172C"/>
    <w:rsid w:val="00E21975"/>
    <w:rsid w:val="00E22207"/>
    <w:rsid w:val="00E222BB"/>
    <w:rsid w:val="00E228DE"/>
    <w:rsid w:val="00E229A1"/>
    <w:rsid w:val="00E22ED9"/>
    <w:rsid w:val="00E2410C"/>
    <w:rsid w:val="00E24137"/>
    <w:rsid w:val="00E2470A"/>
    <w:rsid w:val="00E24A29"/>
    <w:rsid w:val="00E24D41"/>
    <w:rsid w:val="00E24DDE"/>
    <w:rsid w:val="00E25528"/>
    <w:rsid w:val="00E2579D"/>
    <w:rsid w:val="00E25F5E"/>
    <w:rsid w:val="00E25F78"/>
    <w:rsid w:val="00E2602E"/>
    <w:rsid w:val="00E26259"/>
    <w:rsid w:val="00E263A1"/>
    <w:rsid w:val="00E2662A"/>
    <w:rsid w:val="00E26C4E"/>
    <w:rsid w:val="00E26E9E"/>
    <w:rsid w:val="00E27D8A"/>
    <w:rsid w:val="00E312D4"/>
    <w:rsid w:val="00E314AD"/>
    <w:rsid w:val="00E318FE"/>
    <w:rsid w:val="00E31CAE"/>
    <w:rsid w:val="00E320B5"/>
    <w:rsid w:val="00E3227F"/>
    <w:rsid w:val="00E32BF1"/>
    <w:rsid w:val="00E32C9E"/>
    <w:rsid w:val="00E32F79"/>
    <w:rsid w:val="00E32FC6"/>
    <w:rsid w:val="00E331E7"/>
    <w:rsid w:val="00E33B7A"/>
    <w:rsid w:val="00E33E7E"/>
    <w:rsid w:val="00E34D59"/>
    <w:rsid w:val="00E351AF"/>
    <w:rsid w:val="00E35B4D"/>
    <w:rsid w:val="00E36210"/>
    <w:rsid w:val="00E363A5"/>
    <w:rsid w:val="00E371A6"/>
    <w:rsid w:val="00E373A0"/>
    <w:rsid w:val="00E37541"/>
    <w:rsid w:val="00E376E9"/>
    <w:rsid w:val="00E40170"/>
    <w:rsid w:val="00E40235"/>
    <w:rsid w:val="00E40A87"/>
    <w:rsid w:val="00E419D3"/>
    <w:rsid w:val="00E42534"/>
    <w:rsid w:val="00E42A67"/>
    <w:rsid w:val="00E42AB7"/>
    <w:rsid w:val="00E430D3"/>
    <w:rsid w:val="00E431B0"/>
    <w:rsid w:val="00E43267"/>
    <w:rsid w:val="00E433DC"/>
    <w:rsid w:val="00E43614"/>
    <w:rsid w:val="00E437DC"/>
    <w:rsid w:val="00E43BAC"/>
    <w:rsid w:val="00E43DAF"/>
    <w:rsid w:val="00E43E77"/>
    <w:rsid w:val="00E4476C"/>
    <w:rsid w:val="00E44B4F"/>
    <w:rsid w:val="00E44D98"/>
    <w:rsid w:val="00E44E62"/>
    <w:rsid w:val="00E45134"/>
    <w:rsid w:val="00E468A2"/>
    <w:rsid w:val="00E468FD"/>
    <w:rsid w:val="00E46E5E"/>
    <w:rsid w:val="00E475AB"/>
    <w:rsid w:val="00E4788B"/>
    <w:rsid w:val="00E479F7"/>
    <w:rsid w:val="00E47ECE"/>
    <w:rsid w:val="00E502A0"/>
    <w:rsid w:val="00E50447"/>
    <w:rsid w:val="00E5048E"/>
    <w:rsid w:val="00E50651"/>
    <w:rsid w:val="00E50D2C"/>
    <w:rsid w:val="00E51006"/>
    <w:rsid w:val="00E51299"/>
    <w:rsid w:val="00E519F3"/>
    <w:rsid w:val="00E51FEA"/>
    <w:rsid w:val="00E5228D"/>
    <w:rsid w:val="00E52B52"/>
    <w:rsid w:val="00E52E46"/>
    <w:rsid w:val="00E52F2F"/>
    <w:rsid w:val="00E531DE"/>
    <w:rsid w:val="00E536F1"/>
    <w:rsid w:val="00E5377E"/>
    <w:rsid w:val="00E539FA"/>
    <w:rsid w:val="00E53A89"/>
    <w:rsid w:val="00E53B8C"/>
    <w:rsid w:val="00E542D4"/>
    <w:rsid w:val="00E542F4"/>
    <w:rsid w:val="00E543CA"/>
    <w:rsid w:val="00E5452C"/>
    <w:rsid w:val="00E54781"/>
    <w:rsid w:val="00E547E4"/>
    <w:rsid w:val="00E55A0E"/>
    <w:rsid w:val="00E56911"/>
    <w:rsid w:val="00E56FCF"/>
    <w:rsid w:val="00E57442"/>
    <w:rsid w:val="00E5756B"/>
    <w:rsid w:val="00E602A8"/>
    <w:rsid w:val="00E60366"/>
    <w:rsid w:val="00E606CA"/>
    <w:rsid w:val="00E607B5"/>
    <w:rsid w:val="00E60C20"/>
    <w:rsid w:val="00E60FD9"/>
    <w:rsid w:val="00E610E2"/>
    <w:rsid w:val="00E61340"/>
    <w:rsid w:val="00E613E9"/>
    <w:rsid w:val="00E61482"/>
    <w:rsid w:val="00E619E8"/>
    <w:rsid w:val="00E61A8E"/>
    <w:rsid w:val="00E61ADF"/>
    <w:rsid w:val="00E61F2C"/>
    <w:rsid w:val="00E6229D"/>
    <w:rsid w:val="00E6285D"/>
    <w:rsid w:val="00E62866"/>
    <w:rsid w:val="00E62BDC"/>
    <w:rsid w:val="00E62C83"/>
    <w:rsid w:val="00E62C8D"/>
    <w:rsid w:val="00E630EB"/>
    <w:rsid w:val="00E63853"/>
    <w:rsid w:val="00E63B36"/>
    <w:rsid w:val="00E63B85"/>
    <w:rsid w:val="00E63BCF"/>
    <w:rsid w:val="00E64936"/>
    <w:rsid w:val="00E64955"/>
    <w:rsid w:val="00E649D3"/>
    <w:rsid w:val="00E6537C"/>
    <w:rsid w:val="00E659A7"/>
    <w:rsid w:val="00E65C6F"/>
    <w:rsid w:val="00E65F45"/>
    <w:rsid w:val="00E660CB"/>
    <w:rsid w:val="00E665A2"/>
    <w:rsid w:val="00E66D4F"/>
    <w:rsid w:val="00E66F7A"/>
    <w:rsid w:val="00E67537"/>
    <w:rsid w:val="00E67A4C"/>
    <w:rsid w:val="00E7011E"/>
    <w:rsid w:val="00E70220"/>
    <w:rsid w:val="00E7088D"/>
    <w:rsid w:val="00E70E21"/>
    <w:rsid w:val="00E71845"/>
    <w:rsid w:val="00E71F09"/>
    <w:rsid w:val="00E722D0"/>
    <w:rsid w:val="00E72CC9"/>
    <w:rsid w:val="00E72D38"/>
    <w:rsid w:val="00E72E39"/>
    <w:rsid w:val="00E72E60"/>
    <w:rsid w:val="00E731B0"/>
    <w:rsid w:val="00E73250"/>
    <w:rsid w:val="00E73825"/>
    <w:rsid w:val="00E73A81"/>
    <w:rsid w:val="00E73ABE"/>
    <w:rsid w:val="00E7413E"/>
    <w:rsid w:val="00E748A5"/>
    <w:rsid w:val="00E749A6"/>
    <w:rsid w:val="00E74AC2"/>
    <w:rsid w:val="00E7511C"/>
    <w:rsid w:val="00E75478"/>
    <w:rsid w:val="00E75A9B"/>
    <w:rsid w:val="00E75CAD"/>
    <w:rsid w:val="00E75F25"/>
    <w:rsid w:val="00E76178"/>
    <w:rsid w:val="00E762DD"/>
    <w:rsid w:val="00E76318"/>
    <w:rsid w:val="00E764B4"/>
    <w:rsid w:val="00E76545"/>
    <w:rsid w:val="00E766ED"/>
    <w:rsid w:val="00E76764"/>
    <w:rsid w:val="00E7737A"/>
    <w:rsid w:val="00E77437"/>
    <w:rsid w:val="00E80137"/>
    <w:rsid w:val="00E8037D"/>
    <w:rsid w:val="00E803B4"/>
    <w:rsid w:val="00E80669"/>
    <w:rsid w:val="00E80E74"/>
    <w:rsid w:val="00E8155E"/>
    <w:rsid w:val="00E81647"/>
    <w:rsid w:val="00E82192"/>
    <w:rsid w:val="00E826E8"/>
    <w:rsid w:val="00E82FEA"/>
    <w:rsid w:val="00E8335D"/>
    <w:rsid w:val="00E835C2"/>
    <w:rsid w:val="00E83AC9"/>
    <w:rsid w:val="00E8491F"/>
    <w:rsid w:val="00E84CBB"/>
    <w:rsid w:val="00E84CC1"/>
    <w:rsid w:val="00E852C3"/>
    <w:rsid w:val="00E858B3"/>
    <w:rsid w:val="00E858FA"/>
    <w:rsid w:val="00E86131"/>
    <w:rsid w:val="00E862DF"/>
    <w:rsid w:val="00E864B0"/>
    <w:rsid w:val="00E867DC"/>
    <w:rsid w:val="00E86DB0"/>
    <w:rsid w:val="00E87012"/>
    <w:rsid w:val="00E87147"/>
    <w:rsid w:val="00E875C8"/>
    <w:rsid w:val="00E87901"/>
    <w:rsid w:val="00E87B99"/>
    <w:rsid w:val="00E87C66"/>
    <w:rsid w:val="00E87D39"/>
    <w:rsid w:val="00E9052F"/>
    <w:rsid w:val="00E9058A"/>
    <w:rsid w:val="00E905EC"/>
    <w:rsid w:val="00E9071B"/>
    <w:rsid w:val="00E90DBA"/>
    <w:rsid w:val="00E90F31"/>
    <w:rsid w:val="00E9107A"/>
    <w:rsid w:val="00E913B0"/>
    <w:rsid w:val="00E91BD2"/>
    <w:rsid w:val="00E91D01"/>
    <w:rsid w:val="00E91D27"/>
    <w:rsid w:val="00E928D4"/>
    <w:rsid w:val="00E92EC2"/>
    <w:rsid w:val="00E92FD3"/>
    <w:rsid w:val="00E93985"/>
    <w:rsid w:val="00E93E35"/>
    <w:rsid w:val="00E942B9"/>
    <w:rsid w:val="00E94B4B"/>
    <w:rsid w:val="00E94B6C"/>
    <w:rsid w:val="00E95196"/>
    <w:rsid w:val="00E95276"/>
    <w:rsid w:val="00E95533"/>
    <w:rsid w:val="00E95955"/>
    <w:rsid w:val="00E95A0D"/>
    <w:rsid w:val="00E95BC2"/>
    <w:rsid w:val="00E971B9"/>
    <w:rsid w:val="00E9736D"/>
    <w:rsid w:val="00E977DE"/>
    <w:rsid w:val="00E97CE1"/>
    <w:rsid w:val="00E97D29"/>
    <w:rsid w:val="00EA01D4"/>
    <w:rsid w:val="00EA06C6"/>
    <w:rsid w:val="00EA08E3"/>
    <w:rsid w:val="00EA1746"/>
    <w:rsid w:val="00EA1C75"/>
    <w:rsid w:val="00EA1C82"/>
    <w:rsid w:val="00EA25A8"/>
    <w:rsid w:val="00EA26AC"/>
    <w:rsid w:val="00EA28FA"/>
    <w:rsid w:val="00EA2D00"/>
    <w:rsid w:val="00EA33E0"/>
    <w:rsid w:val="00EA373D"/>
    <w:rsid w:val="00EA3794"/>
    <w:rsid w:val="00EA4008"/>
    <w:rsid w:val="00EA4131"/>
    <w:rsid w:val="00EA4823"/>
    <w:rsid w:val="00EA4855"/>
    <w:rsid w:val="00EA5794"/>
    <w:rsid w:val="00EA5BCE"/>
    <w:rsid w:val="00EA641C"/>
    <w:rsid w:val="00EA64D9"/>
    <w:rsid w:val="00EA6A97"/>
    <w:rsid w:val="00EA6E16"/>
    <w:rsid w:val="00EA6F56"/>
    <w:rsid w:val="00EA7097"/>
    <w:rsid w:val="00EA72A7"/>
    <w:rsid w:val="00EA79CA"/>
    <w:rsid w:val="00EA7EC5"/>
    <w:rsid w:val="00EB03E4"/>
    <w:rsid w:val="00EB07F5"/>
    <w:rsid w:val="00EB0E6F"/>
    <w:rsid w:val="00EB13D3"/>
    <w:rsid w:val="00EB17CE"/>
    <w:rsid w:val="00EB1F23"/>
    <w:rsid w:val="00EB24B5"/>
    <w:rsid w:val="00EB26A0"/>
    <w:rsid w:val="00EB2881"/>
    <w:rsid w:val="00EB291D"/>
    <w:rsid w:val="00EB2D0D"/>
    <w:rsid w:val="00EB2D19"/>
    <w:rsid w:val="00EB3320"/>
    <w:rsid w:val="00EB3743"/>
    <w:rsid w:val="00EB3941"/>
    <w:rsid w:val="00EB3967"/>
    <w:rsid w:val="00EB3BDA"/>
    <w:rsid w:val="00EB4DD4"/>
    <w:rsid w:val="00EB518F"/>
    <w:rsid w:val="00EB52D4"/>
    <w:rsid w:val="00EB68C7"/>
    <w:rsid w:val="00EB773D"/>
    <w:rsid w:val="00EB7C8D"/>
    <w:rsid w:val="00EC00B7"/>
    <w:rsid w:val="00EC0377"/>
    <w:rsid w:val="00EC0538"/>
    <w:rsid w:val="00EC0606"/>
    <w:rsid w:val="00EC08BA"/>
    <w:rsid w:val="00EC098C"/>
    <w:rsid w:val="00EC1267"/>
    <w:rsid w:val="00EC1570"/>
    <w:rsid w:val="00EC1625"/>
    <w:rsid w:val="00EC1D2F"/>
    <w:rsid w:val="00EC1DF4"/>
    <w:rsid w:val="00EC2323"/>
    <w:rsid w:val="00EC295C"/>
    <w:rsid w:val="00EC2C25"/>
    <w:rsid w:val="00EC2C52"/>
    <w:rsid w:val="00EC2F67"/>
    <w:rsid w:val="00EC360F"/>
    <w:rsid w:val="00EC3AE4"/>
    <w:rsid w:val="00EC3DD5"/>
    <w:rsid w:val="00EC4550"/>
    <w:rsid w:val="00EC49A7"/>
    <w:rsid w:val="00EC4D91"/>
    <w:rsid w:val="00EC5E7E"/>
    <w:rsid w:val="00EC642F"/>
    <w:rsid w:val="00EC695F"/>
    <w:rsid w:val="00EC6F93"/>
    <w:rsid w:val="00EC7764"/>
    <w:rsid w:val="00EC79CA"/>
    <w:rsid w:val="00EC7AE0"/>
    <w:rsid w:val="00EC7EFA"/>
    <w:rsid w:val="00ED0FA6"/>
    <w:rsid w:val="00ED127D"/>
    <w:rsid w:val="00ED1599"/>
    <w:rsid w:val="00ED1762"/>
    <w:rsid w:val="00ED1A8E"/>
    <w:rsid w:val="00ED2045"/>
    <w:rsid w:val="00ED2B70"/>
    <w:rsid w:val="00ED2EA1"/>
    <w:rsid w:val="00ED3204"/>
    <w:rsid w:val="00ED3833"/>
    <w:rsid w:val="00ED3C74"/>
    <w:rsid w:val="00ED3E10"/>
    <w:rsid w:val="00ED3EDB"/>
    <w:rsid w:val="00ED3FAA"/>
    <w:rsid w:val="00ED44C0"/>
    <w:rsid w:val="00ED458A"/>
    <w:rsid w:val="00ED4A63"/>
    <w:rsid w:val="00ED4D78"/>
    <w:rsid w:val="00ED4F80"/>
    <w:rsid w:val="00ED5094"/>
    <w:rsid w:val="00ED55A7"/>
    <w:rsid w:val="00ED5BCF"/>
    <w:rsid w:val="00ED5D13"/>
    <w:rsid w:val="00ED5DFB"/>
    <w:rsid w:val="00ED5E6E"/>
    <w:rsid w:val="00ED6043"/>
    <w:rsid w:val="00ED638D"/>
    <w:rsid w:val="00ED662D"/>
    <w:rsid w:val="00ED69FA"/>
    <w:rsid w:val="00ED6C0A"/>
    <w:rsid w:val="00ED6D10"/>
    <w:rsid w:val="00ED6F14"/>
    <w:rsid w:val="00ED7275"/>
    <w:rsid w:val="00ED72E2"/>
    <w:rsid w:val="00ED736C"/>
    <w:rsid w:val="00ED747B"/>
    <w:rsid w:val="00ED7588"/>
    <w:rsid w:val="00ED7875"/>
    <w:rsid w:val="00ED789D"/>
    <w:rsid w:val="00ED7C70"/>
    <w:rsid w:val="00EE0F21"/>
    <w:rsid w:val="00EE154D"/>
    <w:rsid w:val="00EE1562"/>
    <w:rsid w:val="00EE1E9A"/>
    <w:rsid w:val="00EE28AC"/>
    <w:rsid w:val="00EE295B"/>
    <w:rsid w:val="00EE307B"/>
    <w:rsid w:val="00EE31D6"/>
    <w:rsid w:val="00EE3593"/>
    <w:rsid w:val="00EE377A"/>
    <w:rsid w:val="00EE39A5"/>
    <w:rsid w:val="00EE3C94"/>
    <w:rsid w:val="00EE3F0F"/>
    <w:rsid w:val="00EE4383"/>
    <w:rsid w:val="00EE4989"/>
    <w:rsid w:val="00EE5A73"/>
    <w:rsid w:val="00EE5B3E"/>
    <w:rsid w:val="00EE5BFD"/>
    <w:rsid w:val="00EE6343"/>
    <w:rsid w:val="00EE6629"/>
    <w:rsid w:val="00EE6823"/>
    <w:rsid w:val="00EE70CA"/>
    <w:rsid w:val="00EE7923"/>
    <w:rsid w:val="00EE796F"/>
    <w:rsid w:val="00EF0132"/>
    <w:rsid w:val="00EF01F0"/>
    <w:rsid w:val="00EF0863"/>
    <w:rsid w:val="00EF0C70"/>
    <w:rsid w:val="00EF0C95"/>
    <w:rsid w:val="00EF0C9A"/>
    <w:rsid w:val="00EF1445"/>
    <w:rsid w:val="00EF197B"/>
    <w:rsid w:val="00EF1CA8"/>
    <w:rsid w:val="00EF211F"/>
    <w:rsid w:val="00EF2848"/>
    <w:rsid w:val="00EF33AA"/>
    <w:rsid w:val="00EF3D48"/>
    <w:rsid w:val="00EF3ECF"/>
    <w:rsid w:val="00EF4015"/>
    <w:rsid w:val="00EF4A18"/>
    <w:rsid w:val="00EF4AD0"/>
    <w:rsid w:val="00EF55BD"/>
    <w:rsid w:val="00EF5AF5"/>
    <w:rsid w:val="00EF5E50"/>
    <w:rsid w:val="00EF6334"/>
    <w:rsid w:val="00EF6AC4"/>
    <w:rsid w:val="00EF6C48"/>
    <w:rsid w:val="00EF6D97"/>
    <w:rsid w:val="00EF743C"/>
    <w:rsid w:val="00EF747A"/>
    <w:rsid w:val="00EF7872"/>
    <w:rsid w:val="00F00199"/>
    <w:rsid w:val="00F00B62"/>
    <w:rsid w:val="00F00BC8"/>
    <w:rsid w:val="00F015AC"/>
    <w:rsid w:val="00F01D72"/>
    <w:rsid w:val="00F0243B"/>
    <w:rsid w:val="00F02FAE"/>
    <w:rsid w:val="00F030E6"/>
    <w:rsid w:val="00F03372"/>
    <w:rsid w:val="00F036D2"/>
    <w:rsid w:val="00F03706"/>
    <w:rsid w:val="00F038CC"/>
    <w:rsid w:val="00F04610"/>
    <w:rsid w:val="00F047C2"/>
    <w:rsid w:val="00F04B83"/>
    <w:rsid w:val="00F04BC2"/>
    <w:rsid w:val="00F04F63"/>
    <w:rsid w:val="00F04F79"/>
    <w:rsid w:val="00F05487"/>
    <w:rsid w:val="00F054F0"/>
    <w:rsid w:val="00F05704"/>
    <w:rsid w:val="00F05A47"/>
    <w:rsid w:val="00F05B6C"/>
    <w:rsid w:val="00F05BF3"/>
    <w:rsid w:val="00F067D1"/>
    <w:rsid w:val="00F069B2"/>
    <w:rsid w:val="00F07015"/>
    <w:rsid w:val="00F0743E"/>
    <w:rsid w:val="00F07A7E"/>
    <w:rsid w:val="00F07D47"/>
    <w:rsid w:val="00F07F81"/>
    <w:rsid w:val="00F10263"/>
    <w:rsid w:val="00F102DD"/>
    <w:rsid w:val="00F10702"/>
    <w:rsid w:val="00F10ABE"/>
    <w:rsid w:val="00F10C45"/>
    <w:rsid w:val="00F10FFB"/>
    <w:rsid w:val="00F111A7"/>
    <w:rsid w:val="00F11846"/>
    <w:rsid w:val="00F11A2C"/>
    <w:rsid w:val="00F11E60"/>
    <w:rsid w:val="00F123CA"/>
    <w:rsid w:val="00F12413"/>
    <w:rsid w:val="00F126EF"/>
    <w:rsid w:val="00F12CDB"/>
    <w:rsid w:val="00F130F0"/>
    <w:rsid w:val="00F13173"/>
    <w:rsid w:val="00F1320D"/>
    <w:rsid w:val="00F13235"/>
    <w:rsid w:val="00F133DA"/>
    <w:rsid w:val="00F13880"/>
    <w:rsid w:val="00F1388A"/>
    <w:rsid w:val="00F13A63"/>
    <w:rsid w:val="00F13AB2"/>
    <w:rsid w:val="00F13F7A"/>
    <w:rsid w:val="00F14030"/>
    <w:rsid w:val="00F1404C"/>
    <w:rsid w:val="00F140CD"/>
    <w:rsid w:val="00F14A79"/>
    <w:rsid w:val="00F15086"/>
    <w:rsid w:val="00F1515B"/>
    <w:rsid w:val="00F15766"/>
    <w:rsid w:val="00F15C29"/>
    <w:rsid w:val="00F15EA1"/>
    <w:rsid w:val="00F15FEF"/>
    <w:rsid w:val="00F16258"/>
    <w:rsid w:val="00F16498"/>
    <w:rsid w:val="00F167C7"/>
    <w:rsid w:val="00F170A3"/>
    <w:rsid w:val="00F17300"/>
    <w:rsid w:val="00F1764D"/>
    <w:rsid w:val="00F201AA"/>
    <w:rsid w:val="00F201DC"/>
    <w:rsid w:val="00F20269"/>
    <w:rsid w:val="00F20298"/>
    <w:rsid w:val="00F202A1"/>
    <w:rsid w:val="00F202DB"/>
    <w:rsid w:val="00F20986"/>
    <w:rsid w:val="00F20B66"/>
    <w:rsid w:val="00F20BD2"/>
    <w:rsid w:val="00F21D1F"/>
    <w:rsid w:val="00F2224B"/>
    <w:rsid w:val="00F22B37"/>
    <w:rsid w:val="00F22BD8"/>
    <w:rsid w:val="00F22FE4"/>
    <w:rsid w:val="00F230EE"/>
    <w:rsid w:val="00F2315A"/>
    <w:rsid w:val="00F237E9"/>
    <w:rsid w:val="00F23A60"/>
    <w:rsid w:val="00F23DAD"/>
    <w:rsid w:val="00F23FAA"/>
    <w:rsid w:val="00F242E7"/>
    <w:rsid w:val="00F24695"/>
    <w:rsid w:val="00F25068"/>
    <w:rsid w:val="00F25200"/>
    <w:rsid w:val="00F256AD"/>
    <w:rsid w:val="00F256C1"/>
    <w:rsid w:val="00F25793"/>
    <w:rsid w:val="00F25C65"/>
    <w:rsid w:val="00F25F6D"/>
    <w:rsid w:val="00F260F7"/>
    <w:rsid w:val="00F26CD1"/>
    <w:rsid w:val="00F26CD5"/>
    <w:rsid w:val="00F26D88"/>
    <w:rsid w:val="00F26D96"/>
    <w:rsid w:val="00F278E1"/>
    <w:rsid w:val="00F27E91"/>
    <w:rsid w:val="00F3004C"/>
    <w:rsid w:val="00F305EC"/>
    <w:rsid w:val="00F3111D"/>
    <w:rsid w:val="00F31144"/>
    <w:rsid w:val="00F31A62"/>
    <w:rsid w:val="00F31C88"/>
    <w:rsid w:val="00F32348"/>
    <w:rsid w:val="00F32B1B"/>
    <w:rsid w:val="00F32D05"/>
    <w:rsid w:val="00F32D64"/>
    <w:rsid w:val="00F32E78"/>
    <w:rsid w:val="00F32E7D"/>
    <w:rsid w:val="00F32E86"/>
    <w:rsid w:val="00F334F9"/>
    <w:rsid w:val="00F33782"/>
    <w:rsid w:val="00F33FC0"/>
    <w:rsid w:val="00F34088"/>
    <w:rsid w:val="00F34126"/>
    <w:rsid w:val="00F345E7"/>
    <w:rsid w:val="00F34854"/>
    <w:rsid w:val="00F34925"/>
    <w:rsid w:val="00F34D97"/>
    <w:rsid w:val="00F35AE6"/>
    <w:rsid w:val="00F36512"/>
    <w:rsid w:val="00F36A07"/>
    <w:rsid w:val="00F36C00"/>
    <w:rsid w:val="00F36F30"/>
    <w:rsid w:val="00F37088"/>
    <w:rsid w:val="00F3784B"/>
    <w:rsid w:val="00F37AE0"/>
    <w:rsid w:val="00F402C5"/>
    <w:rsid w:val="00F409BA"/>
    <w:rsid w:val="00F410E9"/>
    <w:rsid w:val="00F41788"/>
    <w:rsid w:val="00F419A8"/>
    <w:rsid w:val="00F41B0C"/>
    <w:rsid w:val="00F41B32"/>
    <w:rsid w:val="00F41C9B"/>
    <w:rsid w:val="00F42332"/>
    <w:rsid w:val="00F424CA"/>
    <w:rsid w:val="00F42568"/>
    <w:rsid w:val="00F428D0"/>
    <w:rsid w:val="00F4335F"/>
    <w:rsid w:val="00F4351A"/>
    <w:rsid w:val="00F44271"/>
    <w:rsid w:val="00F44A5A"/>
    <w:rsid w:val="00F44D7E"/>
    <w:rsid w:val="00F44DB0"/>
    <w:rsid w:val="00F44EA6"/>
    <w:rsid w:val="00F44EEF"/>
    <w:rsid w:val="00F44FC3"/>
    <w:rsid w:val="00F4502C"/>
    <w:rsid w:val="00F450F7"/>
    <w:rsid w:val="00F4514A"/>
    <w:rsid w:val="00F45AFE"/>
    <w:rsid w:val="00F45BDB"/>
    <w:rsid w:val="00F45D5F"/>
    <w:rsid w:val="00F45FFE"/>
    <w:rsid w:val="00F46178"/>
    <w:rsid w:val="00F46194"/>
    <w:rsid w:val="00F46208"/>
    <w:rsid w:val="00F46A06"/>
    <w:rsid w:val="00F46ED1"/>
    <w:rsid w:val="00F473AC"/>
    <w:rsid w:val="00F50353"/>
    <w:rsid w:val="00F503D5"/>
    <w:rsid w:val="00F504BF"/>
    <w:rsid w:val="00F50721"/>
    <w:rsid w:val="00F51441"/>
    <w:rsid w:val="00F51AB8"/>
    <w:rsid w:val="00F52590"/>
    <w:rsid w:val="00F52968"/>
    <w:rsid w:val="00F52A81"/>
    <w:rsid w:val="00F52E47"/>
    <w:rsid w:val="00F53647"/>
    <w:rsid w:val="00F53FD5"/>
    <w:rsid w:val="00F5415F"/>
    <w:rsid w:val="00F54224"/>
    <w:rsid w:val="00F54318"/>
    <w:rsid w:val="00F54888"/>
    <w:rsid w:val="00F54893"/>
    <w:rsid w:val="00F54BB4"/>
    <w:rsid w:val="00F54DC3"/>
    <w:rsid w:val="00F54FDF"/>
    <w:rsid w:val="00F551C0"/>
    <w:rsid w:val="00F554C7"/>
    <w:rsid w:val="00F55BF9"/>
    <w:rsid w:val="00F55D35"/>
    <w:rsid w:val="00F561C9"/>
    <w:rsid w:val="00F56918"/>
    <w:rsid w:val="00F56BCF"/>
    <w:rsid w:val="00F570D8"/>
    <w:rsid w:val="00F57104"/>
    <w:rsid w:val="00F571E2"/>
    <w:rsid w:val="00F5734F"/>
    <w:rsid w:val="00F575FC"/>
    <w:rsid w:val="00F60228"/>
    <w:rsid w:val="00F60251"/>
    <w:rsid w:val="00F60978"/>
    <w:rsid w:val="00F60ACF"/>
    <w:rsid w:val="00F6157D"/>
    <w:rsid w:val="00F61A76"/>
    <w:rsid w:val="00F61D56"/>
    <w:rsid w:val="00F61F59"/>
    <w:rsid w:val="00F62495"/>
    <w:rsid w:val="00F62AE6"/>
    <w:rsid w:val="00F62C5A"/>
    <w:rsid w:val="00F62E42"/>
    <w:rsid w:val="00F62E6B"/>
    <w:rsid w:val="00F633E9"/>
    <w:rsid w:val="00F63494"/>
    <w:rsid w:val="00F63BFA"/>
    <w:rsid w:val="00F63D96"/>
    <w:rsid w:val="00F63DBA"/>
    <w:rsid w:val="00F63F47"/>
    <w:rsid w:val="00F644BF"/>
    <w:rsid w:val="00F6451D"/>
    <w:rsid w:val="00F6461A"/>
    <w:rsid w:val="00F648F2"/>
    <w:rsid w:val="00F6509F"/>
    <w:rsid w:val="00F65630"/>
    <w:rsid w:val="00F66CBC"/>
    <w:rsid w:val="00F67B64"/>
    <w:rsid w:val="00F70C20"/>
    <w:rsid w:val="00F70CD8"/>
    <w:rsid w:val="00F711B1"/>
    <w:rsid w:val="00F719F7"/>
    <w:rsid w:val="00F71DD0"/>
    <w:rsid w:val="00F723D5"/>
    <w:rsid w:val="00F72887"/>
    <w:rsid w:val="00F728E2"/>
    <w:rsid w:val="00F73065"/>
    <w:rsid w:val="00F730A4"/>
    <w:rsid w:val="00F73164"/>
    <w:rsid w:val="00F73372"/>
    <w:rsid w:val="00F738FD"/>
    <w:rsid w:val="00F73A20"/>
    <w:rsid w:val="00F74341"/>
    <w:rsid w:val="00F7435B"/>
    <w:rsid w:val="00F744B7"/>
    <w:rsid w:val="00F744D7"/>
    <w:rsid w:val="00F74526"/>
    <w:rsid w:val="00F74C0D"/>
    <w:rsid w:val="00F74C63"/>
    <w:rsid w:val="00F751F1"/>
    <w:rsid w:val="00F753AA"/>
    <w:rsid w:val="00F75404"/>
    <w:rsid w:val="00F7552E"/>
    <w:rsid w:val="00F75B33"/>
    <w:rsid w:val="00F7642C"/>
    <w:rsid w:val="00F765B6"/>
    <w:rsid w:val="00F766BF"/>
    <w:rsid w:val="00F7693C"/>
    <w:rsid w:val="00F769FE"/>
    <w:rsid w:val="00F76A67"/>
    <w:rsid w:val="00F76B9A"/>
    <w:rsid w:val="00F76BCC"/>
    <w:rsid w:val="00F76FF9"/>
    <w:rsid w:val="00F77175"/>
    <w:rsid w:val="00F778A3"/>
    <w:rsid w:val="00F77E9F"/>
    <w:rsid w:val="00F80066"/>
    <w:rsid w:val="00F80605"/>
    <w:rsid w:val="00F813D6"/>
    <w:rsid w:val="00F823A8"/>
    <w:rsid w:val="00F8271D"/>
    <w:rsid w:val="00F8274A"/>
    <w:rsid w:val="00F82782"/>
    <w:rsid w:val="00F827B9"/>
    <w:rsid w:val="00F827E2"/>
    <w:rsid w:val="00F82B5D"/>
    <w:rsid w:val="00F82BCC"/>
    <w:rsid w:val="00F82EC0"/>
    <w:rsid w:val="00F82EC2"/>
    <w:rsid w:val="00F839B4"/>
    <w:rsid w:val="00F83AD7"/>
    <w:rsid w:val="00F83C86"/>
    <w:rsid w:val="00F83F3E"/>
    <w:rsid w:val="00F8570A"/>
    <w:rsid w:val="00F85E67"/>
    <w:rsid w:val="00F85FD2"/>
    <w:rsid w:val="00F8608E"/>
    <w:rsid w:val="00F860F4"/>
    <w:rsid w:val="00F865AA"/>
    <w:rsid w:val="00F8696E"/>
    <w:rsid w:val="00F86B1B"/>
    <w:rsid w:val="00F8751A"/>
    <w:rsid w:val="00F87A49"/>
    <w:rsid w:val="00F87D7E"/>
    <w:rsid w:val="00F9005F"/>
    <w:rsid w:val="00F9012D"/>
    <w:rsid w:val="00F909E4"/>
    <w:rsid w:val="00F90A9C"/>
    <w:rsid w:val="00F90B6E"/>
    <w:rsid w:val="00F90C39"/>
    <w:rsid w:val="00F90C95"/>
    <w:rsid w:val="00F912F4"/>
    <w:rsid w:val="00F91F0F"/>
    <w:rsid w:val="00F91FB5"/>
    <w:rsid w:val="00F920BB"/>
    <w:rsid w:val="00F920FD"/>
    <w:rsid w:val="00F9242F"/>
    <w:rsid w:val="00F92614"/>
    <w:rsid w:val="00F92776"/>
    <w:rsid w:val="00F92AE0"/>
    <w:rsid w:val="00F92E41"/>
    <w:rsid w:val="00F92EB0"/>
    <w:rsid w:val="00F932D5"/>
    <w:rsid w:val="00F93D72"/>
    <w:rsid w:val="00F93F42"/>
    <w:rsid w:val="00F94B4F"/>
    <w:rsid w:val="00F94BF1"/>
    <w:rsid w:val="00F94E38"/>
    <w:rsid w:val="00F94F75"/>
    <w:rsid w:val="00F94F8A"/>
    <w:rsid w:val="00F950ED"/>
    <w:rsid w:val="00F951D4"/>
    <w:rsid w:val="00F955CF"/>
    <w:rsid w:val="00F955FB"/>
    <w:rsid w:val="00F95BCC"/>
    <w:rsid w:val="00F95F1E"/>
    <w:rsid w:val="00F95F26"/>
    <w:rsid w:val="00F964AD"/>
    <w:rsid w:val="00F9664A"/>
    <w:rsid w:val="00F96750"/>
    <w:rsid w:val="00F96830"/>
    <w:rsid w:val="00F971C7"/>
    <w:rsid w:val="00F974FA"/>
    <w:rsid w:val="00F97564"/>
    <w:rsid w:val="00F978E6"/>
    <w:rsid w:val="00F97BFC"/>
    <w:rsid w:val="00F97E66"/>
    <w:rsid w:val="00FA0129"/>
    <w:rsid w:val="00FA0270"/>
    <w:rsid w:val="00FA0768"/>
    <w:rsid w:val="00FA09CD"/>
    <w:rsid w:val="00FA0BEB"/>
    <w:rsid w:val="00FA0CC8"/>
    <w:rsid w:val="00FA1026"/>
    <w:rsid w:val="00FA1094"/>
    <w:rsid w:val="00FA199E"/>
    <w:rsid w:val="00FA1C18"/>
    <w:rsid w:val="00FA1C26"/>
    <w:rsid w:val="00FA2370"/>
    <w:rsid w:val="00FA295F"/>
    <w:rsid w:val="00FA2E39"/>
    <w:rsid w:val="00FA2FCE"/>
    <w:rsid w:val="00FA3097"/>
    <w:rsid w:val="00FA37A5"/>
    <w:rsid w:val="00FA3DB3"/>
    <w:rsid w:val="00FA4481"/>
    <w:rsid w:val="00FA4940"/>
    <w:rsid w:val="00FA4A13"/>
    <w:rsid w:val="00FA4A8E"/>
    <w:rsid w:val="00FA4B11"/>
    <w:rsid w:val="00FA58BC"/>
    <w:rsid w:val="00FA5FC6"/>
    <w:rsid w:val="00FA604F"/>
    <w:rsid w:val="00FA67DE"/>
    <w:rsid w:val="00FA67F8"/>
    <w:rsid w:val="00FA6894"/>
    <w:rsid w:val="00FA6DCB"/>
    <w:rsid w:val="00FA7E5E"/>
    <w:rsid w:val="00FA7E6C"/>
    <w:rsid w:val="00FB06AA"/>
    <w:rsid w:val="00FB0AA9"/>
    <w:rsid w:val="00FB11BC"/>
    <w:rsid w:val="00FB12BE"/>
    <w:rsid w:val="00FB150F"/>
    <w:rsid w:val="00FB1606"/>
    <w:rsid w:val="00FB16B0"/>
    <w:rsid w:val="00FB19E5"/>
    <w:rsid w:val="00FB1D09"/>
    <w:rsid w:val="00FB201B"/>
    <w:rsid w:val="00FB203A"/>
    <w:rsid w:val="00FB28B8"/>
    <w:rsid w:val="00FB28F3"/>
    <w:rsid w:val="00FB3066"/>
    <w:rsid w:val="00FB36A5"/>
    <w:rsid w:val="00FB3D44"/>
    <w:rsid w:val="00FB42D2"/>
    <w:rsid w:val="00FB46FB"/>
    <w:rsid w:val="00FB48D5"/>
    <w:rsid w:val="00FB4AEA"/>
    <w:rsid w:val="00FB4AEF"/>
    <w:rsid w:val="00FB4CCC"/>
    <w:rsid w:val="00FB5A62"/>
    <w:rsid w:val="00FB5B56"/>
    <w:rsid w:val="00FB5C8A"/>
    <w:rsid w:val="00FB5D48"/>
    <w:rsid w:val="00FB5E2C"/>
    <w:rsid w:val="00FB733C"/>
    <w:rsid w:val="00FB750B"/>
    <w:rsid w:val="00FB758E"/>
    <w:rsid w:val="00FB7749"/>
    <w:rsid w:val="00FB77AB"/>
    <w:rsid w:val="00FB795C"/>
    <w:rsid w:val="00FC019D"/>
    <w:rsid w:val="00FC01CC"/>
    <w:rsid w:val="00FC0378"/>
    <w:rsid w:val="00FC0FFB"/>
    <w:rsid w:val="00FC1177"/>
    <w:rsid w:val="00FC127D"/>
    <w:rsid w:val="00FC150E"/>
    <w:rsid w:val="00FC17DD"/>
    <w:rsid w:val="00FC1876"/>
    <w:rsid w:val="00FC1C1A"/>
    <w:rsid w:val="00FC1F5A"/>
    <w:rsid w:val="00FC1F71"/>
    <w:rsid w:val="00FC2357"/>
    <w:rsid w:val="00FC25A9"/>
    <w:rsid w:val="00FC26E2"/>
    <w:rsid w:val="00FC26FE"/>
    <w:rsid w:val="00FC30C8"/>
    <w:rsid w:val="00FC327A"/>
    <w:rsid w:val="00FC32F8"/>
    <w:rsid w:val="00FC38CB"/>
    <w:rsid w:val="00FC478D"/>
    <w:rsid w:val="00FC49BF"/>
    <w:rsid w:val="00FC55E2"/>
    <w:rsid w:val="00FC56DB"/>
    <w:rsid w:val="00FC604E"/>
    <w:rsid w:val="00FC61DA"/>
    <w:rsid w:val="00FC6AB9"/>
    <w:rsid w:val="00FC6CAC"/>
    <w:rsid w:val="00FC71EC"/>
    <w:rsid w:val="00FC741F"/>
    <w:rsid w:val="00FD0069"/>
    <w:rsid w:val="00FD01FC"/>
    <w:rsid w:val="00FD1185"/>
    <w:rsid w:val="00FD145C"/>
    <w:rsid w:val="00FD15E7"/>
    <w:rsid w:val="00FD1ED6"/>
    <w:rsid w:val="00FD1EE9"/>
    <w:rsid w:val="00FD1FA4"/>
    <w:rsid w:val="00FD2C3E"/>
    <w:rsid w:val="00FD2C4B"/>
    <w:rsid w:val="00FD2FAD"/>
    <w:rsid w:val="00FD3494"/>
    <w:rsid w:val="00FD365D"/>
    <w:rsid w:val="00FD38F0"/>
    <w:rsid w:val="00FD3D26"/>
    <w:rsid w:val="00FD3DAA"/>
    <w:rsid w:val="00FD437B"/>
    <w:rsid w:val="00FD496A"/>
    <w:rsid w:val="00FD4BF8"/>
    <w:rsid w:val="00FD4F6A"/>
    <w:rsid w:val="00FD5236"/>
    <w:rsid w:val="00FD59A9"/>
    <w:rsid w:val="00FD5FB3"/>
    <w:rsid w:val="00FD6238"/>
    <w:rsid w:val="00FD6302"/>
    <w:rsid w:val="00FD654F"/>
    <w:rsid w:val="00FD667F"/>
    <w:rsid w:val="00FD6978"/>
    <w:rsid w:val="00FD69EC"/>
    <w:rsid w:val="00FD6AC6"/>
    <w:rsid w:val="00FD6C6E"/>
    <w:rsid w:val="00FD79F6"/>
    <w:rsid w:val="00FD7A02"/>
    <w:rsid w:val="00FD7E06"/>
    <w:rsid w:val="00FD7F30"/>
    <w:rsid w:val="00FE08DB"/>
    <w:rsid w:val="00FE08F6"/>
    <w:rsid w:val="00FE0CF8"/>
    <w:rsid w:val="00FE0D8E"/>
    <w:rsid w:val="00FE16D6"/>
    <w:rsid w:val="00FE16E8"/>
    <w:rsid w:val="00FE1C3D"/>
    <w:rsid w:val="00FE2297"/>
    <w:rsid w:val="00FE237D"/>
    <w:rsid w:val="00FE2751"/>
    <w:rsid w:val="00FE37C7"/>
    <w:rsid w:val="00FE442D"/>
    <w:rsid w:val="00FE4927"/>
    <w:rsid w:val="00FE4963"/>
    <w:rsid w:val="00FE4AAF"/>
    <w:rsid w:val="00FE543D"/>
    <w:rsid w:val="00FE550D"/>
    <w:rsid w:val="00FE5887"/>
    <w:rsid w:val="00FE5F0A"/>
    <w:rsid w:val="00FE62FE"/>
    <w:rsid w:val="00FE66ED"/>
    <w:rsid w:val="00FE6EF0"/>
    <w:rsid w:val="00FE7718"/>
    <w:rsid w:val="00FE77E2"/>
    <w:rsid w:val="00FE7C44"/>
    <w:rsid w:val="00FE7C79"/>
    <w:rsid w:val="00FE7DE4"/>
    <w:rsid w:val="00FF013B"/>
    <w:rsid w:val="00FF049A"/>
    <w:rsid w:val="00FF04AA"/>
    <w:rsid w:val="00FF0F1D"/>
    <w:rsid w:val="00FF10CC"/>
    <w:rsid w:val="00FF1257"/>
    <w:rsid w:val="00FF1867"/>
    <w:rsid w:val="00FF1AFE"/>
    <w:rsid w:val="00FF1B0A"/>
    <w:rsid w:val="00FF1B7A"/>
    <w:rsid w:val="00FF1EA8"/>
    <w:rsid w:val="00FF2071"/>
    <w:rsid w:val="00FF2922"/>
    <w:rsid w:val="00FF2C0B"/>
    <w:rsid w:val="00FF33D2"/>
    <w:rsid w:val="00FF344A"/>
    <w:rsid w:val="00FF43D2"/>
    <w:rsid w:val="00FF43E5"/>
    <w:rsid w:val="00FF450F"/>
    <w:rsid w:val="00FF4743"/>
    <w:rsid w:val="00FF4BD1"/>
    <w:rsid w:val="00FF4E00"/>
    <w:rsid w:val="00FF5172"/>
    <w:rsid w:val="00FF535D"/>
    <w:rsid w:val="00FF5480"/>
    <w:rsid w:val="00FF5542"/>
    <w:rsid w:val="00FF59A3"/>
    <w:rsid w:val="00FF5D54"/>
    <w:rsid w:val="00FF61BF"/>
    <w:rsid w:val="00FF623A"/>
    <w:rsid w:val="00FF62A8"/>
    <w:rsid w:val="00FF6C06"/>
    <w:rsid w:val="00FF6C57"/>
    <w:rsid w:val="00FF7136"/>
    <w:rsid w:val="00FF750C"/>
    <w:rsid w:val="00FF788D"/>
    <w:rsid w:val="00FF7A42"/>
    <w:rsid w:val="00FF7A52"/>
    <w:rsid w:val="01090824"/>
    <w:rsid w:val="010F1003"/>
    <w:rsid w:val="01193E38"/>
    <w:rsid w:val="011E13E5"/>
    <w:rsid w:val="013F431A"/>
    <w:rsid w:val="014B3BB1"/>
    <w:rsid w:val="014D1393"/>
    <w:rsid w:val="015C1DF5"/>
    <w:rsid w:val="01633849"/>
    <w:rsid w:val="017037CA"/>
    <w:rsid w:val="01950361"/>
    <w:rsid w:val="0197317C"/>
    <w:rsid w:val="01AA01E4"/>
    <w:rsid w:val="01CD0F74"/>
    <w:rsid w:val="01F517F8"/>
    <w:rsid w:val="01FD1B60"/>
    <w:rsid w:val="02014C01"/>
    <w:rsid w:val="021662CB"/>
    <w:rsid w:val="022430D4"/>
    <w:rsid w:val="023F1002"/>
    <w:rsid w:val="024D6374"/>
    <w:rsid w:val="024E35F2"/>
    <w:rsid w:val="02553F53"/>
    <w:rsid w:val="028F378D"/>
    <w:rsid w:val="02982414"/>
    <w:rsid w:val="02D22815"/>
    <w:rsid w:val="02EF1507"/>
    <w:rsid w:val="030719FB"/>
    <w:rsid w:val="031C2DEF"/>
    <w:rsid w:val="03327FD3"/>
    <w:rsid w:val="034A35B2"/>
    <w:rsid w:val="03514C03"/>
    <w:rsid w:val="035E17C3"/>
    <w:rsid w:val="03744B49"/>
    <w:rsid w:val="039244CF"/>
    <w:rsid w:val="039D6D00"/>
    <w:rsid w:val="03AF09D6"/>
    <w:rsid w:val="03B143EB"/>
    <w:rsid w:val="03BC778C"/>
    <w:rsid w:val="03D17C0C"/>
    <w:rsid w:val="03E07A02"/>
    <w:rsid w:val="03E51EAE"/>
    <w:rsid w:val="03E943A8"/>
    <w:rsid w:val="03EA2326"/>
    <w:rsid w:val="03F4276C"/>
    <w:rsid w:val="03F82DE2"/>
    <w:rsid w:val="040E551B"/>
    <w:rsid w:val="0427286B"/>
    <w:rsid w:val="04322B4B"/>
    <w:rsid w:val="0448642F"/>
    <w:rsid w:val="048162B0"/>
    <w:rsid w:val="04A63863"/>
    <w:rsid w:val="04AB0498"/>
    <w:rsid w:val="04C937D4"/>
    <w:rsid w:val="04D154BF"/>
    <w:rsid w:val="04E84EDA"/>
    <w:rsid w:val="04F46366"/>
    <w:rsid w:val="04F84686"/>
    <w:rsid w:val="05116327"/>
    <w:rsid w:val="052B1D1F"/>
    <w:rsid w:val="0539528A"/>
    <w:rsid w:val="055A6E88"/>
    <w:rsid w:val="056C5D00"/>
    <w:rsid w:val="059D41A7"/>
    <w:rsid w:val="05A54D50"/>
    <w:rsid w:val="05AD271F"/>
    <w:rsid w:val="05BC3CFD"/>
    <w:rsid w:val="05BF4219"/>
    <w:rsid w:val="05C3752B"/>
    <w:rsid w:val="05EF50DB"/>
    <w:rsid w:val="05F61DC0"/>
    <w:rsid w:val="06053351"/>
    <w:rsid w:val="06112E28"/>
    <w:rsid w:val="061C4BF2"/>
    <w:rsid w:val="061C783B"/>
    <w:rsid w:val="06307AFA"/>
    <w:rsid w:val="063C53CF"/>
    <w:rsid w:val="064F6047"/>
    <w:rsid w:val="06572737"/>
    <w:rsid w:val="06591ACD"/>
    <w:rsid w:val="065D7E9A"/>
    <w:rsid w:val="065E178A"/>
    <w:rsid w:val="0661044B"/>
    <w:rsid w:val="06865964"/>
    <w:rsid w:val="06882290"/>
    <w:rsid w:val="06905D2D"/>
    <w:rsid w:val="069F10B3"/>
    <w:rsid w:val="06A20FD0"/>
    <w:rsid w:val="06A66FD6"/>
    <w:rsid w:val="06A84694"/>
    <w:rsid w:val="06B10787"/>
    <w:rsid w:val="06C473B8"/>
    <w:rsid w:val="06C527F7"/>
    <w:rsid w:val="06D17B5E"/>
    <w:rsid w:val="06DB7277"/>
    <w:rsid w:val="06F0203F"/>
    <w:rsid w:val="06FC5CCC"/>
    <w:rsid w:val="0716510C"/>
    <w:rsid w:val="075F3048"/>
    <w:rsid w:val="076B78B4"/>
    <w:rsid w:val="077C2971"/>
    <w:rsid w:val="07B0383B"/>
    <w:rsid w:val="07B92703"/>
    <w:rsid w:val="07D34D91"/>
    <w:rsid w:val="07D944BA"/>
    <w:rsid w:val="07F522E5"/>
    <w:rsid w:val="082549AA"/>
    <w:rsid w:val="08425A3C"/>
    <w:rsid w:val="086609A3"/>
    <w:rsid w:val="08667F5C"/>
    <w:rsid w:val="08696A42"/>
    <w:rsid w:val="087C141C"/>
    <w:rsid w:val="089B4514"/>
    <w:rsid w:val="08AB4D4A"/>
    <w:rsid w:val="08BC60C7"/>
    <w:rsid w:val="08E935C7"/>
    <w:rsid w:val="08F44B21"/>
    <w:rsid w:val="08FD4A25"/>
    <w:rsid w:val="08FF680A"/>
    <w:rsid w:val="090B3E43"/>
    <w:rsid w:val="090E2033"/>
    <w:rsid w:val="090E257D"/>
    <w:rsid w:val="091B4B03"/>
    <w:rsid w:val="09271D76"/>
    <w:rsid w:val="09393CFE"/>
    <w:rsid w:val="093D65F9"/>
    <w:rsid w:val="094C1B1E"/>
    <w:rsid w:val="096D5240"/>
    <w:rsid w:val="09717D05"/>
    <w:rsid w:val="09837EDD"/>
    <w:rsid w:val="09860AE4"/>
    <w:rsid w:val="09954C4F"/>
    <w:rsid w:val="09CB6BD4"/>
    <w:rsid w:val="09E22DD3"/>
    <w:rsid w:val="09F366FB"/>
    <w:rsid w:val="0A093333"/>
    <w:rsid w:val="0A4E6ADF"/>
    <w:rsid w:val="0A7A3461"/>
    <w:rsid w:val="0A7C5A92"/>
    <w:rsid w:val="0A8825F8"/>
    <w:rsid w:val="0A997A80"/>
    <w:rsid w:val="0A9F50FA"/>
    <w:rsid w:val="0AB5766B"/>
    <w:rsid w:val="0ABA4A9B"/>
    <w:rsid w:val="0AD7131A"/>
    <w:rsid w:val="0ADD0481"/>
    <w:rsid w:val="0AE07B34"/>
    <w:rsid w:val="0B19795D"/>
    <w:rsid w:val="0B465E99"/>
    <w:rsid w:val="0B791D2C"/>
    <w:rsid w:val="0B7B2806"/>
    <w:rsid w:val="0B890AE3"/>
    <w:rsid w:val="0BAC0987"/>
    <w:rsid w:val="0BAE7E6F"/>
    <w:rsid w:val="0BD84E9C"/>
    <w:rsid w:val="0BFB199D"/>
    <w:rsid w:val="0C1F66BA"/>
    <w:rsid w:val="0C2F5BBC"/>
    <w:rsid w:val="0C47113C"/>
    <w:rsid w:val="0C554CD4"/>
    <w:rsid w:val="0C5A50D1"/>
    <w:rsid w:val="0C737C72"/>
    <w:rsid w:val="0C9B6818"/>
    <w:rsid w:val="0CAB592C"/>
    <w:rsid w:val="0CB55D56"/>
    <w:rsid w:val="0CBF2009"/>
    <w:rsid w:val="0CC64BE1"/>
    <w:rsid w:val="0CFB4E95"/>
    <w:rsid w:val="0D0008B3"/>
    <w:rsid w:val="0D257BAB"/>
    <w:rsid w:val="0D3962CB"/>
    <w:rsid w:val="0D3F5BD3"/>
    <w:rsid w:val="0D761EE1"/>
    <w:rsid w:val="0D7B0F69"/>
    <w:rsid w:val="0DBA228C"/>
    <w:rsid w:val="0DE5077B"/>
    <w:rsid w:val="0DFF41E0"/>
    <w:rsid w:val="0E04108A"/>
    <w:rsid w:val="0E044CC4"/>
    <w:rsid w:val="0E0C6297"/>
    <w:rsid w:val="0E105BF3"/>
    <w:rsid w:val="0E195491"/>
    <w:rsid w:val="0E39216B"/>
    <w:rsid w:val="0E41533A"/>
    <w:rsid w:val="0E4D0283"/>
    <w:rsid w:val="0E4D557E"/>
    <w:rsid w:val="0E51587A"/>
    <w:rsid w:val="0E5F3C85"/>
    <w:rsid w:val="0E796E76"/>
    <w:rsid w:val="0E9F3C3F"/>
    <w:rsid w:val="0EA85939"/>
    <w:rsid w:val="0ED155C0"/>
    <w:rsid w:val="0ED67DFD"/>
    <w:rsid w:val="0ED8250B"/>
    <w:rsid w:val="0EF15072"/>
    <w:rsid w:val="0F02273B"/>
    <w:rsid w:val="0F08031A"/>
    <w:rsid w:val="0F1A5F34"/>
    <w:rsid w:val="0F1C6E25"/>
    <w:rsid w:val="0F750DA5"/>
    <w:rsid w:val="0F9E4A90"/>
    <w:rsid w:val="0FAD1FDD"/>
    <w:rsid w:val="0FBA435D"/>
    <w:rsid w:val="0FD247F6"/>
    <w:rsid w:val="0FDA3A0B"/>
    <w:rsid w:val="0FDB4509"/>
    <w:rsid w:val="0FE547F8"/>
    <w:rsid w:val="0FF23003"/>
    <w:rsid w:val="0FF86EFF"/>
    <w:rsid w:val="10003FA1"/>
    <w:rsid w:val="100E1098"/>
    <w:rsid w:val="100F4416"/>
    <w:rsid w:val="102031B5"/>
    <w:rsid w:val="10237351"/>
    <w:rsid w:val="103C4EA6"/>
    <w:rsid w:val="105520FC"/>
    <w:rsid w:val="10602766"/>
    <w:rsid w:val="106D2E19"/>
    <w:rsid w:val="107F4530"/>
    <w:rsid w:val="108E0DA2"/>
    <w:rsid w:val="10AA5287"/>
    <w:rsid w:val="10B4100A"/>
    <w:rsid w:val="10B61F68"/>
    <w:rsid w:val="10CA62BD"/>
    <w:rsid w:val="10E51488"/>
    <w:rsid w:val="10FE042C"/>
    <w:rsid w:val="11087761"/>
    <w:rsid w:val="110E5C98"/>
    <w:rsid w:val="112027BC"/>
    <w:rsid w:val="11266001"/>
    <w:rsid w:val="112759C0"/>
    <w:rsid w:val="114455F1"/>
    <w:rsid w:val="114737A2"/>
    <w:rsid w:val="114A0944"/>
    <w:rsid w:val="114E034C"/>
    <w:rsid w:val="1152294B"/>
    <w:rsid w:val="118A3AF2"/>
    <w:rsid w:val="11A95EA4"/>
    <w:rsid w:val="11BE5562"/>
    <w:rsid w:val="11C91566"/>
    <w:rsid w:val="11DD0CF4"/>
    <w:rsid w:val="11F6068B"/>
    <w:rsid w:val="120A2003"/>
    <w:rsid w:val="120B378A"/>
    <w:rsid w:val="121711C6"/>
    <w:rsid w:val="12182E5C"/>
    <w:rsid w:val="121D5654"/>
    <w:rsid w:val="121D5718"/>
    <w:rsid w:val="1246095B"/>
    <w:rsid w:val="125A33AE"/>
    <w:rsid w:val="125A7115"/>
    <w:rsid w:val="126B78F0"/>
    <w:rsid w:val="12862542"/>
    <w:rsid w:val="129F2779"/>
    <w:rsid w:val="12C0288D"/>
    <w:rsid w:val="12DA6734"/>
    <w:rsid w:val="12E15D2C"/>
    <w:rsid w:val="12E96CD3"/>
    <w:rsid w:val="12F66F40"/>
    <w:rsid w:val="12FA2830"/>
    <w:rsid w:val="12FF32A6"/>
    <w:rsid w:val="13054165"/>
    <w:rsid w:val="13097D67"/>
    <w:rsid w:val="131C5BF7"/>
    <w:rsid w:val="13311ADB"/>
    <w:rsid w:val="1338272F"/>
    <w:rsid w:val="13667E37"/>
    <w:rsid w:val="13A204A8"/>
    <w:rsid w:val="13A35A70"/>
    <w:rsid w:val="13C567A4"/>
    <w:rsid w:val="13C66017"/>
    <w:rsid w:val="13C93DDA"/>
    <w:rsid w:val="13DC0DD6"/>
    <w:rsid w:val="13EF6B53"/>
    <w:rsid w:val="13FA6990"/>
    <w:rsid w:val="14035873"/>
    <w:rsid w:val="140D0C71"/>
    <w:rsid w:val="14134906"/>
    <w:rsid w:val="14170D9F"/>
    <w:rsid w:val="14433FA2"/>
    <w:rsid w:val="145E1FCA"/>
    <w:rsid w:val="148443CB"/>
    <w:rsid w:val="14D43911"/>
    <w:rsid w:val="14F06083"/>
    <w:rsid w:val="15001404"/>
    <w:rsid w:val="1506035E"/>
    <w:rsid w:val="1508582D"/>
    <w:rsid w:val="150A4094"/>
    <w:rsid w:val="152D25A9"/>
    <w:rsid w:val="15582769"/>
    <w:rsid w:val="155A7D84"/>
    <w:rsid w:val="157237A3"/>
    <w:rsid w:val="15776E62"/>
    <w:rsid w:val="1587526D"/>
    <w:rsid w:val="158E0C15"/>
    <w:rsid w:val="15A22A99"/>
    <w:rsid w:val="15C54BA9"/>
    <w:rsid w:val="15CD7A7D"/>
    <w:rsid w:val="15FC4869"/>
    <w:rsid w:val="16172939"/>
    <w:rsid w:val="161B324F"/>
    <w:rsid w:val="16222B53"/>
    <w:rsid w:val="163250A0"/>
    <w:rsid w:val="16366366"/>
    <w:rsid w:val="164232AB"/>
    <w:rsid w:val="165F5BCB"/>
    <w:rsid w:val="16713EC1"/>
    <w:rsid w:val="168B14B4"/>
    <w:rsid w:val="169D6926"/>
    <w:rsid w:val="16AB1CE1"/>
    <w:rsid w:val="16AD1027"/>
    <w:rsid w:val="16C0251F"/>
    <w:rsid w:val="16D31901"/>
    <w:rsid w:val="16D91A40"/>
    <w:rsid w:val="170301BA"/>
    <w:rsid w:val="170A207C"/>
    <w:rsid w:val="17132D16"/>
    <w:rsid w:val="17186E1E"/>
    <w:rsid w:val="172F705C"/>
    <w:rsid w:val="17443D5A"/>
    <w:rsid w:val="17561A3A"/>
    <w:rsid w:val="17583309"/>
    <w:rsid w:val="17937BB1"/>
    <w:rsid w:val="17A901CD"/>
    <w:rsid w:val="17AB7800"/>
    <w:rsid w:val="17B82958"/>
    <w:rsid w:val="17CF0039"/>
    <w:rsid w:val="17DA4E6E"/>
    <w:rsid w:val="17DF7490"/>
    <w:rsid w:val="17E32295"/>
    <w:rsid w:val="17EF16C5"/>
    <w:rsid w:val="17F17DD6"/>
    <w:rsid w:val="18187665"/>
    <w:rsid w:val="18193843"/>
    <w:rsid w:val="184947BC"/>
    <w:rsid w:val="18542151"/>
    <w:rsid w:val="18711F8F"/>
    <w:rsid w:val="18A5651D"/>
    <w:rsid w:val="18AD6465"/>
    <w:rsid w:val="18B13502"/>
    <w:rsid w:val="18BE7AB5"/>
    <w:rsid w:val="18CE0155"/>
    <w:rsid w:val="18D243D0"/>
    <w:rsid w:val="18D3075B"/>
    <w:rsid w:val="18DD3697"/>
    <w:rsid w:val="18F4007C"/>
    <w:rsid w:val="18F73FB3"/>
    <w:rsid w:val="18F84EF1"/>
    <w:rsid w:val="1923119F"/>
    <w:rsid w:val="19341EB2"/>
    <w:rsid w:val="19353015"/>
    <w:rsid w:val="194E3639"/>
    <w:rsid w:val="195713B1"/>
    <w:rsid w:val="19A318EA"/>
    <w:rsid w:val="19BF69EC"/>
    <w:rsid w:val="19C44B61"/>
    <w:rsid w:val="19E06BC5"/>
    <w:rsid w:val="1A210E16"/>
    <w:rsid w:val="1A272CC3"/>
    <w:rsid w:val="1A277332"/>
    <w:rsid w:val="1A2A32A9"/>
    <w:rsid w:val="1A2B1C19"/>
    <w:rsid w:val="1A3E23C4"/>
    <w:rsid w:val="1A482AE4"/>
    <w:rsid w:val="1A7B14D7"/>
    <w:rsid w:val="1A7F07B1"/>
    <w:rsid w:val="1A857898"/>
    <w:rsid w:val="1A947B31"/>
    <w:rsid w:val="1A953A14"/>
    <w:rsid w:val="1AA0174D"/>
    <w:rsid w:val="1AA34CD2"/>
    <w:rsid w:val="1AB037C1"/>
    <w:rsid w:val="1ADD4CC6"/>
    <w:rsid w:val="1AF44046"/>
    <w:rsid w:val="1AFB2EAA"/>
    <w:rsid w:val="1B0D1DB4"/>
    <w:rsid w:val="1B0F0B91"/>
    <w:rsid w:val="1B107997"/>
    <w:rsid w:val="1B3F41AD"/>
    <w:rsid w:val="1B556FB3"/>
    <w:rsid w:val="1B632ED3"/>
    <w:rsid w:val="1B7063E9"/>
    <w:rsid w:val="1B710E24"/>
    <w:rsid w:val="1B96135B"/>
    <w:rsid w:val="1BA1005F"/>
    <w:rsid w:val="1BB45ABA"/>
    <w:rsid w:val="1BB82523"/>
    <w:rsid w:val="1BBF0F32"/>
    <w:rsid w:val="1BC33A41"/>
    <w:rsid w:val="1BCA7054"/>
    <w:rsid w:val="1C01155D"/>
    <w:rsid w:val="1C0416D2"/>
    <w:rsid w:val="1C0F6D2D"/>
    <w:rsid w:val="1C2343D9"/>
    <w:rsid w:val="1C323549"/>
    <w:rsid w:val="1C326919"/>
    <w:rsid w:val="1C454918"/>
    <w:rsid w:val="1C584216"/>
    <w:rsid w:val="1C622D8F"/>
    <w:rsid w:val="1C6B4377"/>
    <w:rsid w:val="1C741D30"/>
    <w:rsid w:val="1C7A3EAD"/>
    <w:rsid w:val="1C906DC5"/>
    <w:rsid w:val="1CA560E4"/>
    <w:rsid w:val="1CB94D22"/>
    <w:rsid w:val="1CC50C71"/>
    <w:rsid w:val="1CE66BB0"/>
    <w:rsid w:val="1CE73909"/>
    <w:rsid w:val="1CF00155"/>
    <w:rsid w:val="1CFE0730"/>
    <w:rsid w:val="1D0D1090"/>
    <w:rsid w:val="1D2016F1"/>
    <w:rsid w:val="1D3F1CB2"/>
    <w:rsid w:val="1D67682B"/>
    <w:rsid w:val="1D8336E8"/>
    <w:rsid w:val="1D9269B7"/>
    <w:rsid w:val="1DC13F45"/>
    <w:rsid w:val="1DCD138C"/>
    <w:rsid w:val="1DD91E21"/>
    <w:rsid w:val="1DDF5FD1"/>
    <w:rsid w:val="1E037946"/>
    <w:rsid w:val="1E173960"/>
    <w:rsid w:val="1E2C5C0C"/>
    <w:rsid w:val="1E35174A"/>
    <w:rsid w:val="1E3C2C01"/>
    <w:rsid w:val="1E416B7D"/>
    <w:rsid w:val="1E4E4C70"/>
    <w:rsid w:val="1E4E5D5F"/>
    <w:rsid w:val="1E5F3ADD"/>
    <w:rsid w:val="1E6C1BA1"/>
    <w:rsid w:val="1E7874B9"/>
    <w:rsid w:val="1E7D01C6"/>
    <w:rsid w:val="1E8331C2"/>
    <w:rsid w:val="1E8A169F"/>
    <w:rsid w:val="1EA16BB5"/>
    <w:rsid w:val="1EAD380F"/>
    <w:rsid w:val="1EBD7556"/>
    <w:rsid w:val="1EE533FD"/>
    <w:rsid w:val="1EF15714"/>
    <w:rsid w:val="1F1072CE"/>
    <w:rsid w:val="1F39120A"/>
    <w:rsid w:val="1F493686"/>
    <w:rsid w:val="1F572AA7"/>
    <w:rsid w:val="1F5E375C"/>
    <w:rsid w:val="1F8173E8"/>
    <w:rsid w:val="1F835FBD"/>
    <w:rsid w:val="1FAC4C22"/>
    <w:rsid w:val="1FB830CC"/>
    <w:rsid w:val="1FB94118"/>
    <w:rsid w:val="1FC83A22"/>
    <w:rsid w:val="1FCE6121"/>
    <w:rsid w:val="1FE24B70"/>
    <w:rsid w:val="1FFB410B"/>
    <w:rsid w:val="200647F1"/>
    <w:rsid w:val="2012007E"/>
    <w:rsid w:val="20262A1C"/>
    <w:rsid w:val="205F458E"/>
    <w:rsid w:val="206D1C29"/>
    <w:rsid w:val="20760051"/>
    <w:rsid w:val="207D6C5F"/>
    <w:rsid w:val="209C0A13"/>
    <w:rsid w:val="20B004E9"/>
    <w:rsid w:val="20BA5699"/>
    <w:rsid w:val="20C44052"/>
    <w:rsid w:val="20EA2768"/>
    <w:rsid w:val="20EF0171"/>
    <w:rsid w:val="21143959"/>
    <w:rsid w:val="211551C9"/>
    <w:rsid w:val="213B0094"/>
    <w:rsid w:val="214507B8"/>
    <w:rsid w:val="21455A68"/>
    <w:rsid w:val="2169329B"/>
    <w:rsid w:val="217C30B8"/>
    <w:rsid w:val="218213F5"/>
    <w:rsid w:val="21877E11"/>
    <w:rsid w:val="2197263B"/>
    <w:rsid w:val="21976211"/>
    <w:rsid w:val="21976DB6"/>
    <w:rsid w:val="21D200D1"/>
    <w:rsid w:val="21F815B3"/>
    <w:rsid w:val="21FA1E57"/>
    <w:rsid w:val="22274CD0"/>
    <w:rsid w:val="22306409"/>
    <w:rsid w:val="223410C0"/>
    <w:rsid w:val="22354082"/>
    <w:rsid w:val="2259446C"/>
    <w:rsid w:val="22935CBD"/>
    <w:rsid w:val="22A24213"/>
    <w:rsid w:val="22A85AC7"/>
    <w:rsid w:val="22AC3D45"/>
    <w:rsid w:val="22B277E8"/>
    <w:rsid w:val="22B57C83"/>
    <w:rsid w:val="22C167FF"/>
    <w:rsid w:val="22E07E81"/>
    <w:rsid w:val="22FA3F18"/>
    <w:rsid w:val="23245C82"/>
    <w:rsid w:val="23382E9C"/>
    <w:rsid w:val="23453994"/>
    <w:rsid w:val="23460875"/>
    <w:rsid w:val="235F6AAC"/>
    <w:rsid w:val="236321DE"/>
    <w:rsid w:val="23C93D0A"/>
    <w:rsid w:val="23D42A83"/>
    <w:rsid w:val="23D87A20"/>
    <w:rsid w:val="23E2432E"/>
    <w:rsid w:val="23EE268E"/>
    <w:rsid w:val="24016480"/>
    <w:rsid w:val="24212005"/>
    <w:rsid w:val="24223A0C"/>
    <w:rsid w:val="24232396"/>
    <w:rsid w:val="242D5851"/>
    <w:rsid w:val="2438058A"/>
    <w:rsid w:val="2440656C"/>
    <w:rsid w:val="24574854"/>
    <w:rsid w:val="2478174F"/>
    <w:rsid w:val="24796E4B"/>
    <w:rsid w:val="248C34DD"/>
    <w:rsid w:val="24DA2156"/>
    <w:rsid w:val="250D13DF"/>
    <w:rsid w:val="250E3366"/>
    <w:rsid w:val="25125471"/>
    <w:rsid w:val="254325C5"/>
    <w:rsid w:val="25553DFF"/>
    <w:rsid w:val="25726B4B"/>
    <w:rsid w:val="25891165"/>
    <w:rsid w:val="25927C87"/>
    <w:rsid w:val="25990CCE"/>
    <w:rsid w:val="259B751C"/>
    <w:rsid w:val="25A60633"/>
    <w:rsid w:val="25AB0544"/>
    <w:rsid w:val="25B43E0F"/>
    <w:rsid w:val="25CF19BF"/>
    <w:rsid w:val="25DB731A"/>
    <w:rsid w:val="25E71A51"/>
    <w:rsid w:val="25F520C9"/>
    <w:rsid w:val="26092D67"/>
    <w:rsid w:val="261477E6"/>
    <w:rsid w:val="26163346"/>
    <w:rsid w:val="261E4839"/>
    <w:rsid w:val="262771E8"/>
    <w:rsid w:val="269538C8"/>
    <w:rsid w:val="26C474B2"/>
    <w:rsid w:val="27077B27"/>
    <w:rsid w:val="27092B35"/>
    <w:rsid w:val="2711019A"/>
    <w:rsid w:val="27626837"/>
    <w:rsid w:val="27646CAC"/>
    <w:rsid w:val="2768351B"/>
    <w:rsid w:val="27770037"/>
    <w:rsid w:val="27AF410A"/>
    <w:rsid w:val="27B562FC"/>
    <w:rsid w:val="27CE0A63"/>
    <w:rsid w:val="27CF1789"/>
    <w:rsid w:val="27DC190B"/>
    <w:rsid w:val="27E2383A"/>
    <w:rsid w:val="27EE0B7D"/>
    <w:rsid w:val="281019A1"/>
    <w:rsid w:val="282D3971"/>
    <w:rsid w:val="284E2389"/>
    <w:rsid w:val="286C01E5"/>
    <w:rsid w:val="28737BF7"/>
    <w:rsid w:val="287668E8"/>
    <w:rsid w:val="287D2F58"/>
    <w:rsid w:val="288150A2"/>
    <w:rsid w:val="28A071F0"/>
    <w:rsid w:val="28A12E63"/>
    <w:rsid w:val="28A9465D"/>
    <w:rsid w:val="28AC7074"/>
    <w:rsid w:val="28AE41F3"/>
    <w:rsid w:val="28AF4843"/>
    <w:rsid w:val="28D65809"/>
    <w:rsid w:val="28E13A6F"/>
    <w:rsid w:val="28E4439A"/>
    <w:rsid w:val="28FB01C1"/>
    <w:rsid w:val="28FB6798"/>
    <w:rsid w:val="28FF03D7"/>
    <w:rsid w:val="29247400"/>
    <w:rsid w:val="292E5F5A"/>
    <w:rsid w:val="2939758F"/>
    <w:rsid w:val="294A20AA"/>
    <w:rsid w:val="295F0D8C"/>
    <w:rsid w:val="29612685"/>
    <w:rsid w:val="297C0EBE"/>
    <w:rsid w:val="29950B40"/>
    <w:rsid w:val="29957030"/>
    <w:rsid w:val="299A66CF"/>
    <w:rsid w:val="29CC45A2"/>
    <w:rsid w:val="29D94640"/>
    <w:rsid w:val="29F97880"/>
    <w:rsid w:val="2A1C23F6"/>
    <w:rsid w:val="2A2116DA"/>
    <w:rsid w:val="2A2B1AB5"/>
    <w:rsid w:val="2A3E5225"/>
    <w:rsid w:val="2A4C521F"/>
    <w:rsid w:val="2A5F3C97"/>
    <w:rsid w:val="2A763AA6"/>
    <w:rsid w:val="2A78609E"/>
    <w:rsid w:val="2A786559"/>
    <w:rsid w:val="2AA20C02"/>
    <w:rsid w:val="2AB343A2"/>
    <w:rsid w:val="2AB34DA1"/>
    <w:rsid w:val="2AB72C10"/>
    <w:rsid w:val="2ABF6D63"/>
    <w:rsid w:val="2ACB513C"/>
    <w:rsid w:val="2AD54309"/>
    <w:rsid w:val="2AD83F9A"/>
    <w:rsid w:val="2ADB3043"/>
    <w:rsid w:val="2AE31BC5"/>
    <w:rsid w:val="2AE3363D"/>
    <w:rsid w:val="2AEF1ECF"/>
    <w:rsid w:val="2AF67178"/>
    <w:rsid w:val="2B054E69"/>
    <w:rsid w:val="2B1719AC"/>
    <w:rsid w:val="2B326E03"/>
    <w:rsid w:val="2B4A366C"/>
    <w:rsid w:val="2B4E27BE"/>
    <w:rsid w:val="2B8D50C4"/>
    <w:rsid w:val="2B944EF0"/>
    <w:rsid w:val="2BB46DD1"/>
    <w:rsid w:val="2BB57E2C"/>
    <w:rsid w:val="2BD6753B"/>
    <w:rsid w:val="2BE1225E"/>
    <w:rsid w:val="2C183C1C"/>
    <w:rsid w:val="2C3F319A"/>
    <w:rsid w:val="2C4D58BE"/>
    <w:rsid w:val="2C545341"/>
    <w:rsid w:val="2C5B1168"/>
    <w:rsid w:val="2C684E25"/>
    <w:rsid w:val="2C706E9A"/>
    <w:rsid w:val="2C7D5EC0"/>
    <w:rsid w:val="2C8A31A1"/>
    <w:rsid w:val="2C901151"/>
    <w:rsid w:val="2C913860"/>
    <w:rsid w:val="2C9B41E0"/>
    <w:rsid w:val="2CBD19C5"/>
    <w:rsid w:val="2CD167FA"/>
    <w:rsid w:val="2CD44F78"/>
    <w:rsid w:val="2CF10740"/>
    <w:rsid w:val="2D0810CF"/>
    <w:rsid w:val="2D5A19DD"/>
    <w:rsid w:val="2D5F03FB"/>
    <w:rsid w:val="2D6241D4"/>
    <w:rsid w:val="2D6F6E32"/>
    <w:rsid w:val="2D767537"/>
    <w:rsid w:val="2D953660"/>
    <w:rsid w:val="2D971F25"/>
    <w:rsid w:val="2D9B51A1"/>
    <w:rsid w:val="2DCE6E3A"/>
    <w:rsid w:val="2DD605DF"/>
    <w:rsid w:val="2DE76500"/>
    <w:rsid w:val="2DED2776"/>
    <w:rsid w:val="2DFD40DE"/>
    <w:rsid w:val="2E4A5229"/>
    <w:rsid w:val="2E4B647B"/>
    <w:rsid w:val="2E587985"/>
    <w:rsid w:val="2E645CB2"/>
    <w:rsid w:val="2EB25083"/>
    <w:rsid w:val="2EB85AB7"/>
    <w:rsid w:val="2EE648FA"/>
    <w:rsid w:val="2EEF0636"/>
    <w:rsid w:val="2EF21FBE"/>
    <w:rsid w:val="2EF93D53"/>
    <w:rsid w:val="2EFD1C00"/>
    <w:rsid w:val="2F186160"/>
    <w:rsid w:val="2F1A09D9"/>
    <w:rsid w:val="2F314BF8"/>
    <w:rsid w:val="2F482582"/>
    <w:rsid w:val="2F823D36"/>
    <w:rsid w:val="2F8C1236"/>
    <w:rsid w:val="2FA1714B"/>
    <w:rsid w:val="2FA70BB6"/>
    <w:rsid w:val="2FB97354"/>
    <w:rsid w:val="2FBC724E"/>
    <w:rsid w:val="2FCE1959"/>
    <w:rsid w:val="2FCE4878"/>
    <w:rsid w:val="2FDA3DE1"/>
    <w:rsid w:val="2FFA258C"/>
    <w:rsid w:val="30037D70"/>
    <w:rsid w:val="30143149"/>
    <w:rsid w:val="30173945"/>
    <w:rsid w:val="302A7C18"/>
    <w:rsid w:val="303C7453"/>
    <w:rsid w:val="3044102D"/>
    <w:rsid w:val="30514CCA"/>
    <w:rsid w:val="307011AD"/>
    <w:rsid w:val="3071041C"/>
    <w:rsid w:val="307D73D4"/>
    <w:rsid w:val="30810F18"/>
    <w:rsid w:val="30870C57"/>
    <w:rsid w:val="308D1155"/>
    <w:rsid w:val="30AF37A9"/>
    <w:rsid w:val="30BC4271"/>
    <w:rsid w:val="30BD6E18"/>
    <w:rsid w:val="30DB467D"/>
    <w:rsid w:val="30F355F6"/>
    <w:rsid w:val="30FB6A79"/>
    <w:rsid w:val="3101179F"/>
    <w:rsid w:val="31087EA4"/>
    <w:rsid w:val="310956B4"/>
    <w:rsid w:val="31123263"/>
    <w:rsid w:val="313A2F64"/>
    <w:rsid w:val="314D1DC1"/>
    <w:rsid w:val="3194147F"/>
    <w:rsid w:val="31AC5F10"/>
    <w:rsid w:val="31AE4FE0"/>
    <w:rsid w:val="31BC6BA3"/>
    <w:rsid w:val="31D92E60"/>
    <w:rsid w:val="31DC581C"/>
    <w:rsid w:val="31F06E0D"/>
    <w:rsid w:val="31FB3C61"/>
    <w:rsid w:val="3238378D"/>
    <w:rsid w:val="32447DEF"/>
    <w:rsid w:val="32523121"/>
    <w:rsid w:val="3267636A"/>
    <w:rsid w:val="32950314"/>
    <w:rsid w:val="32A5315A"/>
    <w:rsid w:val="32C558A2"/>
    <w:rsid w:val="32E11149"/>
    <w:rsid w:val="33490657"/>
    <w:rsid w:val="33584539"/>
    <w:rsid w:val="3373204D"/>
    <w:rsid w:val="338458CA"/>
    <w:rsid w:val="33972570"/>
    <w:rsid w:val="33991E2E"/>
    <w:rsid w:val="33CD4359"/>
    <w:rsid w:val="33F11709"/>
    <w:rsid w:val="34041906"/>
    <w:rsid w:val="341B4367"/>
    <w:rsid w:val="34220502"/>
    <w:rsid w:val="343637B0"/>
    <w:rsid w:val="344555F7"/>
    <w:rsid w:val="345F2EEC"/>
    <w:rsid w:val="345F74D1"/>
    <w:rsid w:val="3462287D"/>
    <w:rsid w:val="346267D2"/>
    <w:rsid w:val="34807370"/>
    <w:rsid w:val="348B293E"/>
    <w:rsid w:val="34AB54AE"/>
    <w:rsid w:val="34C62958"/>
    <w:rsid w:val="34D06027"/>
    <w:rsid w:val="34D7565E"/>
    <w:rsid w:val="34D81867"/>
    <w:rsid w:val="351826A8"/>
    <w:rsid w:val="351B4B58"/>
    <w:rsid w:val="353C616A"/>
    <w:rsid w:val="355F2B99"/>
    <w:rsid w:val="357C719D"/>
    <w:rsid w:val="35AF0469"/>
    <w:rsid w:val="35B37426"/>
    <w:rsid w:val="35DD5B14"/>
    <w:rsid w:val="35F20384"/>
    <w:rsid w:val="35F56318"/>
    <w:rsid w:val="361F02B7"/>
    <w:rsid w:val="3623699B"/>
    <w:rsid w:val="362617B4"/>
    <w:rsid w:val="36292081"/>
    <w:rsid w:val="362A455D"/>
    <w:rsid w:val="362D60BE"/>
    <w:rsid w:val="36347D38"/>
    <w:rsid w:val="36366D57"/>
    <w:rsid w:val="364E70FE"/>
    <w:rsid w:val="36671EF6"/>
    <w:rsid w:val="36856749"/>
    <w:rsid w:val="36971D1D"/>
    <w:rsid w:val="371E4119"/>
    <w:rsid w:val="37371590"/>
    <w:rsid w:val="3772459F"/>
    <w:rsid w:val="37755625"/>
    <w:rsid w:val="3779045C"/>
    <w:rsid w:val="37D73BC2"/>
    <w:rsid w:val="37F94F7C"/>
    <w:rsid w:val="37FA40EA"/>
    <w:rsid w:val="37FB749B"/>
    <w:rsid w:val="382B5FF7"/>
    <w:rsid w:val="382D0657"/>
    <w:rsid w:val="386E0EDE"/>
    <w:rsid w:val="387901DB"/>
    <w:rsid w:val="3879483D"/>
    <w:rsid w:val="38AB3521"/>
    <w:rsid w:val="38CD7279"/>
    <w:rsid w:val="38DB5B9C"/>
    <w:rsid w:val="38DC78C6"/>
    <w:rsid w:val="38EF1FA3"/>
    <w:rsid w:val="39005C66"/>
    <w:rsid w:val="39066503"/>
    <w:rsid w:val="391D43F7"/>
    <w:rsid w:val="392454CE"/>
    <w:rsid w:val="393258C9"/>
    <w:rsid w:val="39361CA9"/>
    <w:rsid w:val="39395E22"/>
    <w:rsid w:val="397B4E59"/>
    <w:rsid w:val="39805B70"/>
    <w:rsid w:val="39932283"/>
    <w:rsid w:val="39A90681"/>
    <w:rsid w:val="39AC1706"/>
    <w:rsid w:val="39B67539"/>
    <w:rsid w:val="39BA3B73"/>
    <w:rsid w:val="39C91E52"/>
    <w:rsid w:val="39D16877"/>
    <w:rsid w:val="39E96CCF"/>
    <w:rsid w:val="3A0B3CCB"/>
    <w:rsid w:val="3A21798B"/>
    <w:rsid w:val="3A230FCD"/>
    <w:rsid w:val="3A260B5D"/>
    <w:rsid w:val="3A340431"/>
    <w:rsid w:val="3A514E90"/>
    <w:rsid w:val="3A614757"/>
    <w:rsid w:val="3A6176D5"/>
    <w:rsid w:val="3A67679F"/>
    <w:rsid w:val="3AA85842"/>
    <w:rsid w:val="3ACA53AD"/>
    <w:rsid w:val="3B010E9A"/>
    <w:rsid w:val="3B06514F"/>
    <w:rsid w:val="3B075D0F"/>
    <w:rsid w:val="3B0A0A6D"/>
    <w:rsid w:val="3B0B1ED5"/>
    <w:rsid w:val="3B0B35DD"/>
    <w:rsid w:val="3B273D2B"/>
    <w:rsid w:val="3B35228E"/>
    <w:rsid w:val="3B485274"/>
    <w:rsid w:val="3B5154AF"/>
    <w:rsid w:val="3B6C3DDA"/>
    <w:rsid w:val="3B834CA8"/>
    <w:rsid w:val="3BAA3736"/>
    <w:rsid w:val="3BB71960"/>
    <w:rsid w:val="3BE33E99"/>
    <w:rsid w:val="3BE64019"/>
    <w:rsid w:val="3BED4334"/>
    <w:rsid w:val="3BF4655C"/>
    <w:rsid w:val="3BF602BB"/>
    <w:rsid w:val="3C174DE4"/>
    <w:rsid w:val="3C1C661A"/>
    <w:rsid w:val="3C2D27B1"/>
    <w:rsid w:val="3C3C56A6"/>
    <w:rsid w:val="3C894169"/>
    <w:rsid w:val="3C8D33ED"/>
    <w:rsid w:val="3C9B0E55"/>
    <w:rsid w:val="3CA23E02"/>
    <w:rsid w:val="3CB16702"/>
    <w:rsid w:val="3CB641A6"/>
    <w:rsid w:val="3CC93C4F"/>
    <w:rsid w:val="3CCA0991"/>
    <w:rsid w:val="3CE5129F"/>
    <w:rsid w:val="3CF65871"/>
    <w:rsid w:val="3D095F92"/>
    <w:rsid w:val="3D373C1F"/>
    <w:rsid w:val="3D4B78B7"/>
    <w:rsid w:val="3D5A140B"/>
    <w:rsid w:val="3D5D1A97"/>
    <w:rsid w:val="3D627D45"/>
    <w:rsid w:val="3D742B3E"/>
    <w:rsid w:val="3D7C4D98"/>
    <w:rsid w:val="3D825603"/>
    <w:rsid w:val="3D9C4D4A"/>
    <w:rsid w:val="3D9F1E8F"/>
    <w:rsid w:val="3DA821F1"/>
    <w:rsid w:val="3DAA6C69"/>
    <w:rsid w:val="3DAC4E4D"/>
    <w:rsid w:val="3DB06006"/>
    <w:rsid w:val="3DB60615"/>
    <w:rsid w:val="3DC750E2"/>
    <w:rsid w:val="3DCF6197"/>
    <w:rsid w:val="3DD568A8"/>
    <w:rsid w:val="3DDB4C0A"/>
    <w:rsid w:val="3DEA64F4"/>
    <w:rsid w:val="3DF52DE2"/>
    <w:rsid w:val="3E070768"/>
    <w:rsid w:val="3E0756A9"/>
    <w:rsid w:val="3E11714A"/>
    <w:rsid w:val="3E1725B1"/>
    <w:rsid w:val="3E233F57"/>
    <w:rsid w:val="3E297343"/>
    <w:rsid w:val="3E560708"/>
    <w:rsid w:val="3E566D11"/>
    <w:rsid w:val="3E5E1463"/>
    <w:rsid w:val="3E7C13A6"/>
    <w:rsid w:val="3E7E41D6"/>
    <w:rsid w:val="3E8719FB"/>
    <w:rsid w:val="3EBC33D4"/>
    <w:rsid w:val="3EC31E07"/>
    <w:rsid w:val="3F1B419F"/>
    <w:rsid w:val="3F293D6A"/>
    <w:rsid w:val="3F3A14C9"/>
    <w:rsid w:val="3F4422CC"/>
    <w:rsid w:val="3F480659"/>
    <w:rsid w:val="3F483489"/>
    <w:rsid w:val="3F494981"/>
    <w:rsid w:val="3F507B22"/>
    <w:rsid w:val="3F557379"/>
    <w:rsid w:val="3F685CB8"/>
    <w:rsid w:val="3F6C73A3"/>
    <w:rsid w:val="3F6E7B7D"/>
    <w:rsid w:val="3F7F4579"/>
    <w:rsid w:val="3F861386"/>
    <w:rsid w:val="3F8C03DD"/>
    <w:rsid w:val="3F931201"/>
    <w:rsid w:val="3FCD6F20"/>
    <w:rsid w:val="3FD703E8"/>
    <w:rsid w:val="3FFE5DA3"/>
    <w:rsid w:val="400E70DB"/>
    <w:rsid w:val="40131F08"/>
    <w:rsid w:val="401C28A0"/>
    <w:rsid w:val="401F5B2E"/>
    <w:rsid w:val="40323603"/>
    <w:rsid w:val="403D2265"/>
    <w:rsid w:val="403E6697"/>
    <w:rsid w:val="407122CA"/>
    <w:rsid w:val="40832EDA"/>
    <w:rsid w:val="40840151"/>
    <w:rsid w:val="40915FF9"/>
    <w:rsid w:val="40950BE4"/>
    <w:rsid w:val="40BA15C7"/>
    <w:rsid w:val="40D6320D"/>
    <w:rsid w:val="40F209FF"/>
    <w:rsid w:val="40F46A52"/>
    <w:rsid w:val="40F90E06"/>
    <w:rsid w:val="41113437"/>
    <w:rsid w:val="41210865"/>
    <w:rsid w:val="41325BFD"/>
    <w:rsid w:val="414449F3"/>
    <w:rsid w:val="414A53B2"/>
    <w:rsid w:val="414E489D"/>
    <w:rsid w:val="416363BC"/>
    <w:rsid w:val="416A4322"/>
    <w:rsid w:val="41730336"/>
    <w:rsid w:val="417F01EB"/>
    <w:rsid w:val="418A172A"/>
    <w:rsid w:val="419A7ACD"/>
    <w:rsid w:val="41A1208F"/>
    <w:rsid w:val="41A918C8"/>
    <w:rsid w:val="41B70E6C"/>
    <w:rsid w:val="41B93EAB"/>
    <w:rsid w:val="41BB7445"/>
    <w:rsid w:val="41C86793"/>
    <w:rsid w:val="41F72BA0"/>
    <w:rsid w:val="42130B22"/>
    <w:rsid w:val="42142AE2"/>
    <w:rsid w:val="42163F19"/>
    <w:rsid w:val="4218788F"/>
    <w:rsid w:val="42254364"/>
    <w:rsid w:val="423369BF"/>
    <w:rsid w:val="42385EC8"/>
    <w:rsid w:val="42560FC0"/>
    <w:rsid w:val="42575580"/>
    <w:rsid w:val="42645D49"/>
    <w:rsid w:val="427D1F41"/>
    <w:rsid w:val="42861F43"/>
    <w:rsid w:val="42962DB3"/>
    <w:rsid w:val="42AB4E3E"/>
    <w:rsid w:val="42AF7F36"/>
    <w:rsid w:val="42B42F88"/>
    <w:rsid w:val="42B71950"/>
    <w:rsid w:val="42BB2C15"/>
    <w:rsid w:val="42CC7155"/>
    <w:rsid w:val="42DA1AFE"/>
    <w:rsid w:val="42DB1062"/>
    <w:rsid w:val="42EE1E57"/>
    <w:rsid w:val="42F2003F"/>
    <w:rsid w:val="430F0736"/>
    <w:rsid w:val="43132C41"/>
    <w:rsid w:val="431545D2"/>
    <w:rsid w:val="432937F3"/>
    <w:rsid w:val="43514CDE"/>
    <w:rsid w:val="43746F01"/>
    <w:rsid w:val="438D56D4"/>
    <w:rsid w:val="43A13681"/>
    <w:rsid w:val="43BB744E"/>
    <w:rsid w:val="43C12227"/>
    <w:rsid w:val="43DB7F39"/>
    <w:rsid w:val="44222111"/>
    <w:rsid w:val="44252724"/>
    <w:rsid w:val="44425722"/>
    <w:rsid w:val="44456116"/>
    <w:rsid w:val="4453143B"/>
    <w:rsid w:val="445735DB"/>
    <w:rsid w:val="44583498"/>
    <w:rsid w:val="445C1B38"/>
    <w:rsid w:val="44612C4F"/>
    <w:rsid w:val="446E555B"/>
    <w:rsid w:val="446F684D"/>
    <w:rsid w:val="44771AD8"/>
    <w:rsid w:val="44930358"/>
    <w:rsid w:val="44AE4E50"/>
    <w:rsid w:val="44B465A0"/>
    <w:rsid w:val="44FD26F6"/>
    <w:rsid w:val="450E700A"/>
    <w:rsid w:val="451B0E49"/>
    <w:rsid w:val="45270AA4"/>
    <w:rsid w:val="45467552"/>
    <w:rsid w:val="45531CE5"/>
    <w:rsid w:val="4557438C"/>
    <w:rsid w:val="457D114D"/>
    <w:rsid w:val="458D0888"/>
    <w:rsid w:val="45944488"/>
    <w:rsid w:val="45A53AFA"/>
    <w:rsid w:val="45E53A88"/>
    <w:rsid w:val="45F5004D"/>
    <w:rsid w:val="45FA2416"/>
    <w:rsid w:val="45FB7012"/>
    <w:rsid w:val="46293A78"/>
    <w:rsid w:val="463850AB"/>
    <w:rsid w:val="463A7E7C"/>
    <w:rsid w:val="464E6045"/>
    <w:rsid w:val="466B1D02"/>
    <w:rsid w:val="46A24FAC"/>
    <w:rsid w:val="46AF340A"/>
    <w:rsid w:val="46B10182"/>
    <w:rsid w:val="46B25E6E"/>
    <w:rsid w:val="46C5094B"/>
    <w:rsid w:val="46D04BF1"/>
    <w:rsid w:val="46E952D5"/>
    <w:rsid w:val="46F96CEE"/>
    <w:rsid w:val="47081335"/>
    <w:rsid w:val="4716590F"/>
    <w:rsid w:val="4718587D"/>
    <w:rsid w:val="47246D09"/>
    <w:rsid w:val="472A5C9C"/>
    <w:rsid w:val="4733700C"/>
    <w:rsid w:val="475746B4"/>
    <w:rsid w:val="47637D18"/>
    <w:rsid w:val="47731E53"/>
    <w:rsid w:val="4782426E"/>
    <w:rsid w:val="479C0299"/>
    <w:rsid w:val="47AD70AF"/>
    <w:rsid w:val="47C626D1"/>
    <w:rsid w:val="47D735B5"/>
    <w:rsid w:val="47E730FE"/>
    <w:rsid w:val="47EC120B"/>
    <w:rsid w:val="47EE2A64"/>
    <w:rsid w:val="481357F0"/>
    <w:rsid w:val="483010C6"/>
    <w:rsid w:val="4849196E"/>
    <w:rsid w:val="48583313"/>
    <w:rsid w:val="486A4C26"/>
    <w:rsid w:val="487C019B"/>
    <w:rsid w:val="48825594"/>
    <w:rsid w:val="48B56A23"/>
    <w:rsid w:val="48BB546E"/>
    <w:rsid w:val="48C206E2"/>
    <w:rsid w:val="48C306B4"/>
    <w:rsid w:val="48C83F1B"/>
    <w:rsid w:val="48CB5510"/>
    <w:rsid w:val="48DB7296"/>
    <w:rsid w:val="48E263A9"/>
    <w:rsid w:val="48EA67B8"/>
    <w:rsid w:val="48EC665F"/>
    <w:rsid w:val="490D19E8"/>
    <w:rsid w:val="49274410"/>
    <w:rsid w:val="49333208"/>
    <w:rsid w:val="494644D1"/>
    <w:rsid w:val="495400AC"/>
    <w:rsid w:val="49542A38"/>
    <w:rsid w:val="49595126"/>
    <w:rsid w:val="496D644E"/>
    <w:rsid w:val="49E27F80"/>
    <w:rsid w:val="49FD2924"/>
    <w:rsid w:val="4A095229"/>
    <w:rsid w:val="4A0D355B"/>
    <w:rsid w:val="4A262497"/>
    <w:rsid w:val="4A554219"/>
    <w:rsid w:val="4A5B2588"/>
    <w:rsid w:val="4A667FD5"/>
    <w:rsid w:val="4A743B3E"/>
    <w:rsid w:val="4A790BA8"/>
    <w:rsid w:val="4A836463"/>
    <w:rsid w:val="4A955FDE"/>
    <w:rsid w:val="4AA04569"/>
    <w:rsid w:val="4ACC6739"/>
    <w:rsid w:val="4AD54C10"/>
    <w:rsid w:val="4AE23FAE"/>
    <w:rsid w:val="4AEC5B77"/>
    <w:rsid w:val="4AF463CD"/>
    <w:rsid w:val="4B035CC1"/>
    <w:rsid w:val="4B071DFF"/>
    <w:rsid w:val="4B0924AA"/>
    <w:rsid w:val="4B270494"/>
    <w:rsid w:val="4B6E61D3"/>
    <w:rsid w:val="4B9530D5"/>
    <w:rsid w:val="4BA62922"/>
    <w:rsid w:val="4BB87DBF"/>
    <w:rsid w:val="4BBF49A0"/>
    <w:rsid w:val="4BD901CF"/>
    <w:rsid w:val="4BEB4528"/>
    <w:rsid w:val="4BFA1B16"/>
    <w:rsid w:val="4BFC5A49"/>
    <w:rsid w:val="4C1E60A9"/>
    <w:rsid w:val="4C2C4EA8"/>
    <w:rsid w:val="4C300954"/>
    <w:rsid w:val="4C303426"/>
    <w:rsid w:val="4C3225D3"/>
    <w:rsid w:val="4C333D78"/>
    <w:rsid w:val="4C47550C"/>
    <w:rsid w:val="4C50106A"/>
    <w:rsid w:val="4C5451F4"/>
    <w:rsid w:val="4C6D4EB0"/>
    <w:rsid w:val="4C777F77"/>
    <w:rsid w:val="4C7E7B45"/>
    <w:rsid w:val="4C8A7B93"/>
    <w:rsid w:val="4C906AA7"/>
    <w:rsid w:val="4CA54475"/>
    <w:rsid w:val="4CAF746D"/>
    <w:rsid w:val="4CBF1BC8"/>
    <w:rsid w:val="4CCB6777"/>
    <w:rsid w:val="4CD77814"/>
    <w:rsid w:val="4CFD493E"/>
    <w:rsid w:val="4D001793"/>
    <w:rsid w:val="4D024DE5"/>
    <w:rsid w:val="4D0865C5"/>
    <w:rsid w:val="4D13109C"/>
    <w:rsid w:val="4D32620A"/>
    <w:rsid w:val="4D505798"/>
    <w:rsid w:val="4D6B06A4"/>
    <w:rsid w:val="4D856C88"/>
    <w:rsid w:val="4D864F2D"/>
    <w:rsid w:val="4D8A4210"/>
    <w:rsid w:val="4D9A7102"/>
    <w:rsid w:val="4DA56E36"/>
    <w:rsid w:val="4DAF045A"/>
    <w:rsid w:val="4DB937AE"/>
    <w:rsid w:val="4DBC7C3D"/>
    <w:rsid w:val="4DDD418E"/>
    <w:rsid w:val="4DE17332"/>
    <w:rsid w:val="4E04629B"/>
    <w:rsid w:val="4E067A59"/>
    <w:rsid w:val="4E0A359F"/>
    <w:rsid w:val="4E377D75"/>
    <w:rsid w:val="4E534B93"/>
    <w:rsid w:val="4E5B0380"/>
    <w:rsid w:val="4E5F553C"/>
    <w:rsid w:val="4E931BF8"/>
    <w:rsid w:val="4E9C3B1A"/>
    <w:rsid w:val="4EA15B86"/>
    <w:rsid w:val="4EAA0CDB"/>
    <w:rsid w:val="4EC968C2"/>
    <w:rsid w:val="4ECB3774"/>
    <w:rsid w:val="4ED71913"/>
    <w:rsid w:val="4EED001A"/>
    <w:rsid w:val="4EF1043C"/>
    <w:rsid w:val="4F176216"/>
    <w:rsid w:val="4F1A59D9"/>
    <w:rsid w:val="4F360F60"/>
    <w:rsid w:val="4F3C38DF"/>
    <w:rsid w:val="4F487504"/>
    <w:rsid w:val="4F7D5A80"/>
    <w:rsid w:val="4F8572BB"/>
    <w:rsid w:val="4F8A2BDF"/>
    <w:rsid w:val="4F8D6C8C"/>
    <w:rsid w:val="4FA41637"/>
    <w:rsid w:val="4FB64D80"/>
    <w:rsid w:val="4FB716DB"/>
    <w:rsid w:val="4FC36AE3"/>
    <w:rsid w:val="4FD810ED"/>
    <w:rsid w:val="4FD9083A"/>
    <w:rsid w:val="4FDA00F7"/>
    <w:rsid w:val="4FE25B9D"/>
    <w:rsid w:val="4FF27107"/>
    <w:rsid w:val="50035EB6"/>
    <w:rsid w:val="5007140C"/>
    <w:rsid w:val="502474A1"/>
    <w:rsid w:val="503A0FD5"/>
    <w:rsid w:val="503D7D09"/>
    <w:rsid w:val="505C5B81"/>
    <w:rsid w:val="505D3D2A"/>
    <w:rsid w:val="506055EA"/>
    <w:rsid w:val="506D5B0F"/>
    <w:rsid w:val="507A58E5"/>
    <w:rsid w:val="50A20273"/>
    <w:rsid w:val="50BD11A4"/>
    <w:rsid w:val="50CB2EA0"/>
    <w:rsid w:val="50D34922"/>
    <w:rsid w:val="50E01D28"/>
    <w:rsid w:val="50EA0D7D"/>
    <w:rsid w:val="50F1689F"/>
    <w:rsid w:val="51166888"/>
    <w:rsid w:val="512377B5"/>
    <w:rsid w:val="51534A11"/>
    <w:rsid w:val="516C4038"/>
    <w:rsid w:val="51794412"/>
    <w:rsid w:val="51865639"/>
    <w:rsid w:val="519E7A7C"/>
    <w:rsid w:val="51AB4912"/>
    <w:rsid w:val="51C749B1"/>
    <w:rsid w:val="51CF4064"/>
    <w:rsid w:val="51D17C89"/>
    <w:rsid w:val="51EF2CDD"/>
    <w:rsid w:val="52025A5D"/>
    <w:rsid w:val="52122393"/>
    <w:rsid w:val="5216704F"/>
    <w:rsid w:val="522A21D0"/>
    <w:rsid w:val="522C1765"/>
    <w:rsid w:val="52332D53"/>
    <w:rsid w:val="52354E4B"/>
    <w:rsid w:val="523A613D"/>
    <w:rsid w:val="523B5EFF"/>
    <w:rsid w:val="52532F5B"/>
    <w:rsid w:val="52540474"/>
    <w:rsid w:val="52615324"/>
    <w:rsid w:val="52682D4D"/>
    <w:rsid w:val="52B522FB"/>
    <w:rsid w:val="52B77F71"/>
    <w:rsid w:val="52BD5965"/>
    <w:rsid w:val="52C33B75"/>
    <w:rsid w:val="52EA3D0A"/>
    <w:rsid w:val="52EA73B1"/>
    <w:rsid w:val="52F363BA"/>
    <w:rsid w:val="52F841FC"/>
    <w:rsid w:val="52FB56CD"/>
    <w:rsid w:val="52FD3AC9"/>
    <w:rsid w:val="530663CB"/>
    <w:rsid w:val="53107718"/>
    <w:rsid w:val="531E2AC9"/>
    <w:rsid w:val="5345360D"/>
    <w:rsid w:val="535C7624"/>
    <w:rsid w:val="536C6EDA"/>
    <w:rsid w:val="53842705"/>
    <w:rsid w:val="53906788"/>
    <w:rsid w:val="539B0970"/>
    <w:rsid w:val="539B3773"/>
    <w:rsid w:val="53B00561"/>
    <w:rsid w:val="53CC61F3"/>
    <w:rsid w:val="53D63B18"/>
    <w:rsid w:val="53D740A3"/>
    <w:rsid w:val="53D76150"/>
    <w:rsid w:val="53DD048D"/>
    <w:rsid w:val="540355B2"/>
    <w:rsid w:val="54070257"/>
    <w:rsid w:val="541F581E"/>
    <w:rsid w:val="5434447C"/>
    <w:rsid w:val="5436661A"/>
    <w:rsid w:val="54457201"/>
    <w:rsid w:val="544678AE"/>
    <w:rsid w:val="547878DD"/>
    <w:rsid w:val="547F1C2F"/>
    <w:rsid w:val="549175A9"/>
    <w:rsid w:val="549C4034"/>
    <w:rsid w:val="54AE12D4"/>
    <w:rsid w:val="54AF2103"/>
    <w:rsid w:val="54B47768"/>
    <w:rsid w:val="54B80D92"/>
    <w:rsid w:val="54C653E0"/>
    <w:rsid w:val="54C820CA"/>
    <w:rsid w:val="54E03670"/>
    <w:rsid w:val="54E172F0"/>
    <w:rsid w:val="552F31BF"/>
    <w:rsid w:val="55534BA2"/>
    <w:rsid w:val="55633C72"/>
    <w:rsid w:val="556772D0"/>
    <w:rsid w:val="5571430F"/>
    <w:rsid w:val="559963BE"/>
    <w:rsid w:val="55A301CE"/>
    <w:rsid w:val="55A9309B"/>
    <w:rsid w:val="55AC507E"/>
    <w:rsid w:val="55AF1733"/>
    <w:rsid w:val="55B619A2"/>
    <w:rsid w:val="55C7209B"/>
    <w:rsid w:val="55FD48E5"/>
    <w:rsid w:val="560320D3"/>
    <w:rsid w:val="561A6D63"/>
    <w:rsid w:val="56294331"/>
    <w:rsid w:val="563D5C1E"/>
    <w:rsid w:val="563F72EA"/>
    <w:rsid w:val="564C4DC8"/>
    <w:rsid w:val="56600C64"/>
    <w:rsid w:val="566A524A"/>
    <w:rsid w:val="56A82F68"/>
    <w:rsid w:val="56AE2FB3"/>
    <w:rsid w:val="56ED0C35"/>
    <w:rsid w:val="56FB6EA9"/>
    <w:rsid w:val="57017186"/>
    <w:rsid w:val="57056281"/>
    <w:rsid w:val="570B07BE"/>
    <w:rsid w:val="57113B6A"/>
    <w:rsid w:val="57314DCF"/>
    <w:rsid w:val="57451F0C"/>
    <w:rsid w:val="57587D0E"/>
    <w:rsid w:val="575F7486"/>
    <w:rsid w:val="57907C11"/>
    <w:rsid w:val="5797563F"/>
    <w:rsid w:val="57975FFF"/>
    <w:rsid w:val="57AB605D"/>
    <w:rsid w:val="57D04570"/>
    <w:rsid w:val="57DD1481"/>
    <w:rsid w:val="57F4166B"/>
    <w:rsid w:val="58114F52"/>
    <w:rsid w:val="584134AA"/>
    <w:rsid w:val="58435E97"/>
    <w:rsid w:val="58561051"/>
    <w:rsid w:val="58623E40"/>
    <w:rsid w:val="5870717A"/>
    <w:rsid w:val="58766C19"/>
    <w:rsid w:val="58780A40"/>
    <w:rsid w:val="5879296D"/>
    <w:rsid w:val="587F1810"/>
    <w:rsid w:val="588C7716"/>
    <w:rsid w:val="58974562"/>
    <w:rsid w:val="58AC0AC7"/>
    <w:rsid w:val="58AE4431"/>
    <w:rsid w:val="58B13932"/>
    <w:rsid w:val="58C80790"/>
    <w:rsid w:val="58C973C7"/>
    <w:rsid w:val="590B7067"/>
    <w:rsid w:val="5911522D"/>
    <w:rsid w:val="59364A78"/>
    <w:rsid w:val="593C61E4"/>
    <w:rsid w:val="595117F2"/>
    <w:rsid w:val="59525D0B"/>
    <w:rsid w:val="595341AB"/>
    <w:rsid w:val="597F0C6A"/>
    <w:rsid w:val="59827506"/>
    <w:rsid w:val="598A1A09"/>
    <w:rsid w:val="59B71540"/>
    <w:rsid w:val="59E27559"/>
    <w:rsid w:val="59EF4F8C"/>
    <w:rsid w:val="59F22688"/>
    <w:rsid w:val="59FB4257"/>
    <w:rsid w:val="5A064707"/>
    <w:rsid w:val="5A097DDF"/>
    <w:rsid w:val="5A225842"/>
    <w:rsid w:val="5A4E258B"/>
    <w:rsid w:val="5A665DF1"/>
    <w:rsid w:val="5A6C676F"/>
    <w:rsid w:val="5A79711E"/>
    <w:rsid w:val="5A83559A"/>
    <w:rsid w:val="5A842C8A"/>
    <w:rsid w:val="5AA54FB0"/>
    <w:rsid w:val="5AB342AD"/>
    <w:rsid w:val="5AC12EC4"/>
    <w:rsid w:val="5AD835D4"/>
    <w:rsid w:val="5ADE48EF"/>
    <w:rsid w:val="5AE92E84"/>
    <w:rsid w:val="5AEC678C"/>
    <w:rsid w:val="5AEC7153"/>
    <w:rsid w:val="5B066CF3"/>
    <w:rsid w:val="5B09021C"/>
    <w:rsid w:val="5B1165CE"/>
    <w:rsid w:val="5B14156B"/>
    <w:rsid w:val="5B243AF2"/>
    <w:rsid w:val="5B287D84"/>
    <w:rsid w:val="5B3533A1"/>
    <w:rsid w:val="5B3D5177"/>
    <w:rsid w:val="5B4314DE"/>
    <w:rsid w:val="5B491A38"/>
    <w:rsid w:val="5B5E0444"/>
    <w:rsid w:val="5B6C01D8"/>
    <w:rsid w:val="5B710D9F"/>
    <w:rsid w:val="5B9D4426"/>
    <w:rsid w:val="5BE405A3"/>
    <w:rsid w:val="5BEA4921"/>
    <w:rsid w:val="5C0D1DC4"/>
    <w:rsid w:val="5C3113F7"/>
    <w:rsid w:val="5C351172"/>
    <w:rsid w:val="5C3801C1"/>
    <w:rsid w:val="5C4F6D2A"/>
    <w:rsid w:val="5C55032B"/>
    <w:rsid w:val="5C59722C"/>
    <w:rsid w:val="5C737C9C"/>
    <w:rsid w:val="5C7527BF"/>
    <w:rsid w:val="5C84538C"/>
    <w:rsid w:val="5C9E3324"/>
    <w:rsid w:val="5CBA779D"/>
    <w:rsid w:val="5CBC5136"/>
    <w:rsid w:val="5CC44312"/>
    <w:rsid w:val="5CFB4ED6"/>
    <w:rsid w:val="5CFE3C73"/>
    <w:rsid w:val="5D031264"/>
    <w:rsid w:val="5D0D0A69"/>
    <w:rsid w:val="5D1B0515"/>
    <w:rsid w:val="5D412763"/>
    <w:rsid w:val="5D47130F"/>
    <w:rsid w:val="5D6F6562"/>
    <w:rsid w:val="5D733F36"/>
    <w:rsid w:val="5D8A05E2"/>
    <w:rsid w:val="5D8A402F"/>
    <w:rsid w:val="5D8E7CA5"/>
    <w:rsid w:val="5D9E2C80"/>
    <w:rsid w:val="5DD27361"/>
    <w:rsid w:val="5DD5217F"/>
    <w:rsid w:val="5DF8574D"/>
    <w:rsid w:val="5DFE0209"/>
    <w:rsid w:val="5E0F644C"/>
    <w:rsid w:val="5E205859"/>
    <w:rsid w:val="5E411A52"/>
    <w:rsid w:val="5E451294"/>
    <w:rsid w:val="5E45464D"/>
    <w:rsid w:val="5E5049DD"/>
    <w:rsid w:val="5E725C62"/>
    <w:rsid w:val="5E9D5F3F"/>
    <w:rsid w:val="5EA90551"/>
    <w:rsid w:val="5EC74F90"/>
    <w:rsid w:val="5ED31745"/>
    <w:rsid w:val="5F011D36"/>
    <w:rsid w:val="5F05141B"/>
    <w:rsid w:val="5F0571C0"/>
    <w:rsid w:val="5F104824"/>
    <w:rsid w:val="5F1621B7"/>
    <w:rsid w:val="5F171BCF"/>
    <w:rsid w:val="5F39413B"/>
    <w:rsid w:val="5F4B6626"/>
    <w:rsid w:val="5F520EE4"/>
    <w:rsid w:val="5F8657ED"/>
    <w:rsid w:val="5FAF33E3"/>
    <w:rsid w:val="5FD12E74"/>
    <w:rsid w:val="600B6DFB"/>
    <w:rsid w:val="60132DFF"/>
    <w:rsid w:val="60136162"/>
    <w:rsid w:val="60206A6C"/>
    <w:rsid w:val="603F2137"/>
    <w:rsid w:val="60407509"/>
    <w:rsid w:val="604B7ABF"/>
    <w:rsid w:val="60555507"/>
    <w:rsid w:val="60743DBA"/>
    <w:rsid w:val="60821A3E"/>
    <w:rsid w:val="609A5F81"/>
    <w:rsid w:val="60A235E1"/>
    <w:rsid w:val="60AD034A"/>
    <w:rsid w:val="60BC4E5B"/>
    <w:rsid w:val="60D22D16"/>
    <w:rsid w:val="60E02E2E"/>
    <w:rsid w:val="60E51FB9"/>
    <w:rsid w:val="60F55C4A"/>
    <w:rsid w:val="60FA6676"/>
    <w:rsid w:val="6111497E"/>
    <w:rsid w:val="6120299C"/>
    <w:rsid w:val="61222C91"/>
    <w:rsid w:val="61430B96"/>
    <w:rsid w:val="61564A67"/>
    <w:rsid w:val="6160538B"/>
    <w:rsid w:val="61703EA9"/>
    <w:rsid w:val="61A27D2B"/>
    <w:rsid w:val="61B933E8"/>
    <w:rsid w:val="61D26BFC"/>
    <w:rsid w:val="61E209E0"/>
    <w:rsid w:val="61E6385C"/>
    <w:rsid w:val="61E80C01"/>
    <w:rsid w:val="61F2241F"/>
    <w:rsid w:val="62170F3C"/>
    <w:rsid w:val="622C43AA"/>
    <w:rsid w:val="622C7B8E"/>
    <w:rsid w:val="62637BBA"/>
    <w:rsid w:val="62672BA1"/>
    <w:rsid w:val="6269656F"/>
    <w:rsid w:val="627669DE"/>
    <w:rsid w:val="627B66D0"/>
    <w:rsid w:val="627B79C0"/>
    <w:rsid w:val="62802281"/>
    <w:rsid w:val="62D0057A"/>
    <w:rsid w:val="62D40201"/>
    <w:rsid w:val="62EE7A90"/>
    <w:rsid w:val="62FE4898"/>
    <w:rsid w:val="63074FAB"/>
    <w:rsid w:val="6308088F"/>
    <w:rsid w:val="631318E6"/>
    <w:rsid w:val="637A11DD"/>
    <w:rsid w:val="637B2031"/>
    <w:rsid w:val="63A24C8E"/>
    <w:rsid w:val="63BA48C9"/>
    <w:rsid w:val="63BE3FA1"/>
    <w:rsid w:val="63D70730"/>
    <w:rsid w:val="63E40EED"/>
    <w:rsid w:val="641632D6"/>
    <w:rsid w:val="641B2FBF"/>
    <w:rsid w:val="64264642"/>
    <w:rsid w:val="643D01BE"/>
    <w:rsid w:val="6447300A"/>
    <w:rsid w:val="645D604C"/>
    <w:rsid w:val="6479453A"/>
    <w:rsid w:val="64887AF9"/>
    <w:rsid w:val="64A3299B"/>
    <w:rsid w:val="64D54DDE"/>
    <w:rsid w:val="64EB16A9"/>
    <w:rsid w:val="64EB6D09"/>
    <w:rsid w:val="650619DF"/>
    <w:rsid w:val="651D6D05"/>
    <w:rsid w:val="6540048C"/>
    <w:rsid w:val="65490E19"/>
    <w:rsid w:val="656332D1"/>
    <w:rsid w:val="656B4B3E"/>
    <w:rsid w:val="657700A2"/>
    <w:rsid w:val="6577609F"/>
    <w:rsid w:val="6578624B"/>
    <w:rsid w:val="65870F8A"/>
    <w:rsid w:val="65CA2A31"/>
    <w:rsid w:val="65CB6247"/>
    <w:rsid w:val="65E8523B"/>
    <w:rsid w:val="65EA2C6D"/>
    <w:rsid w:val="65F405EE"/>
    <w:rsid w:val="65F45C21"/>
    <w:rsid w:val="65FA08E6"/>
    <w:rsid w:val="6612563B"/>
    <w:rsid w:val="662843F5"/>
    <w:rsid w:val="663A10CE"/>
    <w:rsid w:val="66462361"/>
    <w:rsid w:val="664826EF"/>
    <w:rsid w:val="664C4435"/>
    <w:rsid w:val="665C5492"/>
    <w:rsid w:val="668B78A4"/>
    <w:rsid w:val="66907B00"/>
    <w:rsid w:val="66DB6F29"/>
    <w:rsid w:val="66ED3464"/>
    <w:rsid w:val="66FC4CC9"/>
    <w:rsid w:val="6705631E"/>
    <w:rsid w:val="673A0B15"/>
    <w:rsid w:val="675A7691"/>
    <w:rsid w:val="67A43998"/>
    <w:rsid w:val="67B01E36"/>
    <w:rsid w:val="67DC4B03"/>
    <w:rsid w:val="67EB6AEC"/>
    <w:rsid w:val="682E644A"/>
    <w:rsid w:val="683010C9"/>
    <w:rsid w:val="6832641F"/>
    <w:rsid w:val="684A3DE4"/>
    <w:rsid w:val="684B3464"/>
    <w:rsid w:val="686B1812"/>
    <w:rsid w:val="68992191"/>
    <w:rsid w:val="68A80957"/>
    <w:rsid w:val="68B06503"/>
    <w:rsid w:val="68BA501F"/>
    <w:rsid w:val="68C76FE6"/>
    <w:rsid w:val="68C96B68"/>
    <w:rsid w:val="68E44F2A"/>
    <w:rsid w:val="68F06A9E"/>
    <w:rsid w:val="68FC231A"/>
    <w:rsid w:val="692B4432"/>
    <w:rsid w:val="695054CF"/>
    <w:rsid w:val="69722B52"/>
    <w:rsid w:val="6992386B"/>
    <w:rsid w:val="69987274"/>
    <w:rsid w:val="69A04FEF"/>
    <w:rsid w:val="69A956F4"/>
    <w:rsid w:val="69C5765D"/>
    <w:rsid w:val="69CE1B62"/>
    <w:rsid w:val="69D8025B"/>
    <w:rsid w:val="69F31AF3"/>
    <w:rsid w:val="6A09797B"/>
    <w:rsid w:val="6A352DD7"/>
    <w:rsid w:val="6A3772B3"/>
    <w:rsid w:val="6A661A8E"/>
    <w:rsid w:val="6A6F162C"/>
    <w:rsid w:val="6A833154"/>
    <w:rsid w:val="6A976727"/>
    <w:rsid w:val="6AA10960"/>
    <w:rsid w:val="6AA27BB2"/>
    <w:rsid w:val="6AA31474"/>
    <w:rsid w:val="6AA73D7B"/>
    <w:rsid w:val="6ABB0678"/>
    <w:rsid w:val="6AC90A97"/>
    <w:rsid w:val="6ACA6451"/>
    <w:rsid w:val="6ACB54B0"/>
    <w:rsid w:val="6ADD4EFF"/>
    <w:rsid w:val="6AE72D91"/>
    <w:rsid w:val="6B0137A0"/>
    <w:rsid w:val="6B142508"/>
    <w:rsid w:val="6B1B1CE4"/>
    <w:rsid w:val="6B1B468E"/>
    <w:rsid w:val="6B1B559A"/>
    <w:rsid w:val="6B2B19E6"/>
    <w:rsid w:val="6B3572C4"/>
    <w:rsid w:val="6B3961D7"/>
    <w:rsid w:val="6B5938AA"/>
    <w:rsid w:val="6B9165A2"/>
    <w:rsid w:val="6B9467AA"/>
    <w:rsid w:val="6B96373C"/>
    <w:rsid w:val="6BA36549"/>
    <w:rsid w:val="6BAD44BC"/>
    <w:rsid w:val="6BAF72BD"/>
    <w:rsid w:val="6BC57592"/>
    <w:rsid w:val="6BCD6725"/>
    <w:rsid w:val="6BDD144E"/>
    <w:rsid w:val="6BDE28A5"/>
    <w:rsid w:val="6BDF41E7"/>
    <w:rsid w:val="6C630A84"/>
    <w:rsid w:val="6C7666D7"/>
    <w:rsid w:val="6C7E238D"/>
    <w:rsid w:val="6C86596C"/>
    <w:rsid w:val="6CA71559"/>
    <w:rsid w:val="6CB117E6"/>
    <w:rsid w:val="6CB23897"/>
    <w:rsid w:val="6CBE448D"/>
    <w:rsid w:val="6CC319BE"/>
    <w:rsid w:val="6CFB3849"/>
    <w:rsid w:val="6CFC717D"/>
    <w:rsid w:val="6D0739C3"/>
    <w:rsid w:val="6D150662"/>
    <w:rsid w:val="6D303C5D"/>
    <w:rsid w:val="6D5743C8"/>
    <w:rsid w:val="6D6952CB"/>
    <w:rsid w:val="6D881407"/>
    <w:rsid w:val="6D8A29CB"/>
    <w:rsid w:val="6DA31D4A"/>
    <w:rsid w:val="6DBC079B"/>
    <w:rsid w:val="6DEE12D5"/>
    <w:rsid w:val="6DFB46AF"/>
    <w:rsid w:val="6E031E38"/>
    <w:rsid w:val="6E1C7FC4"/>
    <w:rsid w:val="6E2208A6"/>
    <w:rsid w:val="6E383BF5"/>
    <w:rsid w:val="6E596363"/>
    <w:rsid w:val="6E6C4DE1"/>
    <w:rsid w:val="6E7C7166"/>
    <w:rsid w:val="6E851DFC"/>
    <w:rsid w:val="6EA67F23"/>
    <w:rsid w:val="6EF7761F"/>
    <w:rsid w:val="6EFB68E7"/>
    <w:rsid w:val="6F121A47"/>
    <w:rsid w:val="6F31492D"/>
    <w:rsid w:val="6F346D99"/>
    <w:rsid w:val="6F3773A9"/>
    <w:rsid w:val="6F462F0D"/>
    <w:rsid w:val="6F783086"/>
    <w:rsid w:val="6F787975"/>
    <w:rsid w:val="6FC13632"/>
    <w:rsid w:val="6FC538D7"/>
    <w:rsid w:val="6FC84C59"/>
    <w:rsid w:val="6FCC1214"/>
    <w:rsid w:val="6FD80D48"/>
    <w:rsid w:val="6FE24255"/>
    <w:rsid w:val="6FE670FF"/>
    <w:rsid w:val="6FF174E0"/>
    <w:rsid w:val="6FF72DE8"/>
    <w:rsid w:val="6FFD2766"/>
    <w:rsid w:val="700C1530"/>
    <w:rsid w:val="700D0316"/>
    <w:rsid w:val="700F57A9"/>
    <w:rsid w:val="70165ADA"/>
    <w:rsid w:val="701F509C"/>
    <w:rsid w:val="704B684E"/>
    <w:rsid w:val="70567FEB"/>
    <w:rsid w:val="70644C63"/>
    <w:rsid w:val="708D4A97"/>
    <w:rsid w:val="7097141F"/>
    <w:rsid w:val="70A075DF"/>
    <w:rsid w:val="70B27CD2"/>
    <w:rsid w:val="70B97ABE"/>
    <w:rsid w:val="70BE7490"/>
    <w:rsid w:val="70C3454B"/>
    <w:rsid w:val="70E12D8E"/>
    <w:rsid w:val="70E63EA6"/>
    <w:rsid w:val="71070A6A"/>
    <w:rsid w:val="710C7373"/>
    <w:rsid w:val="710E6F65"/>
    <w:rsid w:val="7114754A"/>
    <w:rsid w:val="71184BEA"/>
    <w:rsid w:val="71232E53"/>
    <w:rsid w:val="71252975"/>
    <w:rsid w:val="71496376"/>
    <w:rsid w:val="714A76B0"/>
    <w:rsid w:val="71510AFF"/>
    <w:rsid w:val="71513F03"/>
    <w:rsid w:val="715F261E"/>
    <w:rsid w:val="71684F82"/>
    <w:rsid w:val="717F556E"/>
    <w:rsid w:val="718A7B1A"/>
    <w:rsid w:val="718B4651"/>
    <w:rsid w:val="71962A11"/>
    <w:rsid w:val="71CF7DE0"/>
    <w:rsid w:val="71D12A89"/>
    <w:rsid w:val="71F13FE3"/>
    <w:rsid w:val="720226BB"/>
    <w:rsid w:val="72043234"/>
    <w:rsid w:val="72134346"/>
    <w:rsid w:val="721A444A"/>
    <w:rsid w:val="721D627A"/>
    <w:rsid w:val="722352F7"/>
    <w:rsid w:val="722F0BE8"/>
    <w:rsid w:val="723A3E6E"/>
    <w:rsid w:val="723F37B7"/>
    <w:rsid w:val="72646400"/>
    <w:rsid w:val="7290324B"/>
    <w:rsid w:val="72B65AC2"/>
    <w:rsid w:val="72BA22EA"/>
    <w:rsid w:val="72D57A1B"/>
    <w:rsid w:val="72DF5F88"/>
    <w:rsid w:val="72E60161"/>
    <w:rsid w:val="72EB347E"/>
    <w:rsid w:val="72EC7FD7"/>
    <w:rsid w:val="72FE2869"/>
    <w:rsid w:val="73031E71"/>
    <w:rsid w:val="73040F4B"/>
    <w:rsid w:val="73096009"/>
    <w:rsid w:val="73107A81"/>
    <w:rsid w:val="734B7638"/>
    <w:rsid w:val="735B44FB"/>
    <w:rsid w:val="73684BB5"/>
    <w:rsid w:val="73704684"/>
    <w:rsid w:val="73C15B54"/>
    <w:rsid w:val="73D14273"/>
    <w:rsid w:val="73DB10BF"/>
    <w:rsid w:val="73DD286F"/>
    <w:rsid w:val="73E14FF4"/>
    <w:rsid w:val="73F367FB"/>
    <w:rsid w:val="740E0DBC"/>
    <w:rsid w:val="741D3944"/>
    <w:rsid w:val="741F0854"/>
    <w:rsid w:val="743754AA"/>
    <w:rsid w:val="74821F15"/>
    <w:rsid w:val="74A01EF5"/>
    <w:rsid w:val="74B16C73"/>
    <w:rsid w:val="74B67C1A"/>
    <w:rsid w:val="74D24F31"/>
    <w:rsid w:val="74D30F65"/>
    <w:rsid w:val="74E47EC7"/>
    <w:rsid w:val="750A68B5"/>
    <w:rsid w:val="75170FDC"/>
    <w:rsid w:val="753334CC"/>
    <w:rsid w:val="75646A47"/>
    <w:rsid w:val="75867B72"/>
    <w:rsid w:val="75A51254"/>
    <w:rsid w:val="75D90241"/>
    <w:rsid w:val="76156C4D"/>
    <w:rsid w:val="76196FD8"/>
    <w:rsid w:val="76237631"/>
    <w:rsid w:val="76581DCD"/>
    <w:rsid w:val="765D57FD"/>
    <w:rsid w:val="765E2554"/>
    <w:rsid w:val="766B710C"/>
    <w:rsid w:val="766C0F9A"/>
    <w:rsid w:val="769063DB"/>
    <w:rsid w:val="769F76F8"/>
    <w:rsid w:val="76A73F96"/>
    <w:rsid w:val="76C7167C"/>
    <w:rsid w:val="76C82F47"/>
    <w:rsid w:val="76CF34BA"/>
    <w:rsid w:val="76D77752"/>
    <w:rsid w:val="76EB18F2"/>
    <w:rsid w:val="76ED27A0"/>
    <w:rsid w:val="76F86FB8"/>
    <w:rsid w:val="770F337B"/>
    <w:rsid w:val="77143481"/>
    <w:rsid w:val="77180A74"/>
    <w:rsid w:val="772700B6"/>
    <w:rsid w:val="774931F3"/>
    <w:rsid w:val="775929F8"/>
    <w:rsid w:val="77632610"/>
    <w:rsid w:val="77846144"/>
    <w:rsid w:val="778F7D6A"/>
    <w:rsid w:val="77915E01"/>
    <w:rsid w:val="779E0D4A"/>
    <w:rsid w:val="77A16CD1"/>
    <w:rsid w:val="77A44085"/>
    <w:rsid w:val="77BB03CD"/>
    <w:rsid w:val="77C7665B"/>
    <w:rsid w:val="77D954F5"/>
    <w:rsid w:val="77EB4D8F"/>
    <w:rsid w:val="78523EE2"/>
    <w:rsid w:val="785665DE"/>
    <w:rsid w:val="785B5229"/>
    <w:rsid w:val="786D14CC"/>
    <w:rsid w:val="78725EC9"/>
    <w:rsid w:val="787B2AA3"/>
    <w:rsid w:val="7884736C"/>
    <w:rsid w:val="78885E69"/>
    <w:rsid w:val="78C75F2C"/>
    <w:rsid w:val="79072EFF"/>
    <w:rsid w:val="791222AF"/>
    <w:rsid w:val="79134DBC"/>
    <w:rsid w:val="791637F7"/>
    <w:rsid w:val="792C68E5"/>
    <w:rsid w:val="793D7E83"/>
    <w:rsid w:val="794075C4"/>
    <w:rsid w:val="794335B9"/>
    <w:rsid w:val="795051AC"/>
    <w:rsid w:val="795F0DF9"/>
    <w:rsid w:val="797162F6"/>
    <w:rsid w:val="79721BD2"/>
    <w:rsid w:val="7987439A"/>
    <w:rsid w:val="79922E8B"/>
    <w:rsid w:val="79977895"/>
    <w:rsid w:val="79B14865"/>
    <w:rsid w:val="79B511E4"/>
    <w:rsid w:val="79CC5E73"/>
    <w:rsid w:val="79E1533D"/>
    <w:rsid w:val="79E323FA"/>
    <w:rsid w:val="79E6628A"/>
    <w:rsid w:val="7A0927CD"/>
    <w:rsid w:val="7A100550"/>
    <w:rsid w:val="7A267F50"/>
    <w:rsid w:val="7A286A34"/>
    <w:rsid w:val="7A3D6FC7"/>
    <w:rsid w:val="7A667205"/>
    <w:rsid w:val="7A6833BE"/>
    <w:rsid w:val="7A71596B"/>
    <w:rsid w:val="7AAC66A8"/>
    <w:rsid w:val="7ACD0C43"/>
    <w:rsid w:val="7ADC6602"/>
    <w:rsid w:val="7AE217A9"/>
    <w:rsid w:val="7AE55445"/>
    <w:rsid w:val="7AF446F5"/>
    <w:rsid w:val="7B0A7DAF"/>
    <w:rsid w:val="7B116594"/>
    <w:rsid w:val="7B160A20"/>
    <w:rsid w:val="7B297C79"/>
    <w:rsid w:val="7B2D2D27"/>
    <w:rsid w:val="7B3A5AE5"/>
    <w:rsid w:val="7B46415C"/>
    <w:rsid w:val="7B6A0E7A"/>
    <w:rsid w:val="7B735FE2"/>
    <w:rsid w:val="7B824889"/>
    <w:rsid w:val="7B87127E"/>
    <w:rsid w:val="7B8E1BD9"/>
    <w:rsid w:val="7B93742B"/>
    <w:rsid w:val="7BA5447F"/>
    <w:rsid w:val="7BAC7961"/>
    <w:rsid w:val="7BC96860"/>
    <w:rsid w:val="7BCD3342"/>
    <w:rsid w:val="7BCE2496"/>
    <w:rsid w:val="7BE41A0D"/>
    <w:rsid w:val="7C0F15F4"/>
    <w:rsid w:val="7C1B5421"/>
    <w:rsid w:val="7C2031BD"/>
    <w:rsid w:val="7C4B3BF8"/>
    <w:rsid w:val="7C6B1F29"/>
    <w:rsid w:val="7C6E3682"/>
    <w:rsid w:val="7C714DF6"/>
    <w:rsid w:val="7CA85D35"/>
    <w:rsid w:val="7CB9025A"/>
    <w:rsid w:val="7CBC11ED"/>
    <w:rsid w:val="7CCE7A3D"/>
    <w:rsid w:val="7CD5183F"/>
    <w:rsid w:val="7CD55A17"/>
    <w:rsid w:val="7CD8771A"/>
    <w:rsid w:val="7D122A1D"/>
    <w:rsid w:val="7D151FC2"/>
    <w:rsid w:val="7D1B076A"/>
    <w:rsid w:val="7D1C01A0"/>
    <w:rsid w:val="7D1F7479"/>
    <w:rsid w:val="7D53726B"/>
    <w:rsid w:val="7D5B2E39"/>
    <w:rsid w:val="7D8C0261"/>
    <w:rsid w:val="7D9A3292"/>
    <w:rsid w:val="7DE04A39"/>
    <w:rsid w:val="7DEC7DDC"/>
    <w:rsid w:val="7DED4649"/>
    <w:rsid w:val="7DF06203"/>
    <w:rsid w:val="7DF70E0D"/>
    <w:rsid w:val="7DF8649E"/>
    <w:rsid w:val="7E08526D"/>
    <w:rsid w:val="7E2868E4"/>
    <w:rsid w:val="7E443EAF"/>
    <w:rsid w:val="7E634E81"/>
    <w:rsid w:val="7E6A0D3E"/>
    <w:rsid w:val="7EDC4988"/>
    <w:rsid w:val="7EDF50D5"/>
    <w:rsid w:val="7EF24A1A"/>
    <w:rsid w:val="7F423081"/>
    <w:rsid w:val="7F563565"/>
    <w:rsid w:val="7F571739"/>
    <w:rsid w:val="7F5D36C8"/>
    <w:rsid w:val="7F727064"/>
    <w:rsid w:val="7F887A2D"/>
    <w:rsid w:val="7F924E10"/>
    <w:rsid w:val="7F99625D"/>
    <w:rsid w:val="7FBF4BFE"/>
    <w:rsid w:val="7FC00729"/>
    <w:rsid w:val="7FC4491D"/>
    <w:rsid w:val="7FEC3374"/>
    <w:rsid w:val="7FED771A"/>
    <w:rsid w:val="7FEE3A0B"/>
    <w:rsid w:val="7FF0233A"/>
    <w:rsid w:val="7FFF2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qFormat="1"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snapToGrid w:val="0"/>
      <w:spacing w:beforeLines="50" w:afterLines="50" w:line="360" w:lineRule="auto"/>
      <w:jc w:val="center"/>
      <w:outlineLvl w:val="0"/>
    </w:pPr>
    <w:rPr>
      <w:b/>
      <w:kern w:val="0"/>
      <w:sz w:val="36"/>
    </w:rPr>
  </w:style>
  <w:style w:type="paragraph" w:styleId="4">
    <w:name w:val="heading 2"/>
    <w:basedOn w:val="1"/>
    <w:next w:val="1"/>
    <w:link w:val="49"/>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44"/>
    <w:semiHidden/>
    <w:unhideWhenUsed/>
    <w:qFormat/>
    <w:uiPriority w:val="0"/>
    <w:pPr>
      <w:keepNext/>
      <w:keepLines/>
      <w:spacing w:before="260" w:after="260" w:line="416" w:lineRule="auto"/>
      <w:outlineLvl w:val="2"/>
    </w:pPr>
    <w:rPr>
      <w:b/>
      <w:bCs/>
      <w:sz w:val="32"/>
      <w:szCs w:val="32"/>
    </w:rPr>
  </w:style>
  <w:style w:type="character" w:default="1" w:styleId="25">
    <w:name w:val="Default Paragraph Font"/>
    <w:link w:val="26"/>
    <w:semiHidden/>
    <w:unhideWhenUsed/>
    <w:qFormat/>
    <w:uiPriority w:val="1"/>
    <w:rPr>
      <w:rFonts w:eastAsia="黑体"/>
      <w:sz w:val="24"/>
      <w:szCs w:val="24"/>
    </w:rPr>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6"/>
    <w:qFormat/>
    <w:uiPriority w:val="0"/>
    <w:rPr>
      <w:sz w:val="28"/>
      <w:szCs w:val="20"/>
    </w:rPr>
  </w:style>
  <w:style w:type="paragraph" w:styleId="6">
    <w:name w:val="annotation text"/>
    <w:basedOn w:val="1"/>
    <w:link w:val="32"/>
    <w:unhideWhenUsed/>
    <w:qFormat/>
    <w:uiPriority w:val="0"/>
    <w:pPr>
      <w:jc w:val="left"/>
    </w:pPr>
    <w:rPr>
      <w:kern w:val="0"/>
    </w:rPr>
  </w:style>
  <w:style w:type="paragraph" w:styleId="7">
    <w:name w:val="Body Text"/>
    <w:basedOn w:val="1"/>
    <w:next w:val="8"/>
    <w:link w:val="55"/>
    <w:qFormat/>
    <w:uiPriority w:val="0"/>
    <w:pPr>
      <w:spacing w:after="120"/>
    </w:pPr>
    <w:rPr>
      <w:szCs w:val="20"/>
    </w:rPr>
  </w:style>
  <w:style w:type="paragraph" w:customStyle="1" w:styleId="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9">
    <w:name w:val="Body Text Indent"/>
    <w:basedOn w:val="1"/>
    <w:link w:val="40"/>
    <w:qFormat/>
    <w:uiPriority w:val="0"/>
    <w:pPr>
      <w:spacing w:after="120"/>
      <w:ind w:left="420" w:leftChars="200"/>
    </w:pPr>
    <w:rPr>
      <w:szCs w:val="20"/>
    </w:rPr>
  </w:style>
  <w:style w:type="paragraph" w:styleId="10">
    <w:name w:val="Plain Text"/>
    <w:basedOn w:val="1"/>
    <w:link w:val="59"/>
    <w:qFormat/>
    <w:uiPriority w:val="0"/>
    <w:rPr>
      <w:rFonts w:ascii="宋体" w:hAnsi="Courier New"/>
      <w:szCs w:val="20"/>
    </w:rPr>
  </w:style>
  <w:style w:type="paragraph" w:styleId="11">
    <w:name w:val="Body Text Indent 2"/>
    <w:basedOn w:val="1"/>
    <w:link w:val="50"/>
    <w:qFormat/>
    <w:uiPriority w:val="0"/>
    <w:pPr>
      <w:spacing w:after="120" w:line="480" w:lineRule="auto"/>
      <w:ind w:left="420" w:leftChars="200"/>
    </w:pPr>
    <w:rPr>
      <w:szCs w:val="20"/>
    </w:rPr>
  </w:style>
  <w:style w:type="paragraph" w:styleId="12">
    <w:name w:val="Balloon Text"/>
    <w:basedOn w:val="1"/>
    <w:link w:val="57"/>
    <w:semiHidden/>
    <w:unhideWhenUsed/>
    <w:qFormat/>
    <w:uiPriority w:val="99"/>
    <w:rPr>
      <w:sz w:val="18"/>
      <w:szCs w:val="18"/>
    </w:rPr>
  </w:style>
  <w:style w:type="paragraph" w:styleId="13">
    <w:name w:val="footer"/>
    <w:basedOn w:val="1"/>
    <w:link w:val="53"/>
    <w:unhideWhenUsed/>
    <w:qFormat/>
    <w:uiPriority w:val="99"/>
    <w:pPr>
      <w:tabs>
        <w:tab w:val="center" w:pos="4153"/>
        <w:tab w:val="right" w:pos="8306"/>
      </w:tabs>
      <w:snapToGrid w:val="0"/>
      <w:jc w:val="left"/>
    </w:pPr>
    <w:rPr>
      <w:sz w:val="18"/>
      <w:szCs w:val="18"/>
    </w:rPr>
  </w:style>
  <w:style w:type="paragraph" w:styleId="14">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tabs>
        <w:tab w:val="right" w:leader="dot" w:pos="8891"/>
      </w:tabs>
      <w:spacing w:before="120" w:after="120" w:line="400" w:lineRule="exact"/>
      <w:jc w:val="center"/>
    </w:pPr>
    <w:rPr>
      <w:caps/>
      <w:sz w:val="28"/>
      <w:szCs w:val="28"/>
    </w:rPr>
  </w:style>
  <w:style w:type="paragraph" w:styleId="16">
    <w:name w:val="List"/>
    <w:basedOn w:val="1"/>
    <w:semiHidden/>
    <w:unhideWhenUsed/>
    <w:qFormat/>
    <w:uiPriority w:val="99"/>
    <w:pPr>
      <w:ind w:left="200" w:hanging="200" w:hangingChars="200"/>
      <w:contextualSpacing/>
    </w:pPr>
  </w:style>
  <w:style w:type="paragraph" w:styleId="17">
    <w:name w:val="table of figures"/>
    <w:basedOn w:val="1"/>
    <w:next w:val="1"/>
    <w:semiHidden/>
    <w:unhideWhenUsed/>
    <w:qFormat/>
    <w:uiPriority w:val="99"/>
    <w:pPr>
      <w:ind w:left="200" w:leftChars="200" w:hanging="200" w:hangingChars="200"/>
    </w:pPr>
  </w:style>
  <w:style w:type="paragraph" w:styleId="18">
    <w:name w:val="toc 2"/>
    <w:basedOn w:val="1"/>
    <w:next w:val="1"/>
    <w:qFormat/>
    <w:uiPriority w:val="0"/>
    <w:pPr>
      <w:ind w:left="420" w:leftChars="200"/>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64"/>
    <w:semiHidden/>
    <w:unhideWhenUsed/>
    <w:qFormat/>
    <w:uiPriority w:val="99"/>
    <w:rPr>
      <w:b/>
      <w:bCs/>
      <w:kern w:val="2"/>
    </w:rPr>
  </w:style>
  <w:style w:type="paragraph" w:styleId="21">
    <w:name w:val="Body Text First Indent"/>
    <w:basedOn w:val="7"/>
    <w:qFormat/>
    <w:uiPriority w:val="0"/>
    <w:pPr>
      <w:ind w:firstLine="420" w:firstLineChars="100"/>
    </w:pPr>
  </w:style>
  <w:style w:type="paragraph" w:styleId="22">
    <w:name w:val="Body Text First Indent 2"/>
    <w:basedOn w:val="9"/>
    <w:next w:val="1"/>
    <w:link w:val="58"/>
    <w:qFormat/>
    <w:uiPriority w:val="0"/>
    <w:pPr>
      <w:ind w:firstLine="420" w:firstLineChars="200"/>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Char Char Char Char Char Char Char"/>
    <w:basedOn w:val="1"/>
    <w:next w:val="3"/>
    <w:link w:val="25"/>
    <w:qFormat/>
    <w:uiPriority w:val="0"/>
    <w:pPr>
      <w:jc w:val="left"/>
    </w:pPr>
    <w:rPr>
      <w:rFonts w:eastAsia="黑体"/>
      <w:sz w:val="24"/>
      <w:szCs w:val="24"/>
    </w:rPr>
  </w:style>
  <w:style w:type="character" w:styleId="27">
    <w:name w:val="Hyperlink"/>
    <w:basedOn w:val="25"/>
    <w:semiHidden/>
    <w:unhideWhenUsed/>
    <w:qFormat/>
    <w:uiPriority w:val="99"/>
    <w:rPr>
      <w:color w:val="0000FF" w:themeColor="hyperlink"/>
      <w:u w:val="single"/>
      <w14:textFill>
        <w14:solidFill>
          <w14:schemeClr w14:val="hlink"/>
        </w14:solidFill>
      </w14:textFill>
    </w:rPr>
  </w:style>
  <w:style w:type="character" w:styleId="28">
    <w:name w:val="annotation reference"/>
    <w:unhideWhenUsed/>
    <w:qFormat/>
    <w:uiPriority w:val="99"/>
    <w:rPr>
      <w:rFonts w:ascii="Verdana" w:hAnsi="Verdana" w:eastAsia="仿宋_GB2312" w:cs="”“Times New Roman”“"/>
      <w:sz w:val="21"/>
      <w:szCs w:val="21"/>
      <w:lang w:val="en-US" w:eastAsia="en-US" w:bidi="ar-SA"/>
    </w:rPr>
  </w:style>
  <w:style w:type="paragraph" w:customStyle="1" w:styleId="29">
    <w:name w:val=" 正文"/>
    <w:basedOn w:val="1"/>
    <w:qFormat/>
    <w:uiPriority w:val="0"/>
    <w:pPr>
      <w:tabs>
        <w:tab w:val="left" w:pos="22680"/>
      </w:tabs>
      <w:spacing w:line="360" w:lineRule="auto"/>
      <w:ind w:firstLine="602" w:firstLineChars="200"/>
      <w:jc w:val="left"/>
    </w:pPr>
    <w:rPr>
      <w:rFonts w:ascii="宋体" w:hAnsi="宋体"/>
      <w:szCs w:val="20"/>
    </w:rPr>
  </w:style>
  <w:style w:type="paragraph" w:customStyle="1" w:styleId="30">
    <w:name w:val="正文(首行缩进)"/>
    <w:basedOn w:val="1"/>
    <w:qFormat/>
    <w:uiPriority w:val="0"/>
    <w:pPr>
      <w:adjustRightInd w:val="0"/>
      <w:snapToGrid w:val="0"/>
      <w:spacing w:line="300" w:lineRule="auto"/>
      <w:ind w:firstLine="200" w:firstLineChars="200"/>
    </w:pPr>
    <w:rPr>
      <w:rFonts w:ascii="Calibri" w:hAnsi="Calibri"/>
      <w:snapToGrid w:val="0"/>
      <w:kern w:val="0"/>
      <w:szCs w:val="22"/>
    </w:rPr>
  </w:style>
  <w:style w:type="character" w:customStyle="1" w:styleId="31">
    <w:name w:val="标题 1 Char"/>
    <w:link w:val="3"/>
    <w:qFormat/>
    <w:uiPriority w:val="0"/>
    <w:rPr>
      <w:b/>
      <w:sz w:val="36"/>
      <w:szCs w:val="24"/>
    </w:rPr>
  </w:style>
  <w:style w:type="character" w:customStyle="1" w:styleId="32">
    <w:name w:val="批注文字 Char"/>
    <w:basedOn w:val="25"/>
    <w:link w:val="6"/>
    <w:qFormat/>
    <w:uiPriority w:val="0"/>
    <w:rPr>
      <w:sz w:val="21"/>
      <w:szCs w:val="24"/>
    </w:rPr>
  </w:style>
  <w:style w:type="paragraph" w:customStyle="1" w:styleId="33">
    <w:name w:val="报告表正文"/>
    <w:basedOn w:val="1"/>
    <w:link w:val="34"/>
    <w:qFormat/>
    <w:uiPriority w:val="0"/>
    <w:pPr>
      <w:adjustRightInd w:val="0"/>
      <w:spacing w:line="312" w:lineRule="auto"/>
      <w:ind w:left="113" w:right="113" w:firstLine="482"/>
      <w:jc w:val="left"/>
      <w:textAlignment w:val="baseline"/>
    </w:pPr>
    <w:rPr>
      <w:kern w:val="0"/>
      <w:sz w:val="24"/>
      <w:szCs w:val="20"/>
    </w:rPr>
  </w:style>
  <w:style w:type="character" w:customStyle="1" w:styleId="34">
    <w:name w:val="报告表正文 Char"/>
    <w:link w:val="33"/>
    <w:qFormat/>
    <w:uiPriority w:val="0"/>
    <w:rPr>
      <w:sz w:val="24"/>
    </w:rPr>
  </w:style>
  <w:style w:type="paragraph" w:customStyle="1" w:styleId="35">
    <w:name w:val="sheet"/>
    <w:basedOn w:val="1"/>
    <w:qFormat/>
    <w:uiPriority w:val="0"/>
    <w:pPr>
      <w:jc w:val="center"/>
    </w:pPr>
    <w:rPr>
      <w:kern w:val="0"/>
      <w:szCs w:val="20"/>
    </w:rPr>
  </w:style>
  <w:style w:type="character" w:customStyle="1" w:styleId="36">
    <w:name w:val="正文缩进 Char"/>
    <w:basedOn w:val="25"/>
    <w:link w:val="5"/>
    <w:qFormat/>
    <w:uiPriority w:val="0"/>
    <w:rPr>
      <w:kern w:val="2"/>
      <w:sz w:val="28"/>
    </w:rPr>
  </w:style>
  <w:style w:type="character" w:customStyle="1" w:styleId="37">
    <w:name w:val="标准正文 Char"/>
    <w:link w:val="38"/>
    <w:qFormat/>
    <w:uiPriority w:val="0"/>
    <w:rPr>
      <w:rFonts w:ascii="宋体"/>
      <w:kern w:val="2"/>
      <w:sz w:val="24"/>
      <w:szCs w:val="24"/>
    </w:rPr>
  </w:style>
  <w:style w:type="paragraph" w:customStyle="1" w:styleId="38">
    <w:name w:val="标准正文"/>
    <w:basedOn w:val="1"/>
    <w:link w:val="37"/>
    <w:qFormat/>
    <w:uiPriority w:val="0"/>
    <w:pPr>
      <w:spacing w:line="360" w:lineRule="auto"/>
      <w:ind w:firstLine="480" w:firstLineChars="200"/>
    </w:pPr>
    <w:rPr>
      <w:rFonts w:ascii="宋体"/>
      <w:sz w:val="24"/>
    </w:rPr>
  </w:style>
  <w:style w:type="paragraph" w:customStyle="1" w:styleId="39">
    <w:name w:val="正文 New"/>
    <w:qFormat/>
    <w:uiPriority w:val="0"/>
    <w:pPr>
      <w:widowControl w:val="0"/>
      <w:adjustRightInd w:val="0"/>
      <w:spacing w:line="360" w:lineRule="auto"/>
      <w:ind w:firstLine="200" w:firstLineChars="200"/>
      <w:textAlignment w:val="baseline"/>
    </w:pPr>
    <w:rPr>
      <w:rFonts w:ascii="Times New Roman" w:hAnsi="Times New Roman" w:eastAsia="宋体" w:cs="Times New Roman"/>
      <w:sz w:val="24"/>
      <w:lang w:val="en-US" w:eastAsia="zh-CN" w:bidi="ar-SA"/>
    </w:rPr>
  </w:style>
  <w:style w:type="character" w:customStyle="1" w:styleId="40">
    <w:name w:val="正文文本缩进 Char"/>
    <w:basedOn w:val="25"/>
    <w:link w:val="9"/>
    <w:qFormat/>
    <w:uiPriority w:val="0"/>
    <w:rPr>
      <w:kern w:val="2"/>
      <w:sz w:val="21"/>
    </w:rPr>
  </w:style>
  <w:style w:type="paragraph" w:customStyle="1" w:styleId="41">
    <w:name w:val="表格文字"/>
    <w:basedOn w:val="1"/>
    <w:qFormat/>
    <w:uiPriority w:val="0"/>
    <w:pPr>
      <w:adjustRightInd w:val="0"/>
      <w:spacing w:line="400" w:lineRule="atLeast"/>
      <w:jc w:val="center"/>
    </w:pPr>
    <w:rPr>
      <w:kern w:val="24"/>
      <w:sz w:val="24"/>
      <w:szCs w:val="20"/>
    </w:rPr>
  </w:style>
  <w:style w:type="paragraph" w:customStyle="1" w:styleId="42">
    <w:name w:val="报告表三级标题"/>
    <w:qFormat/>
    <w:uiPriority w:val="0"/>
    <w:pPr>
      <w:spacing w:line="360" w:lineRule="auto"/>
      <w:ind w:firstLine="200" w:firstLineChars="200"/>
      <w:outlineLvl w:val="2"/>
    </w:pPr>
    <w:rPr>
      <w:rFonts w:ascii="Times New Roman" w:hAnsi="宋体" w:eastAsia="宋体" w:cs="宋体"/>
      <w:b/>
      <w:kern w:val="2"/>
      <w:sz w:val="24"/>
      <w:szCs w:val="22"/>
      <w:lang w:val="en-US" w:eastAsia="zh-CN" w:bidi="ar-SA"/>
    </w:rPr>
  </w:style>
  <w:style w:type="paragraph" w:customStyle="1" w:styleId="43">
    <w:name w:val="报告正文"/>
    <w:basedOn w:val="1"/>
    <w:qFormat/>
    <w:uiPriority w:val="0"/>
    <w:pPr>
      <w:adjustRightInd w:val="0"/>
      <w:snapToGrid w:val="0"/>
      <w:spacing w:line="360" w:lineRule="auto"/>
      <w:ind w:firstLine="200" w:firstLineChars="200"/>
    </w:pPr>
    <w:rPr>
      <w:rFonts w:ascii="宋体"/>
      <w:sz w:val="24"/>
      <w:szCs w:val="20"/>
    </w:rPr>
  </w:style>
  <w:style w:type="character" w:customStyle="1" w:styleId="44">
    <w:name w:val="标题 3 Char"/>
    <w:basedOn w:val="25"/>
    <w:link w:val="2"/>
    <w:semiHidden/>
    <w:qFormat/>
    <w:uiPriority w:val="0"/>
    <w:rPr>
      <w:b/>
      <w:bCs/>
      <w:kern w:val="2"/>
      <w:sz w:val="32"/>
      <w:szCs w:val="32"/>
    </w:rPr>
  </w:style>
  <w:style w:type="paragraph" w:customStyle="1" w:styleId="45">
    <w:name w:val="报告表格"/>
    <w:basedOn w:val="16"/>
    <w:qFormat/>
    <w:uiPriority w:val="0"/>
    <w:pPr>
      <w:widowControl/>
      <w:overflowPunct w:val="0"/>
      <w:autoSpaceDE w:val="0"/>
      <w:autoSpaceDN w:val="0"/>
      <w:adjustRightInd w:val="0"/>
      <w:ind w:left="0" w:firstLine="0" w:firstLineChars="0"/>
      <w:contextualSpacing w:val="0"/>
      <w:jc w:val="center"/>
      <w:textAlignment w:val="baseline"/>
    </w:pPr>
    <w:rPr>
      <w:kern w:val="0"/>
      <w:szCs w:val="20"/>
      <w:lang w:val="en-GB"/>
    </w:rPr>
  </w:style>
  <w:style w:type="paragraph" w:styleId="46">
    <w:name w:val="No Spacing"/>
    <w:qFormat/>
    <w:uiPriority w:val="0"/>
    <w:pPr>
      <w:widowControl w:val="0"/>
      <w:jc w:val="center"/>
    </w:pPr>
    <w:rPr>
      <w:rFonts w:ascii="Times New Roman" w:hAnsi="Times New Roman" w:eastAsia="Times New Roman" w:cs="Times New Roman"/>
      <w:kern w:val="2"/>
      <w:sz w:val="21"/>
      <w:szCs w:val="22"/>
      <w:lang w:val="en-US" w:eastAsia="zh-CN" w:bidi="ar-SA"/>
    </w:rPr>
  </w:style>
  <w:style w:type="paragraph" w:customStyle="1" w:styleId="47">
    <w:name w:val="表头"/>
    <w:basedOn w:val="17"/>
    <w:next w:val="1"/>
    <w:qFormat/>
    <w:uiPriority w:val="0"/>
    <w:pPr>
      <w:adjustRightInd w:val="0"/>
      <w:spacing w:line="320" w:lineRule="atLeast"/>
      <w:jc w:val="center"/>
      <w:textAlignment w:val="baseline"/>
    </w:pPr>
    <w:rPr>
      <w:rFonts w:eastAsia="黑体"/>
      <w:spacing w:val="-10"/>
      <w:kern w:val="0"/>
      <w:szCs w:val="20"/>
    </w:rPr>
  </w:style>
  <w:style w:type="paragraph" w:customStyle="1" w:styleId="48">
    <w:name w:val="正文正本 + 宋体"/>
    <w:basedOn w:val="1"/>
    <w:qFormat/>
    <w:uiPriority w:val="0"/>
    <w:pPr>
      <w:widowControl/>
      <w:spacing w:line="360" w:lineRule="auto"/>
      <w:ind w:firstLine="510"/>
      <w:jc w:val="left"/>
    </w:pPr>
    <w:rPr>
      <w:rFonts w:ascii="宋体" w:hAnsi="宋体"/>
      <w:kern w:val="0"/>
      <w:sz w:val="24"/>
    </w:rPr>
  </w:style>
  <w:style w:type="character" w:customStyle="1" w:styleId="49">
    <w:name w:val="标题 2 Char"/>
    <w:basedOn w:val="25"/>
    <w:link w:val="4"/>
    <w:semiHidden/>
    <w:qFormat/>
    <w:uiPriority w:val="0"/>
    <w:rPr>
      <w:rFonts w:asciiTheme="majorHAnsi" w:hAnsiTheme="majorHAnsi" w:eastAsiaTheme="majorEastAsia" w:cstheme="majorBidi"/>
      <w:b/>
      <w:bCs/>
      <w:kern w:val="2"/>
      <w:sz w:val="32"/>
      <w:szCs w:val="32"/>
    </w:rPr>
  </w:style>
  <w:style w:type="character" w:customStyle="1" w:styleId="50">
    <w:name w:val="正文文本缩进 2 Char"/>
    <w:basedOn w:val="25"/>
    <w:link w:val="11"/>
    <w:qFormat/>
    <w:uiPriority w:val="0"/>
    <w:rPr>
      <w:kern w:val="2"/>
      <w:sz w:val="21"/>
    </w:rPr>
  </w:style>
  <w:style w:type="paragraph" w:customStyle="1" w:styleId="51">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character" w:customStyle="1" w:styleId="52">
    <w:name w:val="页眉 Char"/>
    <w:basedOn w:val="25"/>
    <w:link w:val="14"/>
    <w:qFormat/>
    <w:uiPriority w:val="99"/>
    <w:rPr>
      <w:kern w:val="2"/>
      <w:sz w:val="18"/>
      <w:szCs w:val="18"/>
    </w:rPr>
  </w:style>
  <w:style w:type="character" w:customStyle="1" w:styleId="53">
    <w:name w:val="页脚 Char"/>
    <w:basedOn w:val="25"/>
    <w:link w:val="13"/>
    <w:qFormat/>
    <w:uiPriority w:val="99"/>
    <w:rPr>
      <w:kern w:val="2"/>
      <w:sz w:val="18"/>
      <w:szCs w:val="18"/>
    </w:rPr>
  </w:style>
  <w:style w:type="paragraph" w:customStyle="1" w:styleId="54">
    <w:name w:val="表格文字2"/>
    <w:basedOn w:val="41"/>
    <w:qFormat/>
    <w:uiPriority w:val="0"/>
    <w:pPr>
      <w:tabs>
        <w:tab w:val="left" w:pos="277"/>
        <w:tab w:val="left" w:pos="600"/>
        <w:tab w:val="left" w:pos="780"/>
        <w:tab w:val="left" w:pos="2517"/>
      </w:tabs>
      <w:textAlignment w:val="baseline"/>
    </w:pPr>
    <w:rPr>
      <w:kern w:val="0"/>
    </w:rPr>
  </w:style>
  <w:style w:type="character" w:customStyle="1" w:styleId="55">
    <w:name w:val="正文文本 Char"/>
    <w:link w:val="7"/>
    <w:qFormat/>
    <w:uiPriority w:val="0"/>
    <w:rPr>
      <w:kern w:val="2"/>
      <w:sz w:val="21"/>
    </w:rPr>
  </w:style>
  <w:style w:type="character" w:customStyle="1" w:styleId="56">
    <w:name w:val="正文文本 Char1"/>
    <w:basedOn w:val="25"/>
    <w:semiHidden/>
    <w:qFormat/>
    <w:uiPriority w:val="99"/>
    <w:rPr>
      <w:kern w:val="2"/>
      <w:sz w:val="21"/>
      <w:szCs w:val="24"/>
    </w:rPr>
  </w:style>
  <w:style w:type="character" w:customStyle="1" w:styleId="57">
    <w:name w:val="批注框文本 Char"/>
    <w:basedOn w:val="25"/>
    <w:link w:val="12"/>
    <w:semiHidden/>
    <w:qFormat/>
    <w:uiPriority w:val="99"/>
    <w:rPr>
      <w:kern w:val="2"/>
      <w:sz w:val="18"/>
      <w:szCs w:val="18"/>
    </w:rPr>
  </w:style>
  <w:style w:type="character" w:customStyle="1" w:styleId="58">
    <w:name w:val="正文首行缩进 2 Char"/>
    <w:basedOn w:val="40"/>
    <w:link w:val="22"/>
    <w:qFormat/>
    <w:uiPriority w:val="0"/>
    <w:rPr>
      <w:kern w:val="2"/>
      <w:sz w:val="21"/>
    </w:rPr>
  </w:style>
  <w:style w:type="character" w:customStyle="1" w:styleId="59">
    <w:name w:val="纯文本 Char"/>
    <w:link w:val="10"/>
    <w:qFormat/>
    <w:uiPriority w:val="0"/>
    <w:rPr>
      <w:rFonts w:ascii="宋体" w:hAnsi="Courier New"/>
      <w:kern w:val="2"/>
      <w:sz w:val="21"/>
    </w:rPr>
  </w:style>
  <w:style w:type="character" w:customStyle="1" w:styleId="60">
    <w:name w:val="纯文本 Char1"/>
    <w:basedOn w:val="25"/>
    <w:semiHidden/>
    <w:qFormat/>
    <w:uiPriority w:val="99"/>
    <w:rPr>
      <w:rFonts w:ascii="宋体" w:hAnsi="Courier New" w:cs="Courier New"/>
      <w:kern w:val="2"/>
      <w:sz w:val="21"/>
      <w:szCs w:val="21"/>
    </w:rPr>
  </w:style>
  <w:style w:type="paragraph" w:customStyle="1" w:styleId="61">
    <w:name w:val="九晟表格"/>
    <w:basedOn w:val="1"/>
    <w:qFormat/>
    <w:uiPriority w:val="0"/>
    <w:pPr>
      <w:spacing w:line="360" w:lineRule="exact"/>
      <w:jc w:val="center"/>
    </w:pPr>
    <w:rPr>
      <w:szCs w:val="20"/>
    </w:rPr>
  </w:style>
  <w:style w:type="paragraph" w:customStyle="1" w:styleId="62">
    <w:name w:val="样式 (符号) 宋体 小四 行距: 1.5 倍行距"/>
    <w:basedOn w:val="1"/>
    <w:qFormat/>
    <w:uiPriority w:val="0"/>
    <w:pPr>
      <w:spacing w:line="360" w:lineRule="auto"/>
      <w:ind w:firstLine="480" w:firstLineChars="200"/>
    </w:pPr>
    <w:rPr>
      <w:rFonts w:hAnsi="宋体" w:cs="宋体"/>
      <w:sz w:val="24"/>
    </w:rPr>
  </w:style>
  <w:style w:type="paragraph" w:styleId="63">
    <w:name w:val="List Paragraph"/>
    <w:basedOn w:val="1"/>
    <w:unhideWhenUsed/>
    <w:qFormat/>
    <w:uiPriority w:val="99"/>
    <w:pPr>
      <w:ind w:firstLine="420" w:firstLineChars="200"/>
    </w:pPr>
  </w:style>
  <w:style w:type="character" w:customStyle="1" w:styleId="64">
    <w:name w:val="批注主题 Char"/>
    <w:basedOn w:val="32"/>
    <w:link w:val="20"/>
    <w:semiHidden/>
    <w:qFormat/>
    <w:uiPriority w:val="99"/>
    <w:rPr>
      <w:b/>
      <w:bCs/>
      <w:kern w:val="2"/>
      <w:sz w:val="21"/>
      <w:szCs w:val="24"/>
    </w:rPr>
  </w:style>
  <w:style w:type="paragraph" w:customStyle="1" w:styleId="65">
    <w:name w:val="Table Paragraph"/>
    <w:basedOn w:val="1"/>
    <w:qFormat/>
    <w:uiPriority w:val="1"/>
  </w:style>
  <w:style w:type="character" w:customStyle="1" w:styleId="66">
    <w:name w:val="fontstyle01"/>
    <w:basedOn w:val="25"/>
    <w:qFormat/>
    <w:uiPriority w:val="0"/>
    <w:rPr>
      <w:rFonts w:ascii="黑体" w:hAnsi="宋体" w:eastAsia="黑体" w:cs="黑体"/>
      <w:color w:val="000000"/>
      <w:sz w:val="28"/>
      <w:szCs w:val="28"/>
    </w:rPr>
  </w:style>
  <w:style w:type="paragraph" w:customStyle="1" w:styleId="67">
    <w:name w:val="表格"/>
    <w:basedOn w:val="1"/>
    <w:next w:val="1"/>
    <w:qFormat/>
    <w:uiPriority w:val="0"/>
    <w:pPr>
      <w:jc w:val="center"/>
    </w:pPr>
    <w:rPr>
      <w:bCs/>
      <w:szCs w:val="21"/>
    </w:rPr>
  </w:style>
  <w:style w:type="paragraph" w:customStyle="1" w:styleId="68">
    <w:name w:val="正文表格内容"/>
    <w:basedOn w:val="1"/>
    <w:qFormat/>
    <w:uiPriority w:val="0"/>
    <w:pPr>
      <w:spacing w:line="360" w:lineRule="exact"/>
      <w:jc w:val="center"/>
    </w:pPr>
    <w:rPr>
      <w:rFonts w:eastAsia="楷体_GB2312"/>
      <w:color w:val="000000"/>
      <w:sz w:val="21"/>
    </w:rPr>
  </w:style>
  <w:style w:type="paragraph" w:customStyle="1" w:styleId="69">
    <w:name w:val="表内标题"/>
    <w:qFormat/>
    <w:uiPriority w:val="0"/>
    <w:pPr>
      <w:spacing w:beforeLines="25" w:afterLines="25"/>
      <w:jc w:val="center"/>
    </w:pPr>
    <w:rPr>
      <w:rFonts w:ascii="宋体" w:hAnsi="宋体" w:eastAsia="宋体" w:cs="Times New Roman"/>
      <w:b/>
      <w:sz w:val="21"/>
      <w:szCs w:val="24"/>
      <w:lang w:bidi="ar-SA"/>
    </w:rPr>
  </w:style>
  <w:style w:type="paragraph" w:customStyle="1" w:styleId="70">
    <w:name w:val="表内内容"/>
    <w:qFormat/>
    <w:uiPriority w:val="0"/>
    <w:pPr>
      <w:spacing w:beforeLines="25" w:afterLines="25"/>
      <w:jc w:val="center"/>
    </w:pPr>
    <w:rPr>
      <w:rFonts w:ascii="宋体" w:hAnsi="宋体" w:eastAsia="宋体" w:cs="Times New Roman"/>
      <w:snapToGrid w:val="0"/>
      <w:sz w:val="21"/>
      <w:szCs w:val="21"/>
      <w:lang w:bidi="ar-SA"/>
    </w:rPr>
  </w:style>
  <w:style w:type="character" w:customStyle="1" w:styleId="71">
    <w:name w:val="fontstyle21"/>
    <w:qFormat/>
    <w:uiPriority w:val="0"/>
    <w:rPr>
      <w:rFonts w:hint="eastAsia" w:ascii="TimesNewRomanPSMT" w:eastAsia="TimesNewRomanPSMT"/>
      <w:color w:val="000000"/>
      <w:sz w:val="24"/>
      <w:szCs w:val="24"/>
    </w:rPr>
  </w:style>
  <w:style w:type="paragraph" w:customStyle="1" w:styleId="72">
    <w:name w:val="样式 标题 2H2He + 首行缩进:  0.5 字符"/>
    <w:basedOn w:val="4"/>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eastAsia="宋体" w:cs="宋体"/>
      <w:color w:val="000000"/>
      <w:kern w:val="32"/>
      <w:szCs w:val="20"/>
    </w:rPr>
  </w:style>
  <w:style w:type="paragraph" w:customStyle="1" w:styleId="73">
    <w:name w:val="表格标题"/>
    <w:basedOn w:val="1"/>
    <w:qFormat/>
    <w:uiPriority w:val="0"/>
    <w:pPr>
      <w:spacing w:before="120"/>
      <w:jc w:val="center"/>
    </w:pPr>
  </w:style>
  <w:style w:type="paragraph" w:customStyle="1" w:styleId="74">
    <w:name w:val="文本"/>
    <w:basedOn w:val="21"/>
    <w:qFormat/>
    <w:uiPriority w:val="0"/>
    <w:rPr>
      <w:kern w:val="0"/>
      <w:szCs w:val="24"/>
    </w:rPr>
  </w:style>
  <w:style w:type="paragraph" w:customStyle="1" w:styleId="75">
    <w:name w:val="8.26"/>
    <w:basedOn w:val="1"/>
    <w:qFormat/>
    <w:uiPriority w:val="0"/>
    <w:pPr>
      <w:widowControl/>
      <w:wordWrap w:val="0"/>
      <w:spacing w:line="520" w:lineRule="exact"/>
      <w:ind w:firstLine="480" w:firstLineChars="200"/>
      <w:jc w:val="left"/>
    </w:pPr>
    <w:rPr>
      <w:sz w:val="24"/>
    </w:rPr>
  </w:style>
  <w:style w:type="paragraph" w:customStyle="1" w:styleId="76">
    <w:name w:val="表格文字1"/>
    <w:basedOn w:val="1"/>
    <w:qFormat/>
    <w:uiPriority w:val="0"/>
    <w:pPr>
      <w:adjustRightInd w:val="0"/>
      <w:snapToGrid w:val="0"/>
      <w:jc w:val="center"/>
    </w:pPr>
    <w:rPr>
      <w:rFonts w:ascii="宋体" w:hAnsi="宋体"/>
      <w:kern w:val="0"/>
      <w:szCs w:val="21"/>
    </w:rPr>
  </w:style>
  <w:style w:type="paragraph" w:customStyle="1" w:styleId="77">
    <w:name w:val="WPS Plain"/>
    <w:qFormat/>
    <w:uiPriority w:val="0"/>
    <w:rPr>
      <w:rFonts w:ascii="Times New Roman" w:hAnsi="Times New Roman" w:eastAsia="宋体" w:cs="Times New Roman"/>
      <w:sz w:val="21"/>
      <w:szCs w:val="22"/>
      <w:lang w:val="en-US" w:eastAsia="zh-CN" w:bidi="ar-SA"/>
    </w:rPr>
  </w:style>
  <w:style w:type="character" w:customStyle="1" w:styleId="78">
    <w:name w:val="标题 3 Char Char Char1"/>
    <w:basedOn w:val="25"/>
    <w:qFormat/>
    <w:uiPriority w:val="0"/>
    <w:rPr>
      <w:rFonts w:ascii="Arial" w:hAnsi="Arial" w:eastAsia="宋体" w:cs="Arial"/>
      <w:b/>
      <w:bCs/>
      <w:sz w:val="26"/>
      <w:szCs w:val="26"/>
      <w:lang w:val="en-US" w:eastAsia="zh-CN" w:bidi="ar-SA"/>
    </w:rPr>
  </w:style>
  <w:style w:type="character" w:customStyle="1" w:styleId="79">
    <w:name w:val="font31"/>
    <w:basedOn w:val="25"/>
    <w:qFormat/>
    <w:uiPriority w:val="0"/>
    <w:rPr>
      <w:rFonts w:hint="default" w:ascii="Wingdings 2" w:hAnsi="Wingdings 2" w:eastAsia="Wingdings 2" w:cs="Wingdings 2"/>
      <w:color w:val="000000"/>
      <w:sz w:val="24"/>
      <w:szCs w:val="24"/>
      <w:u w:val="none"/>
    </w:rPr>
  </w:style>
  <w:style w:type="paragraph" w:customStyle="1" w:styleId="80">
    <w:name w:val="BG1"/>
    <w:basedOn w:val="1"/>
    <w:qFormat/>
    <w:uiPriority w:val="0"/>
    <w:pPr>
      <w:spacing w:line="360" w:lineRule="auto"/>
      <w:ind w:firstLine="422" w:firstLineChars="200"/>
      <w:jc w:val="center"/>
    </w:pPr>
    <w:rPr>
      <w:rFonts w:ascii="Times New Roman" w:hAnsi="Times New Roman"/>
      <w:b/>
      <w:bCs/>
      <w:color w:val="000000"/>
      <w:kern w:val="0"/>
    </w:rPr>
  </w:style>
  <w:style w:type="paragraph" w:customStyle="1" w:styleId="81">
    <w:name w:val="正文文"/>
    <w:basedOn w:val="1"/>
    <w:qFormat/>
    <w:uiPriority w:val="0"/>
    <w:pPr>
      <w:ind w:firstLine="1441"/>
      <w:jc w:val="left"/>
    </w:pPr>
  </w:style>
  <w:style w:type="paragraph" w:customStyle="1" w:styleId="82">
    <w:name w:val="正文首行缩进 2 + Times New Roman"/>
    <w:basedOn w:val="1"/>
    <w:qFormat/>
    <w:uiPriority w:val="0"/>
    <w:pPr>
      <w:tabs>
        <w:tab w:val="left" w:pos="0"/>
        <w:tab w:val="left" w:pos="870"/>
        <w:tab w:val="left" w:pos="3150"/>
      </w:tabs>
      <w:autoSpaceDE w:val="0"/>
      <w:autoSpaceDN w:val="0"/>
      <w:spacing w:line="360" w:lineRule="auto"/>
      <w:ind w:right="210" w:rightChars="100" w:firstLine="480" w:firstLineChars="200"/>
      <w:jc w:val="left"/>
    </w:pPr>
    <w:rPr>
      <w:snapToGrid w:val="0"/>
      <w:color w:val="000000" w:themeColor="text1"/>
      <w:sz w:val="24"/>
      <w14:textFill>
        <w14:solidFill>
          <w14:schemeClr w14:val="tx1"/>
        </w14:solidFill>
      </w14:textFill>
    </w:rPr>
  </w:style>
  <w:style w:type="paragraph" w:customStyle="1" w:styleId="83">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5.jpeg"/><Relationship Id="rId44" Type="http://schemas.openxmlformats.org/officeDocument/2006/relationships/image" Target="http://www.anquan.com.cn/Soft/UploadSoftPic/200504/20050426150138148.gif" TargetMode="External"/><Relationship Id="rId43" Type="http://schemas.openxmlformats.org/officeDocument/2006/relationships/image" Target="media/image24.GIF"/><Relationship Id="rId42" Type="http://schemas.openxmlformats.org/officeDocument/2006/relationships/image" Target="http://www.gzbdl.cn/huibian/html/F049.files/image011.jpg" TargetMode="External"/><Relationship Id="rId41" Type="http://schemas.openxmlformats.org/officeDocument/2006/relationships/image" Target="media/image23.jpeg"/><Relationship Id="rId40" Type="http://schemas.openxmlformats.org/officeDocument/2006/relationships/image" Target="http://www.gzbdl.cn/huibian/html/F049.files/image007.jpg" TargetMode="External"/><Relationship Id="rId4" Type="http://schemas.openxmlformats.org/officeDocument/2006/relationships/footer" Target="footer1.xml"/><Relationship Id="rId39" Type="http://schemas.openxmlformats.org/officeDocument/2006/relationships/image" Target="media/image22.jpeg"/><Relationship Id="rId38" Type="http://schemas.openxmlformats.org/officeDocument/2006/relationships/image" Target="http://www.gzbdl.cn/huibian/html/F049.files/image003.jpg" TargetMode="External"/><Relationship Id="rId37" Type="http://schemas.openxmlformats.org/officeDocument/2006/relationships/image" Target="media/image21.jpe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10.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oleObject" Target="embeddings/oleObject8.bin"/><Relationship Id="rId25" Type="http://schemas.openxmlformats.org/officeDocument/2006/relationships/image" Target="media/image12.emf"/><Relationship Id="rId24" Type="http://schemas.openxmlformats.org/officeDocument/2006/relationships/oleObject" Target="embeddings/oleObject7.bin"/><Relationship Id="rId23" Type="http://schemas.openxmlformats.org/officeDocument/2006/relationships/image" Target="media/image11.e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oleObject" Target="embeddings/oleObject3.bin"/><Relationship Id="rId12" Type="http://schemas.openxmlformats.org/officeDocument/2006/relationships/image" Target="media/image4.wmf"/><Relationship Id="rId11" Type="http://schemas.openxmlformats.org/officeDocument/2006/relationships/oleObject" Target="embeddings/oleObject2.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0E8736-F2ED-44EA-BBD1-9682B8A570C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6960</Words>
  <Characters>39677</Characters>
  <Lines>330</Lines>
  <Paragraphs>93</Paragraphs>
  <TotalTime>167</TotalTime>
  <ScaleCrop>false</ScaleCrop>
  <LinksUpToDate>false</LinksUpToDate>
  <CharactersWithSpaces>46544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2019-11-18T13:47:00Z</dcterms:created>
  <dc:creator>PC</dc:creator>
  <cp:lastModifiedBy>晓琳</cp:lastModifiedBy>
  <cp:lastPrinted>2020-07-31T01:49:00Z</cp:lastPrinted>
  <dcterms:modified xsi:type="dcterms:W3CDTF">2021-01-11T09:31:10Z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