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firstLine="600" w:firstLineChars="200"/>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rPr>
        <w:t>一、建设项目基本情况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775"/>
        <w:gridCol w:w="2650"/>
        <w:gridCol w:w="146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建设项目名称</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hint="eastAsia" w:ascii="宋体" w:hAnsi="宋体" w:eastAsia="宋体"/>
                <w:color w:val="auto"/>
                <w:szCs w:val="21"/>
              </w:rPr>
              <w:t>（利新）新型节能环保保温材料项目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5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项目代码</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u w:val="single"/>
                <w:lang w:val="en-US" w:eastAsia="zh-CN"/>
              </w:rPr>
              <w:t>2019-430781-04-03-137340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建设单位联系人</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hint="eastAsia" w:ascii="宋体" w:hAnsi="宋体" w:eastAsia="宋体"/>
                <w:color w:val="auto"/>
                <w:szCs w:val="21"/>
              </w:rPr>
              <w:t>覃新星</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联系方式</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Times New Roman"/>
                <w:color w:val="auto"/>
                <w:szCs w:val="21"/>
              </w:rPr>
            </w:pPr>
            <w:r>
              <w:rPr>
                <w:rFonts w:hint="eastAsia" w:ascii="Times New Roman" w:hAnsi="Times New Roman" w:eastAsia="Times New Roman"/>
                <w:color w:val="auto"/>
                <w:szCs w:val="21"/>
              </w:rPr>
              <w:t>18673652999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8"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建设地点</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湖南省</w:t>
            </w:r>
            <w:r>
              <w:rPr>
                <w:rFonts w:hint="eastAsia" w:ascii="宋体" w:hAnsi="宋体" w:eastAsia="宋体"/>
                <w:color w:val="auto"/>
                <w:szCs w:val="21"/>
              </w:rPr>
              <w:t>常德</w:t>
            </w:r>
            <w:r>
              <w:rPr>
                <w:rFonts w:ascii="宋体" w:hAnsi="宋体" w:eastAsia="宋体"/>
                <w:color w:val="auto"/>
                <w:szCs w:val="21"/>
              </w:rPr>
              <w:t>市</w:t>
            </w:r>
            <w:r>
              <w:rPr>
                <w:rFonts w:hint="eastAsia" w:ascii="宋体" w:hAnsi="宋体" w:eastAsia="宋体"/>
                <w:color w:val="auto"/>
                <w:szCs w:val="21"/>
              </w:rPr>
              <w:t>津市</w:t>
            </w:r>
            <w:r>
              <w:rPr>
                <w:rFonts w:hint="eastAsia" w:ascii="Times New Roman" w:hAnsi="Times New Roman" w:eastAsia="Times New Roman"/>
                <w:color w:val="auto"/>
                <w:szCs w:val="21"/>
              </w:rPr>
              <w:t>高新技术产业开发区团湖大道右侧钰兴科技园4号车间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5"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地理坐标</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w:t>
            </w:r>
            <w:r>
              <w:rPr>
                <w:rFonts w:ascii="Times New Roman" w:hAnsi="Times New Roman" w:eastAsia="Times New Roman"/>
                <w:color w:val="auto"/>
                <w:szCs w:val="21"/>
                <w:u w:val="single"/>
              </w:rPr>
              <w:t>11</w:t>
            </w:r>
            <w:r>
              <w:rPr>
                <w:rFonts w:hint="eastAsia" w:ascii="Times New Roman" w:hAnsi="Times New Roman" w:eastAsia="宋体"/>
                <w:color w:val="auto"/>
                <w:szCs w:val="21"/>
                <w:u w:val="single"/>
              </w:rPr>
              <w:t>1</w:t>
            </w:r>
            <w:r>
              <w:rPr>
                <w:rFonts w:ascii="宋体" w:hAnsi="宋体" w:eastAsia="宋体"/>
                <w:color w:val="auto"/>
                <w:szCs w:val="21"/>
              </w:rPr>
              <w:t>度</w:t>
            </w:r>
            <w:r>
              <w:rPr>
                <w:rFonts w:hint="eastAsia" w:ascii="Times New Roman" w:hAnsi="Times New Roman" w:eastAsia="宋体"/>
                <w:color w:val="auto"/>
                <w:szCs w:val="21"/>
                <w:u w:val="single"/>
              </w:rPr>
              <w:t>51</w:t>
            </w:r>
            <w:r>
              <w:rPr>
                <w:rFonts w:ascii="宋体" w:hAnsi="宋体" w:eastAsia="宋体"/>
                <w:color w:val="auto"/>
                <w:szCs w:val="21"/>
              </w:rPr>
              <w:t>分</w:t>
            </w:r>
            <w:r>
              <w:rPr>
                <w:rFonts w:hint="eastAsia" w:ascii="Times New Roman" w:hAnsi="Times New Roman" w:eastAsia="宋体"/>
                <w:color w:val="auto"/>
                <w:szCs w:val="21"/>
                <w:u w:val="single"/>
              </w:rPr>
              <w:t>0.08</w:t>
            </w:r>
            <w:r>
              <w:rPr>
                <w:rFonts w:hint="eastAsia" w:ascii="Times New Roman" w:hAnsi="Times New Roman" w:eastAsia="宋体"/>
                <w:color w:val="auto"/>
                <w:szCs w:val="21"/>
                <w:u w:val="single"/>
                <w:lang w:val="en-US" w:eastAsia="zh-CN"/>
              </w:rPr>
              <w:t>3</w:t>
            </w:r>
            <w:r>
              <w:rPr>
                <w:rFonts w:ascii="宋体" w:hAnsi="宋体" w:eastAsia="宋体"/>
                <w:color w:val="auto"/>
                <w:szCs w:val="21"/>
              </w:rPr>
              <w:t>秒，</w:t>
            </w:r>
            <w:r>
              <w:rPr>
                <w:rFonts w:hint="eastAsia" w:ascii="Times New Roman" w:hAnsi="Times New Roman" w:eastAsia="宋体"/>
                <w:color w:val="auto"/>
                <w:szCs w:val="21"/>
                <w:u w:val="single"/>
              </w:rPr>
              <w:t>29</w:t>
            </w:r>
            <w:r>
              <w:rPr>
                <w:rFonts w:ascii="宋体" w:hAnsi="宋体" w:eastAsia="宋体"/>
                <w:color w:val="auto"/>
                <w:szCs w:val="21"/>
              </w:rPr>
              <w:t>度</w:t>
            </w:r>
            <w:r>
              <w:rPr>
                <w:rFonts w:hint="eastAsia" w:ascii="Times New Roman" w:hAnsi="Times New Roman" w:eastAsia="宋体"/>
                <w:color w:val="auto"/>
                <w:szCs w:val="21"/>
                <w:u w:val="single"/>
              </w:rPr>
              <w:t>34</w:t>
            </w:r>
            <w:r>
              <w:rPr>
                <w:rFonts w:ascii="宋体" w:hAnsi="宋体" w:eastAsia="宋体"/>
                <w:color w:val="auto"/>
                <w:szCs w:val="21"/>
              </w:rPr>
              <w:t>分</w:t>
            </w:r>
            <w:r>
              <w:rPr>
                <w:rFonts w:hint="eastAsia" w:ascii="Times New Roman" w:hAnsi="Times New Roman" w:eastAsia="宋体"/>
                <w:color w:val="auto"/>
                <w:szCs w:val="21"/>
                <w:u w:val="single"/>
              </w:rPr>
              <w:t>9.31</w:t>
            </w:r>
            <w:r>
              <w:rPr>
                <w:rFonts w:hint="eastAsia" w:ascii="Times New Roman" w:hAnsi="Times New Roman" w:eastAsia="宋体"/>
                <w:color w:val="auto"/>
                <w:szCs w:val="21"/>
                <w:u w:val="single"/>
                <w:lang w:val="en-US" w:eastAsia="zh-CN"/>
              </w:rPr>
              <w:t>4</w:t>
            </w:r>
            <w:r>
              <w:rPr>
                <w:rFonts w:ascii="宋体" w:hAnsi="宋体" w:eastAsia="宋体"/>
                <w:color w:val="auto"/>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国民经济</w:t>
            </w:r>
          </w:p>
          <w:p>
            <w:pPr>
              <w:jc w:val="center"/>
              <w:rPr>
                <w:rFonts w:ascii="宋体" w:hAnsi="宋体" w:eastAsia="宋体"/>
                <w:color w:val="auto"/>
                <w:szCs w:val="21"/>
              </w:rPr>
            </w:pPr>
            <w:r>
              <w:rPr>
                <w:rFonts w:ascii="宋体" w:hAnsi="宋体" w:eastAsia="宋体"/>
                <w:color w:val="auto"/>
                <w:szCs w:val="21"/>
              </w:rPr>
              <w:t>行业类别</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Times New Roman"/>
                <w:color w:val="auto"/>
                <w:szCs w:val="21"/>
              </w:rPr>
            </w:pPr>
            <w:r>
              <w:rPr>
                <w:rFonts w:hint="eastAsia" w:ascii="Times New Roman" w:hAnsi="Times New Roman" w:eastAsia="Times New Roman"/>
                <w:color w:val="auto"/>
                <w:szCs w:val="21"/>
              </w:rPr>
              <w:t>C2924泡沫塑料制造</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建设项目</w:t>
            </w:r>
          </w:p>
          <w:p>
            <w:pPr>
              <w:jc w:val="center"/>
              <w:rPr>
                <w:rFonts w:ascii="宋体" w:hAnsi="宋体" w:eastAsia="宋体"/>
                <w:color w:val="auto"/>
                <w:szCs w:val="21"/>
              </w:rPr>
            </w:pPr>
            <w:r>
              <w:rPr>
                <w:rFonts w:ascii="宋体" w:hAnsi="宋体" w:eastAsia="宋体"/>
                <w:color w:val="auto"/>
                <w:szCs w:val="21"/>
              </w:rPr>
              <w:t>行业类别</w:t>
            </w:r>
          </w:p>
        </w:tc>
        <w:tc>
          <w:tcPr>
            <w:tcW w:w="2943"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olor w:val="auto"/>
                <w:szCs w:val="21"/>
                <w:lang w:val="en-US" w:eastAsia="zh-CN"/>
              </w:rPr>
            </w:pPr>
            <w:r>
              <w:rPr>
                <w:rFonts w:hint="eastAsia" w:ascii="Times New Roman" w:hAnsi="Times New Roman" w:eastAsia="宋体"/>
                <w:color w:val="auto"/>
                <w:szCs w:val="21"/>
              </w:rPr>
              <w:t>53</w:t>
            </w:r>
            <w:r>
              <w:rPr>
                <w:rFonts w:ascii="Times New Roman" w:hAnsi="Times New Roman" w:eastAsia="Times New Roman"/>
                <w:color w:val="auto"/>
                <w:szCs w:val="21"/>
              </w:rPr>
              <w:t>*</w:t>
            </w:r>
            <w:r>
              <w:rPr>
                <w:rFonts w:hint="eastAsia" w:ascii="宋体" w:hAnsi="宋体" w:eastAsia="宋体"/>
                <w:color w:val="auto"/>
                <w:szCs w:val="21"/>
              </w:rPr>
              <w:t>塑料制品业</w:t>
            </w:r>
            <w:r>
              <w:rPr>
                <w:rFonts w:hint="eastAsia" w:ascii="Times New Roman" w:hAnsi="Times New Roman" w:eastAsia="宋体"/>
                <w:color w:val="auto"/>
                <w:szCs w:val="21"/>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15"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建设性质</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eastAsia="宋体"/>
                <w:color w:val="auto"/>
                <w:szCs w:val="21"/>
              </w:rPr>
            </w:pPr>
            <w:r>
              <w:rPr>
                <w:rFonts w:ascii="宋体" w:hAnsi="宋体" w:eastAsia="宋体"/>
                <w:color w:val="auto"/>
                <w:szCs w:val="21"/>
              </w:rPr>
              <w:sym w:font="Wingdings 2" w:char="0052"/>
            </w:r>
            <w:r>
              <w:rPr>
                <w:rFonts w:ascii="宋体" w:hAnsi="宋体" w:eastAsia="宋体"/>
                <w:color w:val="auto"/>
                <w:szCs w:val="21"/>
              </w:rPr>
              <w:t>新建（迁建）</w:t>
            </w:r>
          </w:p>
          <w:p>
            <w:pPr>
              <w:jc w:val="left"/>
              <w:rPr>
                <w:rFonts w:ascii="宋体" w:hAnsi="宋体" w:eastAsia="宋体"/>
                <w:color w:val="auto"/>
                <w:szCs w:val="21"/>
              </w:rPr>
            </w:pPr>
            <w:r>
              <w:rPr>
                <w:rFonts w:ascii="宋体" w:hAnsi="宋体" w:eastAsia="宋体"/>
                <w:color w:val="auto"/>
                <w:szCs w:val="21"/>
              </w:rPr>
              <w:t>□改建</w:t>
            </w:r>
          </w:p>
          <w:p>
            <w:pPr>
              <w:jc w:val="left"/>
              <w:rPr>
                <w:rFonts w:ascii="宋体" w:hAnsi="宋体" w:eastAsia="宋体"/>
                <w:color w:val="auto"/>
                <w:szCs w:val="21"/>
              </w:rPr>
            </w:pPr>
            <w:r>
              <w:rPr>
                <w:rFonts w:ascii="宋体" w:hAnsi="宋体" w:eastAsia="宋体"/>
                <w:color w:val="auto"/>
                <w:szCs w:val="21"/>
              </w:rPr>
              <w:t>□扩建</w:t>
            </w:r>
          </w:p>
          <w:p>
            <w:pPr>
              <w:jc w:val="left"/>
              <w:rPr>
                <w:rFonts w:ascii="宋体" w:hAnsi="宋体" w:eastAsia="宋体"/>
                <w:color w:val="auto"/>
                <w:szCs w:val="21"/>
              </w:rPr>
            </w:pPr>
            <w:r>
              <w:rPr>
                <w:rFonts w:ascii="宋体" w:hAnsi="宋体" w:eastAsia="宋体"/>
                <w:color w:val="auto"/>
                <w:szCs w:val="21"/>
              </w:rPr>
              <w:t>□技术改造</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建设项目</w:t>
            </w:r>
          </w:p>
          <w:p>
            <w:pPr>
              <w:jc w:val="center"/>
              <w:rPr>
                <w:rFonts w:ascii="宋体" w:hAnsi="宋体" w:eastAsia="宋体"/>
                <w:color w:val="auto"/>
                <w:szCs w:val="21"/>
              </w:rPr>
            </w:pPr>
            <w:r>
              <w:rPr>
                <w:rFonts w:ascii="宋体" w:hAnsi="宋体" w:eastAsia="宋体"/>
                <w:color w:val="auto"/>
                <w:szCs w:val="21"/>
              </w:rPr>
              <w:t>申报情形</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left"/>
              <w:rPr>
                <w:rFonts w:ascii="Calibri" w:hAnsi="Calibri" w:eastAsia="宋体"/>
                <w:color w:val="auto"/>
                <w:szCs w:val="21"/>
              </w:rPr>
            </w:pPr>
            <w:r>
              <w:rPr>
                <w:rFonts w:ascii="宋体" w:hAnsi="宋体" w:eastAsia="宋体"/>
                <w:color w:val="auto"/>
                <w:szCs w:val="21"/>
              </w:rPr>
              <w:sym w:font="Wingdings 2" w:char="0052"/>
            </w:r>
            <w:r>
              <w:rPr>
                <w:rFonts w:ascii="宋体" w:hAnsi="宋体" w:eastAsia="宋体"/>
                <w:color w:val="auto"/>
                <w:szCs w:val="21"/>
              </w:rPr>
              <w:t>首次申报项目</w:t>
            </w:r>
          </w:p>
          <w:p>
            <w:pPr>
              <w:jc w:val="left"/>
              <w:rPr>
                <w:rFonts w:ascii="宋体" w:hAnsi="宋体" w:eastAsia="宋体"/>
                <w:color w:val="auto"/>
                <w:szCs w:val="21"/>
              </w:rPr>
            </w:pPr>
            <w:r>
              <w:rPr>
                <w:rFonts w:ascii="宋体" w:hAnsi="宋体" w:eastAsia="宋体"/>
                <w:color w:val="auto"/>
                <w:szCs w:val="21"/>
              </w:rPr>
              <w:t>□不予批准后再次申报项目</w:t>
            </w:r>
          </w:p>
          <w:p>
            <w:pPr>
              <w:jc w:val="left"/>
              <w:rPr>
                <w:rFonts w:ascii="Calibri" w:hAnsi="Calibri" w:eastAsia="宋体"/>
                <w:color w:val="auto"/>
                <w:szCs w:val="21"/>
              </w:rPr>
            </w:pPr>
            <w:r>
              <w:rPr>
                <w:rFonts w:ascii="宋体" w:hAnsi="宋体" w:eastAsia="宋体"/>
                <w:color w:val="auto"/>
                <w:szCs w:val="21"/>
              </w:rPr>
              <w:t>□超五年重新审核项目</w:t>
            </w:r>
          </w:p>
          <w:p>
            <w:pPr>
              <w:jc w:val="left"/>
              <w:rPr>
                <w:rFonts w:ascii="宋体" w:hAnsi="宋体" w:eastAsia="宋体"/>
                <w:color w:val="auto"/>
                <w:szCs w:val="21"/>
              </w:rPr>
            </w:pPr>
            <w:r>
              <w:rPr>
                <w:rFonts w:ascii="宋体" w:hAnsi="宋体" w:eastAsia="宋体"/>
                <w:color w:val="auto"/>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1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olor w:val="auto"/>
                <w:szCs w:val="21"/>
              </w:rPr>
            </w:pPr>
            <w:r>
              <w:rPr>
                <w:rFonts w:ascii="宋体" w:hAnsi="宋体" w:eastAsia="宋体"/>
                <w:color w:val="auto"/>
                <w:szCs w:val="21"/>
              </w:rPr>
              <w:t>项目审批（核准</w:t>
            </w:r>
            <w:r>
              <w:rPr>
                <w:rFonts w:ascii="Calibri" w:hAnsi="Calibri" w:eastAsia="Calibri"/>
                <w:color w:val="auto"/>
                <w:szCs w:val="21"/>
              </w:rPr>
              <w:t>/</w:t>
            </w:r>
            <w:r>
              <w:rPr>
                <w:rFonts w:ascii="宋体" w:hAnsi="宋体" w:eastAsia="宋体"/>
                <w:color w:val="auto"/>
                <w:szCs w:val="21"/>
              </w:rPr>
              <w:t>备案）部门（选填）</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olor w:val="auto"/>
                <w:szCs w:val="21"/>
                <w:lang w:val="en-US" w:eastAsia="zh-CN"/>
              </w:rPr>
            </w:pPr>
            <w:r>
              <w:rPr>
                <w:rFonts w:hint="eastAsia" w:ascii="Times New Roman" w:hAnsi="Times New Roman" w:eastAsia="宋体"/>
                <w:color w:val="auto"/>
                <w:szCs w:val="21"/>
                <w:u w:val="single"/>
                <w:lang w:val="en-US" w:eastAsia="zh-CN"/>
              </w:rPr>
              <w:t>津市市发展和改革局</w:t>
            </w:r>
          </w:p>
        </w:tc>
        <w:tc>
          <w:tcPr>
            <w:tcW w:w="146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olor w:val="auto"/>
                <w:szCs w:val="21"/>
              </w:rPr>
            </w:pPr>
            <w:r>
              <w:rPr>
                <w:rFonts w:ascii="宋体" w:hAnsi="宋体" w:eastAsia="宋体"/>
                <w:color w:val="auto"/>
                <w:szCs w:val="21"/>
              </w:rPr>
              <w:t>项目审批（核准</w:t>
            </w:r>
            <w:r>
              <w:rPr>
                <w:rFonts w:ascii="Calibri" w:hAnsi="Calibri" w:eastAsia="Calibri"/>
                <w:color w:val="auto"/>
                <w:szCs w:val="21"/>
              </w:rPr>
              <w:t>/</w:t>
            </w:r>
            <w:r>
              <w:rPr>
                <w:rFonts w:ascii="宋体" w:hAnsi="宋体" w:eastAsia="宋体"/>
                <w:color w:val="auto"/>
                <w:szCs w:val="21"/>
              </w:rPr>
              <w:t>备案）文号（选填）</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Times New Roman"/>
                <w:color w:val="auto"/>
                <w:szCs w:val="21"/>
                <w:lang w:val="en-US"/>
              </w:rPr>
            </w:pPr>
            <w:r>
              <w:rPr>
                <w:rFonts w:hint="eastAsia" w:ascii="Times New Roman" w:hAnsi="Times New Roman" w:eastAsia="宋体"/>
                <w:color w:val="auto"/>
                <w:szCs w:val="21"/>
                <w:u w:val="single"/>
                <w:lang w:val="en-US" w:eastAsia="zh-CN"/>
              </w:rPr>
              <w:t>津发改投【2021】150号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1"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总投资</w:t>
            </w:r>
          </w:p>
          <w:p>
            <w:pPr>
              <w:jc w:val="center"/>
              <w:rPr>
                <w:rFonts w:ascii="宋体" w:hAnsi="宋体" w:eastAsia="宋体"/>
                <w:color w:val="auto"/>
                <w:szCs w:val="21"/>
              </w:rPr>
            </w:pPr>
            <w:r>
              <w:rPr>
                <w:rFonts w:ascii="宋体" w:hAnsi="宋体" w:eastAsia="宋体"/>
                <w:color w:val="auto"/>
                <w:szCs w:val="21"/>
              </w:rPr>
              <w:t>（万元）</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Times New Roman"/>
                <w:color w:val="auto"/>
                <w:szCs w:val="21"/>
              </w:rPr>
            </w:pPr>
            <w:r>
              <w:rPr>
                <w:rFonts w:ascii="Times New Roman" w:hAnsi="Times New Roman" w:eastAsia="Times New Roman"/>
                <w:color w:val="auto"/>
                <w:szCs w:val="21"/>
              </w:rPr>
              <w:t>1</w:t>
            </w:r>
            <w:r>
              <w:rPr>
                <w:rFonts w:hint="eastAsia" w:ascii="Times New Roman" w:hAnsi="Times New Roman" w:eastAsia="宋体"/>
                <w:color w:val="auto"/>
                <w:szCs w:val="21"/>
              </w:rPr>
              <w:t>0</w:t>
            </w:r>
            <w:r>
              <w:rPr>
                <w:rFonts w:ascii="Times New Roman" w:hAnsi="Times New Roman" w:eastAsia="Times New Roman"/>
                <w:color w:val="auto"/>
                <w:szCs w:val="21"/>
              </w:rPr>
              <w:t>00</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环保投资</w:t>
            </w:r>
          </w:p>
          <w:p>
            <w:pPr>
              <w:jc w:val="center"/>
              <w:rPr>
                <w:rFonts w:ascii="宋体" w:hAnsi="宋体" w:eastAsia="宋体"/>
                <w:color w:val="auto"/>
                <w:szCs w:val="21"/>
              </w:rPr>
            </w:pPr>
            <w:r>
              <w:rPr>
                <w:rFonts w:ascii="宋体" w:hAnsi="宋体" w:eastAsia="宋体"/>
                <w:color w:val="auto"/>
                <w:szCs w:val="21"/>
              </w:rPr>
              <w:t>（万元）</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宋体"/>
                <w:color w:val="auto"/>
                <w:szCs w:val="21"/>
              </w:rPr>
            </w:pPr>
            <w:r>
              <w:rPr>
                <w:rFonts w:hint="eastAsia" w:ascii="Times New Roman" w:hAnsi="Times New Roman" w:eastAsia="宋体"/>
                <w:color w:val="auto"/>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环保投资占比（</w:t>
            </w:r>
            <w:r>
              <w:rPr>
                <w:rFonts w:ascii="Calibri" w:hAnsi="Calibri" w:eastAsia="Calibri"/>
                <w:color w:val="auto"/>
                <w:szCs w:val="21"/>
              </w:rPr>
              <w:t>%</w:t>
            </w:r>
            <w:r>
              <w:rPr>
                <w:rFonts w:ascii="宋体" w:hAnsi="宋体" w:eastAsia="宋体"/>
                <w:color w:val="auto"/>
                <w:szCs w:val="21"/>
              </w:rPr>
              <w:t>）</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宋体"/>
                <w:color w:val="auto"/>
                <w:szCs w:val="21"/>
              </w:rPr>
            </w:pPr>
            <w:r>
              <w:rPr>
                <w:rFonts w:hint="eastAsia" w:ascii="Times New Roman" w:hAnsi="Times New Roman" w:eastAsia="宋体"/>
                <w:color w:val="auto"/>
                <w:szCs w:val="21"/>
              </w:rPr>
              <w:t>5.85</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施工工期</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2021年9月-2021年10月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4"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auto"/>
                <w:szCs w:val="21"/>
              </w:rPr>
              <w:t>是否开工建设</w:t>
            </w:r>
          </w:p>
        </w:tc>
        <w:tc>
          <w:tcPr>
            <w:tcW w:w="265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olor w:val="auto"/>
                <w:szCs w:val="21"/>
              </w:rPr>
            </w:pPr>
            <w:r>
              <w:rPr>
                <w:rFonts w:ascii="宋体" w:hAnsi="宋体" w:eastAsia="宋体"/>
                <w:color w:val="auto"/>
                <w:szCs w:val="21"/>
              </w:rPr>
              <w:sym w:font="Wingdings 2" w:char="0052"/>
            </w:r>
            <w:r>
              <w:rPr>
                <w:rFonts w:ascii="宋体" w:hAnsi="宋体" w:eastAsia="宋体"/>
                <w:color w:val="auto"/>
                <w:szCs w:val="21"/>
              </w:rPr>
              <w:t>否</w:t>
            </w:r>
          </w:p>
          <w:p>
            <w:pPr>
              <w:rPr>
                <w:rFonts w:ascii="Times New Roman" w:hAnsi="Times New Roman" w:eastAsia="宋体"/>
                <w:color w:val="auto"/>
                <w:szCs w:val="21"/>
              </w:rPr>
            </w:pPr>
            <w:r>
              <w:rPr>
                <w:rFonts w:ascii="宋体" w:hAnsi="宋体" w:eastAsia="宋体"/>
                <w:color w:val="auto"/>
                <w:szCs w:val="21"/>
              </w:rPr>
              <w:t>□是：</w:t>
            </w:r>
          </w:p>
        </w:tc>
        <w:tc>
          <w:tcPr>
            <w:tcW w:w="146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pacing w:val="-6"/>
                <w:szCs w:val="21"/>
              </w:rPr>
            </w:pPr>
            <w:r>
              <w:rPr>
                <w:rFonts w:ascii="宋体" w:hAnsi="宋体" w:eastAsia="宋体"/>
                <w:color w:val="auto"/>
                <w:spacing w:val="-6"/>
                <w:szCs w:val="21"/>
              </w:rPr>
              <w:t>用地（用海）</w:t>
            </w:r>
          </w:p>
          <w:p>
            <w:pPr>
              <w:jc w:val="center"/>
              <w:rPr>
                <w:rFonts w:ascii="宋体" w:hAnsi="宋体" w:eastAsia="宋体"/>
                <w:color w:val="auto"/>
                <w:spacing w:val="-6"/>
                <w:szCs w:val="21"/>
              </w:rPr>
            </w:pPr>
            <w:r>
              <w:rPr>
                <w:rFonts w:ascii="宋体" w:hAnsi="宋体" w:eastAsia="宋体"/>
                <w:color w:val="auto"/>
                <w:spacing w:val="-6"/>
                <w:szCs w:val="21"/>
              </w:rPr>
              <w:t>面积（</w:t>
            </w:r>
            <w:r>
              <w:rPr>
                <w:rFonts w:ascii="Calibri" w:hAnsi="Calibri" w:eastAsia="Calibri"/>
                <w:color w:val="auto"/>
                <w:spacing w:val="-6"/>
                <w:szCs w:val="21"/>
              </w:rPr>
              <w:t>m</w:t>
            </w:r>
            <w:r>
              <w:rPr>
                <w:rFonts w:ascii="Times New Roman" w:hAnsi="Times New Roman" w:eastAsia="Times New Roman"/>
                <w:color w:val="auto"/>
                <w:spacing w:val="-6"/>
                <w:sz w:val="20"/>
                <w:szCs w:val="20"/>
                <w:vertAlign w:val="superscript"/>
              </w:rPr>
              <w:t>2</w:t>
            </w:r>
            <w:r>
              <w:rPr>
                <w:rFonts w:ascii="宋体" w:hAnsi="宋体" w:eastAsia="宋体"/>
                <w:color w:val="auto"/>
                <w:spacing w:val="-6"/>
                <w:szCs w:val="21"/>
              </w:rPr>
              <w:t>）</w:t>
            </w:r>
          </w:p>
        </w:tc>
        <w:tc>
          <w:tcPr>
            <w:tcW w:w="2943"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eastAsia="宋体"/>
                <w:color w:val="auto"/>
                <w:szCs w:val="21"/>
              </w:rPr>
            </w:pPr>
            <w:r>
              <w:rPr>
                <w:rFonts w:ascii="宋体" w:hAnsi="宋体" w:eastAsia="宋体"/>
                <w:color w:val="auto"/>
                <w:szCs w:val="21"/>
              </w:rPr>
              <w:t>占地：</w:t>
            </w:r>
            <w:r>
              <w:rPr>
                <w:rFonts w:hint="eastAsia" w:ascii="宋体" w:hAnsi="宋体" w:eastAsia="宋体"/>
                <w:color w:val="auto"/>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000000"/>
                <w:kern w:val="0"/>
                <w:szCs w:val="21"/>
              </w:rPr>
              <w:t>专项评价设置情况</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1"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auto"/>
                <w:szCs w:val="21"/>
              </w:rPr>
            </w:pPr>
            <w:r>
              <w:rPr>
                <w:rFonts w:ascii="宋体" w:hAnsi="宋体" w:eastAsia="宋体"/>
                <w:color w:val="000000"/>
                <w:szCs w:val="21"/>
              </w:rPr>
              <w:t>规划情况</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widowControl/>
              <w:jc w:val="both"/>
              <w:rPr>
                <w:rFonts w:hint="eastAsia" w:ascii="宋体" w:hAnsi="宋体" w:eastAsia="宋体"/>
                <w:color w:val="000000"/>
                <w:sz w:val="24"/>
                <w:szCs w:val="24"/>
                <w:u w:val="single"/>
                <w:lang w:val="en-US" w:eastAsia="zh-CN"/>
              </w:rPr>
            </w:pPr>
            <w:r>
              <w:rPr>
                <w:rFonts w:hint="eastAsia" w:ascii="宋体" w:hAnsi="宋体" w:eastAsia="宋体"/>
                <w:color w:val="000000"/>
                <w:sz w:val="24"/>
                <w:szCs w:val="24"/>
                <w:u w:val="single"/>
                <w:lang w:val="en-US" w:eastAsia="zh-CN"/>
              </w:rPr>
              <w:t>规划名称：《津市工业集中区发展规划》（2011-2020）</w:t>
            </w:r>
          </w:p>
          <w:p>
            <w:pPr>
              <w:widowControl/>
              <w:jc w:val="both"/>
              <w:rPr>
                <w:rFonts w:hint="eastAsia" w:ascii="宋体" w:hAnsi="宋体" w:eastAsia="宋体"/>
                <w:color w:val="000000"/>
                <w:sz w:val="24"/>
                <w:szCs w:val="24"/>
                <w:u w:val="single"/>
                <w:lang w:val="en-US" w:eastAsia="zh-CN"/>
              </w:rPr>
            </w:pPr>
            <w:r>
              <w:rPr>
                <w:rFonts w:hint="eastAsia" w:ascii="宋体" w:hAnsi="宋体" w:eastAsia="宋体"/>
                <w:color w:val="000000"/>
                <w:sz w:val="24"/>
                <w:szCs w:val="24"/>
                <w:u w:val="single"/>
                <w:lang w:val="en-US" w:eastAsia="zh-CN"/>
              </w:rPr>
              <w:t>审批机关：湖南省发展和改革委会</w:t>
            </w:r>
          </w:p>
          <w:p>
            <w:pPr>
              <w:widowControl/>
              <w:jc w:val="both"/>
              <w:rPr>
                <w:rFonts w:hint="eastAsia" w:ascii="宋体" w:hAnsi="宋体" w:eastAsia="宋体"/>
                <w:color w:val="000000"/>
                <w:sz w:val="24"/>
                <w:szCs w:val="24"/>
                <w:u w:val="single"/>
                <w:lang w:val="en-US" w:eastAsia="zh-CN"/>
              </w:rPr>
            </w:pPr>
            <w:r>
              <w:rPr>
                <w:rFonts w:hint="eastAsia" w:ascii="宋体" w:hAnsi="宋体" w:eastAsia="宋体"/>
                <w:color w:val="000000"/>
                <w:sz w:val="24"/>
                <w:szCs w:val="24"/>
                <w:u w:val="single"/>
                <w:lang w:val="en-US" w:eastAsia="zh-CN"/>
              </w:rPr>
              <w:t>审批文件名称：《关于对津市工业集中区发展规划（2011-2020）的批复》</w:t>
            </w:r>
          </w:p>
          <w:p>
            <w:pPr>
              <w:widowControl/>
              <w:jc w:val="both"/>
              <w:rPr>
                <w:rFonts w:ascii="宋体" w:hAnsi="宋体" w:eastAsia="宋体"/>
                <w:color w:val="auto"/>
                <w:szCs w:val="21"/>
              </w:rPr>
            </w:pPr>
            <w:r>
              <w:rPr>
                <w:rFonts w:hint="eastAsia" w:ascii="宋体" w:hAnsi="宋体" w:eastAsia="宋体"/>
                <w:color w:val="000000"/>
                <w:sz w:val="24"/>
                <w:szCs w:val="24"/>
                <w:u w:val="single"/>
                <w:lang w:val="en-US" w:eastAsia="zh-CN"/>
              </w:rPr>
              <w:t>文号：湘发改地区【2012】1565号。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6"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Cs w:val="21"/>
              </w:rPr>
            </w:pPr>
            <w:r>
              <w:rPr>
                <w:rFonts w:ascii="宋体" w:hAnsi="宋体" w:eastAsia="宋体"/>
                <w:color w:val="000000"/>
                <w:szCs w:val="21"/>
              </w:rPr>
              <w:t>规划环境影响</w:t>
            </w:r>
          </w:p>
          <w:p>
            <w:pPr>
              <w:jc w:val="center"/>
              <w:rPr>
                <w:rFonts w:ascii="宋体" w:hAnsi="宋体" w:eastAsia="宋体"/>
                <w:color w:val="000000"/>
                <w:szCs w:val="21"/>
              </w:rPr>
            </w:pPr>
            <w:r>
              <w:rPr>
                <w:rFonts w:ascii="宋体" w:hAnsi="宋体" w:eastAsia="宋体"/>
                <w:color w:val="000000"/>
                <w:szCs w:val="21"/>
              </w:rPr>
              <w:t>评价情况</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bidi w:val="0"/>
              <w:rPr>
                <w:rFonts w:hint="eastAsia"/>
                <w:sz w:val="24"/>
                <w:szCs w:val="24"/>
                <w:u w:val="single"/>
                <w:lang w:eastAsia="zh-CN"/>
              </w:rPr>
            </w:pPr>
            <w:r>
              <w:rPr>
                <w:rFonts w:hint="eastAsia"/>
                <w:sz w:val="24"/>
                <w:szCs w:val="24"/>
                <w:u w:val="single"/>
                <w:lang w:eastAsia="zh-CN"/>
              </w:rPr>
              <w:t>规划环评文件名称：津市高新技术产业开发区环境影响报告书；</w:t>
            </w:r>
          </w:p>
          <w:p>
            <w:pPr>
              <w:autoSpaceDE w:val="0"/>
              <w:autoSpaceDN w:val="0"/>
              <w:adjustRightInd w:val="0"/>
              <w:snapToGrid w:val="0"/>
              <w:jc w:val="both"/>
              <w:rPr>
                <w:rFonts w:hint="eastAsia" w:eastAsiaTheme="minorEastAsia"/>
                <w:sz w:val="24"/>
                <w:szCs w:val="24"/>
                <w:u w:val="single"/>
                <w:lang w:eastAsia="zh-CN"/>
              </w:rPr>
            </w:pPr>
            <w:r>
              <w:rPr>
                <w:rFonts w:hint="eastAsia"/>
                <w:sz w:val="24"/>
                <w:szCs w:val="24"/>
                <w:u w:val="single"/>
                <w:lang w:eastAsia="zh-CN"/>
              </w:rPr>
              <w:t>审查机关：湖南省环境保护厅（</w:t>
            </w:r>
            <w:r>
              <w:rPr>
                <w:rFonts w:hint="eastAsia"/>
                <w:sz w:val="24"/>
                <w:szCs w:val="24"/>
                <w:u w:val="single"/>
                <w:lang w:val="en-US" w:eastAsia="zh-CN"/>
              </w:rPr>
              <w:t>2007.11</w:t>
            </w:r>
            <w:r>
              <w:rPr>
                <w:rFonts w:hint="eastAsia"/>
                <w:sz w:val="24"/>
                <w:szCs w:val="24"/>
                <w:u w:val="single"/>
                <w:lang w:eastAsia="zh-CN"/>
              </w:rPr>
              <w:t>）；</w:t>
            </w:r>
          </w:p>
          <w:p>
            <w:pPr>
              <w:bidi w:val="0"/>
              <w:rPr>
                <w:rFonts w:hint="eastAsia"/>
                <w:sz w:val="24"/>
                <w:szCs w:val="24"/>
                <w:u w:val="single"/>
                <w:lang w:eastAsia="zh-CN"/>
              </w:rPr>
            </w:pPr>
            <w:r>
              <w:rPr>
                <w:rFonts w:hint="eastAsia"/>
                <w:sz w:val="24"/>
                <w:szCs w:val="24"/>
                <w:u w:val="single"/>
                <w:lang w:eastAsia="zh-CN"/>
              </w:rPr>
              <w:t>审查文件名称：关于</w:t>
            </w:r>
            <w:r>
              <w:rPr>
                <w:rFonts w:hint="eastAsia"/>
                <w:sz w:val="24"/>
                <w:szCs w:val="24"/>
                <w:u w:val="single"/>
                <w:lang w:val="en-US" w:eastAsia="zh-CN"/>
              </w:rPr>
              <w:t>湖南省</w:t>
            </w:r>
            <w:r>
              <w:rPr>
                <w:rFonts w:hint="eastAsia"/>
                <w:sz w:val="24"/>
                <w:szCs w:val="24"/>
                <w:u w:val="single"/>
                <w:lang w:eastAsia="zh-CN"/>
              </w:rPr>
              <w:t>津市</w:t>
            </w:r>
            <w:r>
              <w:rPr>
                <w:rFonts w:hint="eastAsia"/>
                <w:sz w:val="24"/>
                <w:szCs w:val="24"/>
                <w:u w:val="single"/>
                <w:lang w:val="en-US" w:eastAsia="zh-CN"/>
              </w:rPr>
              <w:t>经济开发区</w:t>
            </w:r>
            <w:r>
              <w:rPr>
                <w:rFonts w:hint="eastAsia"/>
                <w:sz w:val="24"/>
                <w:szCs w:val="24"/>
                <w:u w:val="single"/>
                <w:lang w:eastAsia="zh-CN"/>
              </w:rPr>
              <w:t>环境影响报告书的批复</w:t>
            </w:r>
          </w:p>
          <w:p>
            <w:pPr>
              <w:bidi w:val="0"/>
              <w:rPr>
                <w:rFonts w:hint="eastAsia" w:ascii="宋体" w:hAnsi="宋体" w:eastAsia="宋体"/>
                <w:color w:val="000000"/>
                <w:szCs w:val="21"/>
                <w:u w:val="single"/>
                <w:lang w:val="en-US" w:eastAsia="zh-CN"/>
              </w:rPr>
            </w:pPr>
            <w:r>
              <w:rPr>
                <w:rFonts w:hint="eastAsia"/>
                <w:sz w:val="24"/>
                <w:szCs w:val="24"/>
                <w:u w:val="single"/>
                <w:lang w:eastAsia="zh-CN"/>
              </w:rPr>
              <w:t>文号：湘环评[20</w:t>
            </w:r>
            <w:r>
              <w:rPr>
                <w:rFonts w:hint="eastAsia"/>
                <w:sz w:val="24"/>
                <w:szCs w:val="24"/>
                <w:u w:val="single"/>
                <w:lang w:val="en-US" w:eastAsia="zh-CN"/>
              </w:rPr>
              <w:t>07</w:t>
            </w:r>
            <w:r>
              <w:rPr>
                <w:rFonts w:hint="eastAsia"/>
                <w:sz w:val="24"/>
                <w:szCs w:val="24"/>
                <w:u w:val="single"/>
                <w:lang w:eastAsia="zh-CN"/>
              </w:rPr>
              <w:t>]</w:t>
            </w:r>
            <w:r>
              <w:rPr>
                <w:rFonts w:hint="eastAsia"/>
                <w:sz w:val="24"/>
                <w:szCs w:val="24"/>
                <w:u w:val="single"/>
                <w:lang w:val="en-US" w:eastAsia="zh-CN"/>
              </w:rPr>
              <w:t>169</w:t>
            </w:r>
            <w:r>
              <w:rPr>
                <w:rFonts w:hint="eastAsia"/>
                <w:sz w:val="24"/>
                <w:szCs w:val="24"/>
                <w:u w:val="singl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kern w:val="0"/>
                <w:szCs w:val="21"/>
              </w:rPr>
            </w:pPr>
            <w:r>
              <w:rPr>
                <w:rFonts w:ascii="宋体" w:hAnsi="宋体" w:eastAsia="宋体"/>
                <w:color w:val="000000"/>
                <w:kern w:val="0"/>
                <w:szCs w:val="21"/>
              </w:rPr>
              <w:t>规划及规划环境</w:t>
            </w:r>
          </w:p>
          <w:p>
            <w:pPr>
              <w:jc w:val="center"/>
              <w:rPr>
                <w:rFonts w:ascii="宋体" w:hAnsi="宋体" w:eastAsia="宋体"/>
                <w:color w:val="000000"/>
                <w:szCs w:val="21"/>
              </w:rPr>
            </w:pPr>
            <w:r>
              <w:rPr>
                <w:rFonts w:ascii="宋体" w:hAnsi="宋体" w:eastAsia="宋体"/>
                <w:color w:val="000000"/>
                <w:kern w:val="0"/>
                <w:szCs w:val="21"/>
              </w:rPr>
              <w:t>影响评价符合性分析</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ind w:firstLine="480" w:firstLineChars="200"/>
              <w:rPr>
                <w:bCs/>
                <w:color w:val="auto"/>
                <w:sz w:val="24"/>
                <w:szCs w:val="24"/>
                <w:highlight w:val="none"/>
                <w:u w:val="single"/>
              </w:rPr>
            </w:pPr>
            <w:r>
              <w:rPr>
                <w:rFonts w:hint="eastAsia"/>
                <w:bCs/>
                <w:color w:val="auto"/>
                <w:sz w:val="24"/>
                <w:szCs w:val="24"/>
                <w:highlight w:val="none"/>
                <w:u w:val="single"/>
              </w:rPr>
              <w:t>一、规划符合性分析</w:t>
            </w:r>
          </w:p>
          <w:p>
            <w:pPr>
              <w:adjustRightInd w:val="0"/>
              <w:snapToGrid w:val="0"/>
              <w:spacing w:line="360" w:lineRule="auto"/>
              <w:ind w:firstLine="480" w:firstLineChars="200"/>
              <w:rPr>
                <w:bCs/>
                <w:color w:val="auto"/>
                <w:sz w:val="24"/>
                <w:szCs w:val="24"/>
                <w:highlight w:val="none"/>
                <w:u w:val="single"/>
              </w:rPr>
            </w:pPr>
            <w:r>
              <w:rPr>
                <w:rFonts w:hint="eastAsia"/>
                <w:bCs/>
                <w:color w:val="auto"/>
                <w:sz w:val="24"/>
                <w:szCs w:val="24"/>
                <w:highlight w:val="none"/>
                <w:u w:val="single"/>
              </w:rPr>
              <w:t>根据津市工业集中区发展规划(</w:t>
            </w:r>
            <w:r>
              <w:rPr>
                <w:rFonts w:hint="eastAsia"/>
                <w:bCs/>
                <w:color w:val="auto"/>
                <w:sz w:val="24"/>
                <w:szCs w:val="24"/>
                <w:highlight w:val="none"/>
                <w:u w:val="single"/>
                <w:lang w:val="en-US" w:eastAsia="zh-CN"/>
              </w:rPr>
              <w:t>2011-2020</w:t>
            </w:r>
            <w:r>
              <w:rPr>
                <w:rFonts w:hint="eastAsia"/>
                <w:bCs/>
                <w:color w:val="auto"/>
                <w:sz w:val="24"/>
                <w:szCs w:val="24"/>
                <w:highlight w:val="none"/>
                <w:u w:val="single"/>
              </w:rPr>
              <w:t>年)，本项目位于</w:t>
            </w:r>
            <w:r>
              <w:rPr>
                <w:rFonts w:hint="eastAsia" w:ascii="宋体" w:hAnsi="宋体" w:cs="宋体"/>
                <w:color w:val="auto"/>
                <w:sz w:val="24"/>
                <w:szCs w:val="24"/>
                <w:highlight w:val="none"/>
                <w:u w:val="single"/>
              </w:rPr>
              <w:t>津市市津市工业集中区，属于工业用地，</w:t>
            </w:r>
            <w:r>
              <w:rPr>
                <w:color w:val="auto"/>
                <w:sz w:val="24"/>
                <w:szCs w:val="24"/>
                <w:highlight w:val="none"/>
                <w:u w:val="single"/>
              </w:rPr>
              <w:t>土地权属清楚，</w:t>
            </w:r>
            <w:r>
              <w:rPr>
                <w:rFonts w:hint="eastAsia"/>
                <w:color w:val="auto"/>
                <w:sz w:val="24"/>
                <w:szCs w:val="24"/>
                <w:highlight w:val="none"/>
                <w:u w:val="single"/>
              </w:rPr>
              <w:t>所以本项目</w:t>
            </w:r>
            <w:r>
              <w:rPr>
                <w:color w:val="auto"/>
                <w:sz w:val="24"/>
                <w:szCs w:val="24"/>
                <w:highlight w:val="none"/>
                <w:u w:val="single"/>
              </w:rPr>
              <w:t>符合土地利用总体规划要求</w:t>
            </w:r>
            <w:r>
              <w:rPr>
                <w:rFonts w:hint="eastAsia" w:ascii="宋体" w:hAnsi="宋体" w:cs="宋体"/>
                <w:color w:val="auto"/>
                <w:sz w:val="24"/>
                <w:szCs w:val="24"/>
                <w:highlight w:val="none"/>
                <w:u w:val="single"/>
              </w:rPr>
              <w:t>。</w:t>
            </w:r>
          </w:p>
          <w:p>
            <w:pPr>
              <w:adjustRightInd w:val="0"/>
              <w:snapToGrid w:val="0"/>
              <w:ind w:firstLine="480" w:firstLineChars="200"/>
              <w:rPr>
                <w:bCs/>
                <w:color w:val="auto"/>
                <w:sz w:val="24"/>
                <w:szCs w:val="24"/>
                <w:highlight w:val="none"/>
                <w:u w:val="single"/>
              </w:rPr>
            </w:pPr>
            <w:r>
              <w:rPr>
                <w:rFonts w:hint="eastAsia"/>
                <w:bCs/>
                <w:color w:val="auto"/>
                <w:sz w:val="24"/>
                <w:szCs w:val="24"/>
                <w:highlight w:val="none"/>
                <w:u w:val="single"/>
              </w:rPr>
              <w:t>二、规划环境影响评价符合性分析</w:t>
            </w:r>
          </w:p>
          <w:p>
            <w:pPr>
              <w:jc w:val="center"/>
              <w:rPr>
                <w:b/>
                <w:color w:val="auto"/>
                <w:sz w:val="24"/>
                <w:u w:val="single"/>
              </w:rPr>
            </w:pPr>
            <w:r>
              <w:rPr>
                <w:b/>
                <w:color w:val="auto"/>
                <w:sz w:val="24"/>
                <w:u w:val="single"/>
              </w:rPr>
              <w:t>表</w:t>
            </w:r>
            <w:r>
              <w:rPr>
                <w:rFonts w:hint="eastAsia"/>
                <w:b/>
                <w:color w:val="auto"/>
                <w:sz w:val="24"/>
                <w:u w:val="single"/>
              </w:rPr>
              <w:t>1</w:t>
            </w:r>
            <w:r>
              <w:rPr>
                <w:rFonts w:hint="eastAsia"/>
                <w:b/>
                <w:color w:val="auto"/>
                <w:sz w:val="24"/>
                <w:u w:val="single"/>
                <w:lang w:val="en-US" w:eastAsia="zh-CN"/>
              </w:rPr>
              <w:t>-1</w:t>
            </w:r>
            <w:r>
              <w:rPr>
                <w:b/>
                <w:color w:val="auto"/>
                <w:sz w:val="24"/>
                <w:u w:val="single"/>
              </w:rPr>
              <w:t xml:space="preserve"> </w:t>
            </w:r>
            <w:r>
              <w:rPr>
                <w:rFonts w:hint="eastAsia"/>
                <w:b/>
                <w:color w:val="auto"/>
                <w:sz w:val="24"/>
                <w:u w:val="single"/>
              </w:rPr>
              <w:t>规划环境影响评价批复相符性分析表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9" w:type="dxa"/>
                  <w:noWrap w:val="0"/>
                  <w:vAlign w:val="center"/>
                </w:tcPr>
                <w:p>
                  <w:pPr>
                    <w:spacing w:line="360" w:lineRule="auto"/>
                    <w:jc w:val="center"/>
                    <w:rPr>
                      <w:color w:val="auto"/>
                      <w:highlight w:val="none"/>
                      <w:u w:val="single"/>
                    </w:rPr>
                  </w:pPr>
                  <w:r>
                    <w:rPr>
                      <w:rFonts w:hint="eastAsia"/>
                      <w:color w:val="auto"/>
                      <w:highlight w:val="none"/>
                      <w:u w:val="single"/>
                    </w:rPr>
                    <w:t>批复要求</w:t>
                  </w:r>
                </w:p>
              </w:tc>
              <w:tc>
                <w:tcPr>
                  <w:tcW w:w="2951" w:type="dxa"/>
                  <w:noWrap w:val="0"/>
                  <w:vAlign w:val="center"/>
                </w:tcPr>
                <w:p>
                  <w:pPr>
                    <w:spacing w:line="360" w:lineRule="auto"/>
                    <w:jc w:val="center"/>
                    <w:rPr>
                      <w:rFonts w:hint="eastAsia"/>
                      <w:color w:val="auto"/>
                      <w:highlight w:val="none"/>
                      <w:u w:val="single"/>
                    </w:rPr>
                  </w:pPr>
                  <w:r>
                    <w:rPr>
                      <w:rFonts w:hint="eastAsia"/>
                      <w:color w:val="auto"/>
                      <w:highlight w:val="none"/>
                      <w:u w:val="single"/>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9" w:type="dxa"/>
                  <w:noWrap w:val="0"/>
                  <w:vAlign w:val="center"/>
                </w:tcPr>
                <w:p>
                  <w:pPr>
                    <w:spacing w:line="240" w:lineRule="auto"/>
                    <w:jc w:val="both"/>
                    <w:rPr>
                      <w:color w:val="auto"/>
                      <w:highlight w:val="none"/>
                      <w:u w:val="single"/>
                    </w:rPr>
                  </w:pPr>
                  <w:r>
                    <w:rPr>
                      <w:rFonts w:hint="eastAsia" w:hAnsi="宋体" w:asciiTheme="minorHAnsi" w:eastAsiaTheme="minorEastAsia" w:cstheme="minorBidi"/>
                      <w:color w:val="auto"/>
                      <w:kern w:val="2"/>
                      <w:sz w:val="21"/>
                      <w:szCs w:val="21"/>
                      <w:u w:val="single"/>
                      <w:lang w:val="en-US" w:eastAsia="zh-CN" w:bidi="ar-SA"/>
                    </w:rPr>
                    <w:t>须严格按照功能区划进行开发建设，处理好工业、服务、生活等各功能组团的关系，充分利用自然地形和绿化带使各功能区隔离，在总体布局上保障功能区划明确、产业相对集中、生态环境优良。规划的居住区以安置拆迁居民为主，生活服务主要依托现有城区。</w:t>
                  </w:r>
                </w:p>
              </w:tc>
              <w:tc>
                <w:tcPr>
                  <w:tcW w:w="2951" w:type="dxa"/>
                  <w:noWrap w:val="0"/>
                  <w:vAlign w:val="center"/>
                </w:tcPr>
                <w:p>
                  <w:pPr>
                    <w:spacing w:line="240" w:lineRule="auto"/>
                    <w:jc w:val="both"/>
                    <w:rPr>
                      <w:color w:val="auto"/>
                      <w:highlight w:val="none"/>
                      <w:u w:val="single"/>
                    </w:rPr>
                  </w:pPr>
                  <w:r>
                    <w:rPr>
                      <w:rFonts w:hint="eastAsia" w:hAnsi="宋体" w:asciiTheme="minorHAnsi" w:eastAsiaTheme="minorEastAsia" w:cstheme="minorBidi"/>
                      <w:color w:val="auto"/>
                      <w:kern w:val="2"/>
                      <w:sz w:val="21"/>
                      <w:szCs w:val="21"/>
                      <w:u w:val="single"/>
                      <w:lang w:val="en-US" w:eastAsia="zh-CN" w:bidi="ar-SA"/>
                    </w:rPr>
                    <w:t>本项目位于津市工业集中区团湖大道右侧钰兴科技园。布局合理，周边50m范围无居民区。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9" w:type="dxa"/>
                  <w:noWrap w:val="0"/>
                  <w:vAlign w:val="center"/>
                </w:tcPr>
                <w:p>
                  <w:pPr>
                    <w:spacing w:line="240" w:lineRule="auto"/>
                    <w:jc w:val="center"/>
                    <w:rPr>
                      <w:color w:val="auto"/>
                      <w:highlight w:val="none"/>
                      <w:u w:val="single"/>
                    </w:rPr>
                  </w:pPr>
                  <w:r>
                    <w:rPr>
                      <w:rFonts w:hint="eastAsia"/>
                      <w:color w:val="auto"/>
                      <w:highlight w:val="none"/>
                      <w:u w:val="single"/>
                    </w:rPr>
                    <w:t>严把入区项目准入关，入区项目必须符合开发区总体规划和所在功能区的性质，其排污浓度、总量必须满足达标排放和总量控制要求。开发区重点发展汽车、纺织、食品等产业，适当发展纸品加工、生物制药等产业，控制发展盐化工产业。当地政府要加快对开发区内现有不符合环保要求企业的整治进度。</w:t>
                  </w:r>
                </w:p>
              </w:tc>
              <w:tc>
                <w:tcPr>
                  <w:tcW w:w="2951" w:type="dxa"/>
                  <w:noWrap w:val="0"/>
                  <w:vAlign w:val="center"/>
                </w:tcPr>
                <w:p>
                  <w:pPr>
                    <w:spacing w:line="240" w:lineRule="auto"/>
                    <w:jc w:val="both"/>
                    <w:rPr>
                      <w:rFonts w:hint="eastAsia"/>
                      <w:color w:val="auto"/>
                      <w:highlight w:val="none"/>
                      <w:u w:val="single"/>
                    </w:rPr>
                  </w:pPr>
                  <w:r>
                    <w:rPr>
                      <w:rFonts w:hint="eastAsia"/>
                      <w:color w:val="auto"/>
                      <w:highlight w:val="none"/>
                      <w:u w:val="single"/>
                    </w:rPr>
                    <w:t>本项目不属于国家明令淘汰和禁止发展的高能耗、高物耗、污染重、不符合产业政策的建设项目。本项目不涉及废重金属。本项目会产生少量挥发性有机物，采用</w:t>
                  </w:r>
                  <w:r>
                    <w:rPr>
                      <w:rFonts w:hint="eastAsia"/>
                      <w:color w:val="auto"/>
                      <w:highlight w:val="none"/>
                      <w:u w:val="single"/>
                      <w:lang w:val="en-US" w:eastAsia="zh-CN"/>
                    </w:rPr>
                    <w:t>“UV光氧+活性炭吸附”</w:t>
                  </w:r>
                  <w:r>
                    <w:rPr>
                      <w:rFonts w:hint="eastAsia"/>
                      <w:color w:val="auto"/>
                      <w:highlight w:val="none"/>
                      <w:u w:val="single"/>
                    </w:rPr>
                    <w:t>工艺处理达标后外排。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9" w:type="dxa"/>
                  <w:noWrap w:val="0"/>
                  <w:vAlign w:val="center"/>
                </w:tcPr>
                <w:p>
                  <w:pPr>
                    <w:spacing w:line="240" w:lineRule="auto"/>
                    <w:jc w:val="both"/>
                    <w:rPr>
                      <w:color w:val="auto"/>
                      <w:highlight w:val="none"/>
                      <w:u w:val="single"/>
                    </w:rPr>
                  </w:pPr>
                  <w:r>
                    <w:rPr>
                      <w:rFonts w:hint="eastAsia"/>
                      <w:color w:val="auto"/>
                      <w:highlight w:val="none"/>
                      <w:u w:val="single"/>
                    </w:rPr>
                    <w:t>开发区排水实行雨污分流，污水纳入排污管网系统，建设污水集中处理厂，开发区设置一个排污口。雨水就近排入澧水。在污水集中处理厂建成前，工业废水必须单独进行处理，达到《污水综合排放标准》（GB8978-1996）一级排放标准，方可排放</w:t>
                  </w:r>
                  <w:r>
                    <w:rPr>
                      <w:rFonts w:hint="eastAsia"/>
                      <w:color w:val="auto"/>
                      <w:highlight w:val="none"/>
                      <w:u w:val="single"/>
                      <w:lang w:eastAsia="zh-CN"/>
                    </w:rPr>
                    <w:t>；做好污水分散处理与集中处理的衔接工作，截污、排污管网必须与道路建设及区域开发同步进行，保障污水顺利进入污水集中处理厂。加快污水集中处理厂的建设进度，2008年前须建成污水集中处理厂</w:t>
                  </w:r>
                  <w:r>
                    <w:rPr>
                      <w:rFonts w:hint="eastAsia"/>
                      <w:color w:val="auto"/>
                      <w:highlight w:val="none"/>
                      <w:u w:val="single"/>
                    </w:rPr>
                    <w:t>。</w:t>
                  </w:r>
                </w:p>
              </w:tc>
              <w:tc>
                <w:tcPr>
                  <w:tcW w:w="2951" w:type="dxa"/>
                  <w:noWrap w:val="0"/>
                  <w:vAlign w:val="center"/>
                </w:tcPr>
                <w:p>
                  <w:pPr>
                    <w:spacing w:line="240" w:lineRule="auto"/>
                    <w:jc w:val="center"/>
                    <w:rPr>
                      <w:rFonts w:hint="eastAsia"/>
                      <w:color w:val="auto"/>
                      <w:highlight w:val="none"/>
                      <w:u w:val="single"/>
                    </w:rPr>
                  </w:pPr>
                  <w:r>
                    <w:rPr>
                      <w:rFonts w:hint="eastAsia"/>
                      <w:color w:val="auto"/>
                      <w:highlight w:val="none"/>
                      <w:u w:val="single"/>
                    </w:rPr>
                    <w:t>本项目</w:t>
                  </w:r>
                  <w:r>
                    <w:rPr>
                      <w:rFonts w:hint="eastAsia"/>
                      <w:color w:val="auto"/>
                      <w:highlight w:val="none"/>
                      <w:u w:val="single"/>
                      <w:lang w:val="en-US" w:eastAsia="zh-CN"/>
                    </w:rPr>
                    <w:t>无生产废水排放，生活废水</w:t>
                  </w:r>
                  <w:r>
                    <w:rPr>
                      <w:rFonts w:hint="eastAsia"/>
                      <w:color w:val="auto"/>
                      <w:highlight w:val="none"/>
                      <w:u w:val="single"/>
                    </w:rPr>
                    <w:t>经厂区</w:t>
                  </w:r>
                  <w:r>
                    <w:rPr>
                      <w:rFonts w:hint="eastAsia"/>
                      <w:color w:val="auto"/>
                      <w:highlight w:val="none"/>
                      <w:u w:val="single"/>
                      <w:lang w:val="en-US" w:eastAsia="zh-CN"/>
                    </w:rPr>
                    <w:t>化粪池</w:t>
                  </w:r>
                  <w:r>
                    <w:rPr>
                      <w:rFonts w:hint="eastAsia"/>
                      <w:color w:val="auto"/>
                      <w:highlight w:val="none"/>
                      <w:u w:val="single"/>
                    </w:rPr>
                    <w:t>处理达标后排入</w:t>
                  </w:r>
                  <w:r>
                    <w:rPr>
                      <w:rFonts w:hint="eastAsia"/>
                      <w:color w:val="auto"/>
                      <w:szCs w:val="21"/>
                      <w:highlight w:val="none"/>
                      <w:u w:val="single"/>
                    </w:rPr>
                    <w:t>津市工业园污水处理厂进行处理</w:t>
                  </w:r>
                  <w:r>
                    <w:rPr>
                      <w:rFonts w:hint="eastAsia"/>
                      <w:color w:val="auto"/>
                      <w:highlight w:val="none"/>
                      <w:u w:val="single"/>
                    </w:rPr>
                    <w:t>，处理达标后排入澧水。污水处理厂已于2018年6月正式投运。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979" w:type="dxa"/>
                  <w:noWrap w:val="0"/>
                  <w:vAlign w:val="center"/>
                </w:tcPr>
                <w:p>
                  <w:pPr>
                    <w:spacing w:line="240" w:lineRule="auto"/>
                    <w:jc w:val="both"/>
                    <w:rPr>
                      <w:color w:val="auto"/>
                      <w:highlight w:val="none"/>
                      <w:u w:val="single"/>
                    </w:rPr>
                  </w:pPr>
                  <w:r>
                    <w:rPr>
                      <w:rFonts w:hint="eastAsia"/>
                      <w:color w:val="auto"/>
                      <w:highlight w:val="none"/>
                      <w:u w:val="single"/>
                    </w:rPr>
                    <w:t>开发区内不得新建4蒸吨/小时以下燃煤锅炉，燃煤含硫量不得大于1%，居民、餐饮行业、酒店、食堂一律不得使用燃煤。</w:t>
                  </w:r>
                </w:p>
              </w:tc>
              <w:tc>
                <w:tcPr>
                  <w:tcW w:w="2951" w:type="dxa"/>
                  <w:noWrap w:val="0"/>
                  <w:vAlign w:val="center"/>
                </w:tcPr>
                <w:p>
                  <w:pPr>
                    <w:spacing w:line="240" w:lineRule="auto"/>
                    <w:jc w:val="center"/>
                    <w:rPr>
                      <w:color w:val="auto"/>
                      <w:highlight w:val="none"/>
                      <w:u w:val="single"/>
                    </w:rPr>
                  </w:pPr>
                  <w:r>
                    <w:rPr>
                      <w:rFonts w:hint="eastAsia"/>
                      <w:color w:val="auto"/>
                      <w:highlight w:val="none"/>
                      <w:u w:val="single"/>
                    </w:rPr>
                    <w:t>本项目</w:t>
                  </w:r>
                  <w:r>
                    <w:rPr>
                      <w:rFonts w:hint="eastAsia"/>
                      <w:color w:val="auto"/>
                      <w:highlight w:val="none"/>
                      <w:u w:val="single"/>
                      <w:lang w:val="en-US" w:eastAsia="zh-CN"/>
                    </w:rPr>
                    <w:t>不涉及锅炉使用</w:t>
                  </w:r>
                  <w:r>
                    <w:rPr>
                      <w:rFonts w:hint="eastAsia"/>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3979" w:type="dxa"/>
                  <w:noWrap w:val="0"/>
                  <w:vAlign w:val="center"/>
                </w:tcPr>
                <w:p>
                  <w:pPr>
                    <w:spacing w:line="240" w:lineRule="auto"/>
                    <w:jc w:val="both"/>
                    <w:rPr>
                      <w:color w:val="auto"/>
                      <w:highlight w:val="none"/>
                      <w:u w:val="single"/>
                    </w:rPr>
                  </w:pPr>
                  <w:r>
                    <w:rPr>
                      <w:rFonts w:hint="eastAsia"/>
                      <w:color w:val="auto"/>
                      <w:highlight w:val="none"/>
                      <w:u w:val="single"/>
                    </w:rPr>
                    <w:t>做好工业固体废物和生活垃圾的分类收集、转运、综合利用和无害化处理。工业企业产生固体废物特别是危险固废应按国家有关规定综合利用或妥善处置，不得污染环境;生活垃圾送津市市生活垃圾填埋场。</w:t>
                  </w:r>
                </w:p>
              </w:tc>
              <w:tc>
                <w:tcPr>
                  <w:tcW w:w="2951" w:type="dxa"/>
                  <w:noWrap w:val="0"/>
                  <w:vAlign w:val="center"/>
                </w:tcPr>
                <w:p>
                  <w:pPr>
                    <w:spacing w:line="240" w:lineRule="auto"/>
                    <w:jc w:val="both"/>
                    <w:rPr>
                      <w:rFonts w:hint="eastAsia" w:eastAsiaTheme="minorEastAsia"/>
                      <w:color w:val="auto"/>
                      <w:highlight w:val="none"/>
                      <w:u w:val="single"/>
                      <w:lang w:eastAsia="zh-CN"/>
                    </w:rPr>
                  </w:pPr>
                  <w:r>
                    <w:rPr>
                      <w:rFonts w:hint="eastAsia"/>
                      <w:color w:val="auto"/>
                      <w:highlight w:val="none"/>
                      <w:u w:val="single"/>
                    </w:rPr>
                    <w:t>本项目</w:t>
                  </w:r>
                  <w:r>
                    <w:rPr>
                      <w:color w:val="auto"/>
                      <w:highlight w:val="none"/>
                      <w:u w:val="single"/>
                    </w:rPr>
                    <w:t>危险废物</w:t>
                  </w:r>
                  <w:r>
                    <w:rPr>
                      <w:rFonts w:hint="eastAsia"/>
                      <w:color w:val="auto"/>
                      <w:highlight w:val="none"/>
                      <w:u w:val="single"/>
                      <w:lang w:val="en-US" w:eastAsia="zh-CN"/>
                    </w:rPr>
                    <w:t>暂存厂区危废间后交由资质单位处置</w:t>
                  </w:r>
                  <w:r>
                    <w:rPr>
                      <w:color w:val="auto"/>
                      <w:highlight w:val="none"/>
                      <w:u w:val="single"/>
                    </w:rPr>
                    <w:t>，</w:t>
                  </w:r>
                  <w:r>
                    <w:rPr>
                      <w:rFonts w:hint="eastAsia"/>
                      <w:color w:val="auto"/>
                      <w:szCs w:val="21"/>
                      <w:highlight w:val="none"/>
                      <w:u w:val="single"/>
                    </w:rPr>
                    <w:t>生活垃圾定点收集转移到当地垃圾中转站，由环卫部门清理运走，废塑料收集后当原料使用，布袋除尘器收集的粉尘、废包装材料集中收集后外售，废灯管由厂家更换后及时带走，不在厂区储存</w:t>
                  </w:r>
                  <w:r>
                    <w:rPr>
                      <w:rFonts w:hint="eastAsia"/>
                      <w:color w:val="auto"/>
                      <w:szCs w:val="21"/>
                      <w:highlight w:val="none"/>
                      <w:u w:val="single"/>
                      <w:lang w:eastAsia="zh-CN"/>
                    </w:rPr>
                    <w:t>。</w:t>
                  </w:r>
                </w:p>
              </w:tc>
            </w:tr>
          </w:tbl>
          <w:p>
            <w:pPr>
              <w:ind w:firstLine="420" w:firstLineChars="200"/>
              <w:rPr>
                <w:rFonts w:hint="eastAsia" w:ascii="宋体" w:hAnsi="宋体" w:eastAsia="宋体"/>
                <w:color w:val="000000"/>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6" w:hRule="atLeast"/>
        </w:trPr>
        <w:tc>
          <w:tcPr>
            <w:tcW w:w="177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Cs w:val="21"/>
              </w:rPr>
            </w:pPr>
            <w:r>
              <w:rPr>
                <w:rFonts w:ascii="宋体" w:hAnsi="宋体" w:eastAsia="宋体"/>
                <w:color w:val="000000"/>
                <w:kern w:val="0"/>
                <w:szCs w:val="21"/>
              </w:rPr>
              <w:t>其他符合性分析</w:t>
            </w:r>
          </w:p>
        </w:tc>
        <w:tc>
          <w:tcPr>
            <w:tcW w:w="7060"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ind w:firstLine="480" w:firstLineChars="200"/>
              <w:rPr>
                <w:rFonts w:hAnsi="宋体"/>
                <w:sz w:val="24"/>
                <w:u w:val="single"/>
              </w:rPr>
            </w:pPr>
            <w:r>
              <w:rPr>
                <w:rFonts w:hint="eastAsia" w:hAnsi="宋体"/>
                <w:sz w:val="24"/>
                <w:u w:val="single"/>
                <w:lang w:val="en-US" w:eastAsia="zh-CN"/>
              </w:rPr>
              <w:t>1</w:t>
            </w:r>
            <w:r>
              <w:rPr>
                <w:rFonts w:hAnsi="宋体"/>
                <w:sz w:val="24"/>
                <w:u w:val="single"/>
              </w:rPr>
              <w:t>、与湖南省生态管控及环境准入符合性分析</w:t>
            </w:r>
          </w:p>
          <w:p>
            <w:pPr>
              <w:spacing w:line="360" w:lineRule="auto"/>
              <w:ind w:firstLine="480" w:firstLineChars="200"/>
              <w:rPr>
                <w:rFonts w:hAnsi="宋体"/>
                <w:sz w:val="24"/>
              </w:rPr>
            </w:pPr>
            <w:r>
              <w:rPr>
                <w:rFonts w:hAnsi="宋体"/>
                <w:sz w:val="24"/>
                <w:u w:val="single"/>
              </w:rPr>
              <w:t>对照《湖南省“三线一单”生态环境总体管控要求暨省级以上产业园区生态环境准入清单》，本项目所在区域属于</w:t>
            </w:r>
            <w:r>
              <w:rPr>
                <w:rFonts w:hint="eastAsia" w:hAnsi="宋体"/>
                <w:sz w:val="24"/>
                <w:u w:val="single"/>
              </w:rPr>
              <w:t>重点管控单元</w:t>
            </w:r>
            <w:r>
              <w:rPr>
                <w:rFonts w:hAnsi="宋体"/>
                <w:sz w:val="24"/>
                <w:u w:val="single"/>
              </w:rPr>
              <w:t>，与湖南省“三线一单”管控要求和生态环境准入要求的符合性分析见下表</w:t>
            </w:r>
            <w:r>
              <w:rPr>
                <w:rFonts w:hAnsi="宋体"/>
                <w:sz w:val="24"/>
              </w:rPr>
              <w:t>。</w:t>
            </w:r>
          </w:p>
          <w:p>
            <w:pPr>
              <w:jc w:val="center"/>
              <w:rPr>
                <w:b/>
                <w:color w:val="auto"/>
                <w:sz w:val="24"/>
                <w:u w:val="single"/>
              </w:rPr>
            </w:pPr>
            <w:r>
              <w:rPr>
                <w:b/>
                <w:color w:val="auto"/>
                <w:sz w:val="24"/>
                <w:u w:val="single"/>
              </w:rPr>
              <w:t>表1-</w:t>
            </w:r>
            <w:r>
              <w:rPr>
                <w:rFonts w:hint="eastAsia"/>
                <w:b/>
                <w:color w:val="auto"/>
                <w:sz w:val="24"/>
                <w:u w:val="single"/>
                <w:lang w:val="en-US" w:eastAsia="zh-CN"/>
              </w:rPr>
              <w:t>2</w:t>
            </w:r>
            <w:r>
              <w:rPr>
                <w:b/>
                <w:color w:val="auto"/>
                <w:sz w:val="24"/>
                <w:u w:val="single"/>
              </w:rPr>
              <w:t>项目与管控要求和生态环境准入要求的符合性分析</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04"/>
              <w:gridCol w:w="654"/>
              <w:gridCol w:w="3610"/>
              <w:gridCol w:w="1262"/>
              <w:gridCol w:w="78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604" w:type="dxa"/>
                  <w:tcBorders>
                    <w:right w:val="single" w:color="auto" w:sz="4" w:space="0"/>
                  </w:tcBorders>
                  <w:vAlign w:val="center"/>
                </w:tcPr>
                <w:p>
                  <w:pPr>
                    <w:pStyle w:val="27"/>
                    <w:spacing w:line="300" w:lineRule="exact"/>
                    <w:rPr>
                      <w:rFonts w:eastAsia="宋体"/>
                      <w:b/>
                      <w:color w:val="auto"/>
                      <w:sz w:val="21"/>
                      <w:szCs w:val="21"/>
                      <w:u w:val="single"/>
                    </w:rPr>
                  </w:pPr>
                  <w:r>
                    <w:rPr>
                      <w:rFonts w:hint="eastAsia" w:eastAsia="宋体"/>
                      <w:b/>
                      <w:color w:val="auto"/>
                      <w:sz w:val="21"/>
                      <w:szCs w:val="21"/>
                      <w:u w:val="single"/>
                    </w:rPr>
                    <w:t>序号</w:t>
                  </w:r>
                </w:p>
              </w:tc>
              <w:tc>
                <w:tcPr>
                  <w:tcW w:w="654" w:type="dxa"/>
                  <w:tcBorders>
                    <w:left w:val="single" w:color="auto" w:sz="4" w:space="0"/>
                  </w:tcBorders>
                  <w:vAlign w:val="center"/>
                </w:tcPr>
                <w:p>
                  <w:pPr>
                    <w:pStyle w:val="27"/>
                    <w:spacing w:line="300" w:lineRule="exact"/>
                    <w:rPr>
                      <w:rFonts w:ascii="宋体" w:hAnsi="宋体" w:cs="宋体"/>
                      <w:b/>
                      <w:color w:val="auto"/>
                      <w:sz w:val="21"/>
                      <w:szCs w:val="21"/>
                      <w:u w:val="single"/>
                    </w:rPr>
                  </w:pPr>
                  <w:r>
                    <w:rPr>
                      <w:rFonts w:hint="eastAsia" w:ascii="宋体" w:hAnsi="宋体" w:cs="宋体"/>
                      <w:b/>
                      <w:color w:val="auto"/>
                      <w:sz w:val="21"/>
                      <w:szCs w:val="21"/>
                      <w:u w:val="single"/>
                    </w:rPr>
                    <w:t>管控维度</w:t>
                  </w:r>
                </w:p>
              </w:tc>
              <w:tc>
                <w:tcPr>
                  <w:tcW w:w="3610" w:type="dxa"/>
                  <w:vAlign w:val="center"/>
                </w:tcPr>
                <w:p>
                  <w:pPr>
                    <w:pStyle w:val="27"/>
                    <w:spacing w:line="300" w:lineRule="exact"/>
                    <w:rPr>
                      <w:rFonts w:eastAsia="Tms Rmn"/>
                      <w:b/>
                      <w:color w:val="auto"/>
                      <w:sz w:val="21"/>
                      <w:szCs w:val="21"/>
                      <w:u w:val="single"/>
                    </w:rPr>
                  </w:pPr>
                  <w:r>
                    <w:rPr>
                      <w:rFonts w:hint="eastAsia" w:ascii="宋体" w:hAnsi="宋体" w:cs="宋体"/>
                      <w:b/>
                      <w:color w:val="auto"/>
                      <w:sz w:val="21"/>
                      <w:szCs w:val="21"/>
                      <w:u w:val="single"/>
                    </w:rPr>
                    <w:t>管控要求</w:t>
                  </w:r>
                </w:p>
              </w:tc>
              <w:tc>
                <w:tcPr>
                  <w:tcW w:w="1262" w:type="dxa"/>
                  <w:vAlign w:val="center"/>
                </w:tcPr>
                <w:p>
                  <w:pPr>
                    <w:pStyle w:val="27"/>
                    <w:spacing w:line="300" w:lineRule="exact"/>
                    <w:rPr>
                      <w:rFonts w:eastAsia="宋体"/>
                      <w:b/>
                      <w:color w:val="auto"/>
                      <w:sz w:val="21"/>
                      <w:szCs w:val="21"/>
                      <w:u w:val="single"/>
                    </w:rPr>
                  </w:pPr>
                  <w:r>
                    <w:rPr>
                      <w:rFonts w:hint="eastAsia" w:ascii="宋体" w:hAnsi="宋体" w:eastAsia="宋体" w:cs="宋体"/>
                      <w:b/>
                      <w:color w:val="auto"/>
                      <w:sz w:val="21"/>
                      <w:szCs w:val="21"/>
                      <w:u w:val="single"/>
                    </w:rPr>
                    <w:t>项目相关情况</w:t>
                  </w:r>
                </w:p>
              </w:tc>
              <w:tc>
                <w:tcPr>
                  <w:tcW w:w="780" w:type="dxa"/>
                  <w:vAlign w:val="center"/>
                </w:tcPr>
                <w:p>
                  <w:pPr>
                    <w:pStyle w:val="27"/>
                    <w:spacing w:line="300" w:lineRule="exact"/>
                    <w:rPr>
                      <w:rFonts w:eastAsia="宋体"/>
                      <w:b/>
                      <w:color w:val="auto"/>
                      <w:sz w:val="21"/>
                      <w:szCs w:val="21"/>
                      <w:u w:val="single"/>
                    </w:rPr>
                  </w:pPr>
                  <w:r>
                    <w:rPr>
                      <w:rFonts w:hint="eastAsia" w:eastAsia="宋体"/>
                      <w:b/>
                      <w:color w:val="auto"/>
                      <w:sz w:val="21"/>
                      <w:szCs w:val="21"/>
                      <w:u w:val="single"/>
                    </w:rPr>
                    <w:t>符合性分析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604" w:type="dxa"/>
                  <w:tcBorders>
                    <w:bottom w:val="single" w:color="auto" w:sz="4" w:space="0"/>
                  </w:tcBorders>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1</w:t>
                  </w:r>
                </w:p>
              </w:tc>
              <w:tc>
                <w:tcPr>
                  <w:tcW w:w="654" w:type="dxa"/>
                  <w:tcBorders>
                    <w:bottom w:val="single" w:color="auto" w:sz="4" w:space="0"/>
                  </w:tcBorders>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空间布局约束</w:t>
                  </w:r>
                </w:p>
              </w:tc>
              <w:tc>
                <w:tcPr>
                  <w:tcW w:w="3610" w:type="dxa"/>
                  <w:tcBorders>
                    <w:bottom w:val="single" w:color="auto" w:sz="4" w:space="0"/>
                  </w:tcBorders>
                  <w:vAlign w:val="center"/>
                </w:tcPr>
                <w:p>
                  <w:pPr>
                    <w:pStyle w:val="27"/>
                    <w:spacing w:line="240" w:lineRule="auto"/>
                    <w:jc w:val="both"/>
                    <w:rPr>
                      <w:rFonts w:hAnsi="宋体"/>
                      <w:color w:val="auto"/>
                      <w:kern w:val="2"/>
                      <w:sz w:val="21"/>
                      <w:szCs w:val="21"/>
                      <w:u w:val="single"/>
                    </w:rPr>
                  </w:pPr>
                  <w:r>
                    <w:rPr>
                      <w:rFonts w:hint="eastAsia" w:hAnsi="宋体"/>
                      <w:color w:val="auto"/>
                      <w:kern w:val="2"/>
                      <w:sz w:val="21"/>
                      <w:szCs w:val="21"/>
                      <w:u w:val="single"/>
                      <w:lang w:val="en-US" w:eastAsia="zh-CN"/>
                    </w:rPr>
                    <w:t>1、</w:t>
                  </w:r>
                  <w:r>
                    <w:rPr>
                      <w:rFonts w:hint="eastAsia" w:hAnsi="宋体"/>
                      <w:color w:val="auto"/>
                      <w:kern w:val="2"/>
                      <w:sz w:val="21"/>
                      <w:szCs w:val="21"/>
                      <w:u w:val="single"/>
                    </w:rPr>
                    <w:t>北区控制盐化工发展，对原一期保留的盐化工板块严格准入管理，不得在已调出开发区范围的用地及周边建设工业企业；南区对临近胥家湖工业用地优化布置，100m陆域范围禁止布置生产性厂房及污水处理设施。对规划精细化工板块、生物医药板块位置及布局按环评要求调整优化，保障工业区与新洲镇集镇居住区间的环境防护距离，在调扩区工业区边界外300米范围内不得规划新增新建居住区、学校、医院等环境敏感目标。</w:t>
                  </w:r>
                  <w:r>
                    <w:rPr>
                      <w:rFonts w:hint="eastAsia" w:hAnsi="宋体"/>
                      <w:color w:val="auto"/>
                      <w:kern w:val="2"/>
                      <w:sz w:val="21"/>
                      <w:szCs w:val="21"/>
                      <w:u w:val="single"/>
                      <w:lang w:val="en-US" w:eastAsia="zh-CN"/>
                    </w:rPr>
                    <w:t>2、</w:t>
                  </w:r>
                  <w:r>
                    <w:rPr>
                      <w:rFonts w:hint="eastAsia" w:hAnsi="宋体"/>
                      <w:color w:val="auto"/>
                      <w:kern w:val="2"/>
                      <w:sz w:val="21"/>
                      <w:szCs w:val="21"/>
                      <w:u w:val="single"/>
                    </w:rPr>
                    <w:t>禁止排放废水、废气涉及重金属的企业和项目入园；禁止引进使用和生产高毒性原料和产品的项目，严格控制工艺废气产生挥发性有机物、恶臭的项目准入。</w:t>
                  </w:r>
                  <w:r>
                    <w:rPr>
                      <w:rFonts w:hint="eastAsia" w:hAnsi="宋体"/>
                      <w:color w:val="auto"/>
                      <w:kern w:val="2"/>
                      <w:sz w:val="21"/>
                      <w:szCs w:val="21"/>
                      <w:u w:val="single"/>
                      <w:lang w:val="en-US" w:eastAsia="zh-CN"/>
                    </w:rPr>
                    <w:t>3、</w:t>
                  </w:r>
                  <w:r>
                    <w:rPr>
                      <w:rFonts w:hint="eastAsia" w:hAnsi="宋体"/>
                      <w:color w:val="auto"/>
                      <w:kern w:val="2"/>
                      <w:sz w:val="21"/>
                      <w:szCs w:val="21"/>
                      <w:u w:val="single"/>
                    </w:rPr>
                    <w:t>团湖安置区上风向严禁新增恶臭异味废气排放的建设项目。</w:t>
                  </w:r>
                </w:p>
              </w:tc>
              <w:tc>
                <w:tcPr>
                  <w:tcW w:w="1262" w:type="dxa"/>
                  <w:tcBorders>
                    <w:bottom w:val="single" w:color="auto" w:sz="4" w:space="0"/>
                  </w:tcBorders>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项目</w:t>
                  </w:r>
                  <w:r>
                    <w:rPr>
                      <w:rFonts w:hint="eastAsia" w:hAnsi="宋体"/>
                      <w:color w:val="auto"/>
                      <w:kern w:val="2"/>
                      <w:sz w:val="21"/>
                      <w:szCs w:val="21"/>
                      <w:u w:val="single"/>
                      <w:lang w:val="en-US" w:eastAsia="zh-CN"/>
                    </w:rPr>
                    <w:t>挥发性有机物产生量较小，建设地点位于</w:t>
                  </w:r>
                  <w:r>
                    <w:rPr>
                      <w:rFonts w:hint="eastAsia" w:hAnsi="宋体"/>
                      <w:color w:val="auto"/>
                      <w:kern w:val="2"/>
                      <w:sz w:val="21"/>
                      <w:szCs w:val="21"/>
                      <w:u w:val="single"/>
                    </w:rPr>
                    <w:t>团湖安置区</w:t>
                  </w:r>
                  <w:r>
                    <w:rPr>
                      <w:rFonts w:hint="eastAsia" w:hAnsi="宋体"/>
                      <w:color w:val="auto"/>
                      <w:kern w:val="2"/>
                      <w:sz w:val="21"/>
                      <w:szCs w:val="21"/>
                      <w:u w:val="single"/>
                      <w:lang w:val="en-US" w:eastAsia="zh-CN"/>
                    </w:rPr>
                    <w:t>下风向。</w:t>
                  </w:r>
                </w:p>
              </w:tc>
              <w:tc>
                <w:tcPr>
                  <w:tcW w:w="780" w:type="dxa"/>
                  <w:tcBorders>
                    <w:bottom w:val="single" w:color="auto" w:sz="4" w:space="0"/>
                  </w:tcBorders>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604" w:type="dxa"/>
                  <w:tcBorders>
                    <w:top w:val="single" w:color="auto" w:sz="4" w:space="0"/>
                  </w:tcBorders>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2</w:t>
                  </w:r>
                </w:p>
              </w:tc>
              <w:tc>
                <w:tcPr>
                  <w:tcW w:w="654" w:type="dxa"/>
                  <w:tcBorders>
                    <w:top w:val="single" w:color="auto" w:sz="4" w:space="0"/>
                  </w:tcBorders>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污染物排放管控</w:t>
                  </w:r>
                </w:p>
              </w:tc>
              <w:tc>
                <w:tcPr>
                  <w:tcW w:w="3610" w:type="dxa"/>
                  <w:tcBorders>
                    <w:top w:val="single" w:color="auto" w:sz="4" w:space="0"/>
                  </w:tcBorders>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lang w:val="en-US" w:eastAsia="zh-CN"/>
                    </w:rPr>
                    <w:t>1、</w:t>
                  </w:r>
                  <w:r>
                    <w:rPr>
                      <w:rFonts w:hint="eastAsia" w:hAnsi="宋体"/>
                      <w:color w:val="auto"/>
                      <w:kern w:val="2"/>
                      <w:sz w:val="21"/>
                      <w:szCs w:val="21"/>
                      <w:u w:val="single"/>
                    </w:rPr>
                    <w:t>废水：高新区排水实施雨污分流，加快园区工业污水处理厂扩建。做好沿湖截污，禁止园区废水排入两湖；雨水通过园区雨水管道系统收集后，由龙岗路东北侧的窑坡排渍站、津市大道南端幸福闸排渍站、城内垸排渍站排入澧水。</w:t>
                  </w:r>
                  <w:r>
                    <w:rPr>
                      <w:rFonts w:hint="eastAsia" w:hAnsi="宋体"/>
                      <w:color w:val="auto"/>
                      <w:kern w:val="2"/>
                      <w:sz w:val="21"/>
                      <w:szCs w:val="21"/>
                      <w:u w:val="single"/>
                      <w:lang w:val="en-US" w:eastAsia="zh-CN"/>
                    </w:rPr>
                    <w:t>2、</w:t>
                  </w:r>
                  <w:r>
                    <w:rPr>
                      <w:rFonts w:hint="eastAsia" w:hAnsi="宋体"/>
                      <w:color w:val="auto"/>
                      <w:kern w:val="2"/>
                      <w:sz w:val="21"/>
                      <w:szCs w:val="21"/>
                      <w:u w:val="single"/>
                    </w:rPr>
                    <w:t>废气：（</w:t>
                  </w:r>
                  <w:r>
                    <w:rPr>
                      <w:rFonts w:hint="eastAsia" w:hAnsi="宋体"/>
                      <w:color w:val="auto"/>
                      <w:kern w:val="2"/>
                      <w:sz w:val="21"/>
                      <w:szCs w:val="21"/>
                      <w:u w:val="single"/>
                      <w:lang w:val="en-US" w:eastAsia="zh-CN"/>
                    </w:rPr>
                    <w:t>1</w:t>
                  </w:r>
                  <w:r>
                    <w:rPr>
                      <w:rFonts w:hint="eastAsia" w:hAnsi="宋体"/>
                      <w:color w:val="auto"/>
                      <w:kern w:val="2"/>
                      <w:sz w:val="21"/>
                      <w:szCs w:val="21"/>
                      <w:u w:val="single"/>
                    </w:rPr>
                    <w:t>）对各企业工艺废气污染源，应配置废气收集与处理净化装置，确保达标排放。加强生产工艺研究与技术改进，采取有效措施，减少园区内工艺废气的无组织排放。严格控制团湖安置区周边现有企业的工艺废气排放。（</w:t>
                  </w:r>
                  <w:r>
                    <w:rPr>
                      <w:rFonts w:hint="eastAsia" w:hAnsi="宋体"/>
                      <w:color w:val="auto"/>
                      <w:kern w:val="2"/>
                      <w:sz w:val="21"/>
                      <w:szCs w:val="21"/>
                      <w:u w:val="single"/>
                      <w:lang w:val="en-US" w:eastAsia="zh-CN"/>
                    </w:rPr>
                    <w:t>2</w:t>
                  </w:r>
                  <w:r>
                    <w:rPr>
                      <w:rFonts w:hint="eastAsia" w:hAnsi="宋体"/>
                      <w:color w:val="auto"/>
                      <w:kern w:val="2"/>
                      <w:sz w:val="21"/>
                      <w:szCs w:val="21"/>
                      <w:u w:val="single"/>
                    </w:rPr>
                    <w:t>）进行网格化监测微型站建设，建成大气污染网格化综合监管平台，加强特征污染物和环境质量监测。强化源头管控和末端治理，加快推进有机化工、工业涂装、包装印刷、制药等行业企业VOCs治理，确保达标排放。（</w:t>
                  </w:r>
                  <w:r>
                    <w:rPr>
                      <w:rFonts w:hint="eastAsia" w:hAnsi="宋体"/>
                      <w:color w:val="auto"/>
                      <w:kern w:val="2"/>
                      <w:sz w:val="21"/>
                      <w:szCs w:val="21"/>
                      <w:u w:val="single"/>
                      <w:lang w:val="en-US" w:eastAsia="zh-CN"/>
                    </w:rPr>
                    <w:t>3</w:t>
                  </w:r>
                  <w:r>
                    <w:rPr>
                      <w:rFonts w:hint="eastAsia" w:hAnsi="宋体"/>
                      <w:color w:val="auto"/>
                      <w:kern w:val="2"/>
                      <w:sz w:val="21"/>
                      <w:szCs w:val="21"/>
                      <w:u w:val="single"/>
                    </w:rPr>
                    <w:t>）园区内生物工程类、混装制剂类制药等行业及涉锅炉大气污染物排放应满足《湖南省生态环境厅关于执行污染物特别排放限值（第一批）的公告》中的要求。（</w:t>
                  </w:r>
                  <w:r>
                    <w:rPr>
                      <w:rFonts w:hint="eastAsia" w:hAnsi="宋体"/>
                      <w:color w:val="auto"/>
                      <w:kern w:val="2"/>
                      <w:sz w:val="21"/>
                      <w:szCs w:val="21"/>
                      <w:u w:val="single"/>
                      <w:lang w:val="en-US" w:eastAsia="zh-CN"/>
                    </w:rPr>
                    <w:t>4</w:t>
                  </w:r>
                  <w:r>
                    <w:rPr>
                      <w:rFonts w:hint="eastAsia" w:hAnsi="宋体"/>
                      <w:color w:val="auto"/>
                      <w:kern w:val="2"/>
                      <w:sz w:val="21"/>
                      <w:szCs w:val="21"/>
                      <w:u w:val="single"/>
                    </w:rPr>
                    <w:t>）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262" w:type="dxa"/>
                  <w:tcBorders>
                    <w:top w:val="single" w:color="auto" w:sz="4" w:space="0"/>
                  </w:tcBorders>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项目不产生工业废水</w:t>
                  </w:r>
                  <w:r>
                    <w:rPr>
                      <w:rFonts w:hint="eastAsia" w:hAnsi="宋体"/>
                      <w:color w:val="auto"/>
                      <w:kern w:val="2"/>
                      <w:sz w:val="21"/>
                      <w:szCs w:val="21"/>
                      <w:u w:val="single"/>
                      <w:lang w:val="en-US" w:eastAsia="zh-CN"/>
                    </w:rPr>
                    <w:t>排放</w:t>
                  </w:r>
                  <w:r>
                    <w:rPr>
                      <w:rFonts w:hint="eastAsia" w:hAnsi="宋体"/>
                      <w:color w:val="auto"/>
                      <w:kern w:val="2"/>
                      <w:sz w:val="21"/>
                      <w:szCs w:val="21"/>
                      <w:u w:val="single"/>
                    </w:rPr>
                    <w:t>，生活废水生活污水经化粪池处理后，进入开发区污水管网，废气</w:t>
                  </w:r>
                  <w:r>
                    <w:rPr>
                      <w:rFonts w:hint="eastAsia" w:hAnsi="宋体"/>
                      <w:color w:val="auto"/>
                      <w:kern w:val="2"/>
                      <w:sz w:val="21"/>
                      <w:szCs w:val="21"/>
                      <w:u w:val="single"/>
                      <w:lang w:val="en-US" w:eastAsia="zh-CN"/>
                    </w:rPr>
                    <w:t>经喷淋+光氧催化+活性炭吸附后</w:t>
                  </w:r>
                  <w:r>
                    <w:rPr>
                      <w:rFonts w:hint="eastAsia" w:hAnsi="宋体"/>
                      <w:color w:val="auto"/>
                      <w:kern w:val="2"/>
                      <w:sz w:val="21"/>
                      <w:szCs w:val="21"/>
                      <w:u w:val="single"/>
                    </w:rPr>
                    <w:t>达标排放，固废能得到有效收集处理。</w:t>
                  </w:r>
                </w:p>
              </w:tc>
              <w:tc>
                <w:tcPr>
                  <w:tcW w:w="780" w:type="dxa"/>
                  <w:tcBorders>
                    <w:top w:val="single" w:color="auto" w:sz="4" w:space="0"/>
                  </w:tcBorders>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52" w:hRule="atLeast"/>
                <w:jc w:val="center"/>
              </w:trPr>
              <w:tc>
                <w:tcPr>
                  <w:tcW w:w="604" w:type="dxa"/>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3</w:t>
                  </w:r>
                </w:p>
              </w:tc>
              <w:tc>
                <w:tcPr>
                  <w:tcW w:w="654" w:type="dxa"/>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生态环境准入清单</w:t>
                  </w:r>
                </w:p>
              </w:tc>
              <w:tc>
                <w:tcPr>
                  <w:tcW w:w="3610" w:type="dxa"/>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lang w:val="en-US" w:eastAsia="zh-CN"/>
                    </w:rPr>
                    <w:t>1、</w:t>
                  </w:r>
                  <w:r>
                    <w:rPr>
                      <w:rFonts w:hint="eastAsia" w:hAnsi="宋体"/>
                      <w:color w:val="auto"/>
                      <w:kern w:val="2"/>
                      <w:sz w:val="21"/>
                      <w:szCs w:val="21"/>
                      <w:u w:val="single"/>
                    </w:rPr>
                    <w:t>加强园区环境风险预警、防控和应急体系建设，南片区及北片区落实《津市工业集中区突发环境事件应急预案》提出的各项环境风险防范措施，严防环境风险事故发生。</w:t>
                  </w:r>
                  <w:r>
                    <w:rPr>
                      <w:rFonts w:hint="eastAsia" w:hAnsi="宋体"/>
                      <w:color w:val="auto"/>
                      <w:kern w:val="2"/>
                      <w:sz w:val="21"/>
                      <w:szCs w:val="21"/>
                      <w:u w:val="single"/>
                      <w:lang w:val="en-US" w:eastAsia="zh-CN"/>
                    </w:rPr>
                    <w:t>2、</w:t>
                  </w:r>
                  <w:r>
                    <w:rPr>
                      <w:rFonts w:hint="eastAsia" w:hAnsi="宋体"/>
                      <w:color w:val="auto"/>
                      <w:kern w:val="2"/>
                      <w:sz w:val="21"/>
                      <w:szCs w:val="21"/>
                      <w:u w:val="single"/>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r>
                    <w:rPr>
                      <w:rFonts w:hint="eastAsia" w:hAnsi="宋体"/>
                      <w:color w:val="auto"/>
                      <w:kern w:val="2"/>
                      <w:sz w:val="21"/>
                      <w:szCs w:val="21"/>
                      <w:u w:val="single"/>
                      <w:lang w:val="en-US" w:eastAsia="zh-CN"/>
                    </w:rPr>
                    <w:t>3、</w:t>
                  </w:r>
                  <w:r>
                    <w:rPr>
                      <w:rFonts w:hint="eastAsia" w:hAnsi="宋体"/>
                      <w:color w:val="auto"/>
                      <w:kern w:val="2"/>
                      <w:sz w:val="21"/>
                      <w:szCs w:val="21"/>
                      <w:u w:val="single"/>
                    </w:rPr>
                    <w:t>建设用地土壤风险防控：加强对建设用地土壤环境状况调查、风险评估和污染地块治理与修复活动的监管。</w:t>
                  </w:r>
                  <w:r>
                    <w:rPr>
                      <w:rFonts w:hint="eastAsia" w:hAnsi="宋体"/>
                      <w:color w:val="auto"/>
                      <w:kern w:val="2"/>
                      <w:sz w:val="21"/>
                      <w:szCs w:val="21"/>
                      <w:u w:val="single"/>
                      <w:lang w:val="en-US" w:eastAsia="zh-CN"/>
                    </w:rPr>
                    <w:t>4</w:t>
                  </w:r>
                  <w:r>
                    <w:rPr>
                      <w:rFonts w:hint="eastAsia" w:hAnsi="宋体"/>
                      <w:color w:val="auto"/>
                      <w:kern w:val="2"/>
                      <w:sz w:val="21"/>
                      <w:szCs w:val="21"/>
                      <w:u w:val="single"/>
                    </w:rPr>
                    <w:t>农用地风险防控：实施农用地分类管理，保障农业生产环境安全；防控企业污染。禁止在优先保护类耕地集中区域新建有色金属冶炼、化工、电镀、制革、危险废物经营等行业企业。</w:t>
                  </w:r>
                </w:p>
              </w:tc>
              <w:tc>
                <w:tcPr>
                  <w:tcW w:w="1262" w:type="dxa"/>
                  <w:vAlign w:val="center"/>
                </w:tcPr>
                <w:p>
                  <w:pPr>
                    <w:pStyle w:val="27"/>
                    <w:spacing w:line="300" w:lineRule="exact"/>
                    <w:jc w:val="both"/>
                    <w:rPr>
                      <w:rFonts w:hAnsi="宋体"/>
                      <w:color w:val="auto"/>
                      <w:kern w:val="2"/>
                      <w:sz w:val="21"/>
                      <w:szCs w:val="21"/>
                      <w:u w:val="single"/>
                    </w:rPr>
                  </w:pPr>
                  <w:r>
                    <w:rPr>
                      <w:rFonts w:hint="eastAsia" w:hAnsi="宋体"/>
                      <w:color w:val="auto"/>
                      <w:kern w:val="2"/>
                      <w:sz w:val="21"/>
                      <w:szCs w:val="21"/>
                      <w:u w:val="single"/>
                    </w:rPr>
                    <w:t>项目</w:t>
                  </w:r>
                  <w:r>
                    <w:rPr>
                      <w:rFonts w:hint="eastAsia" w:hAnsi="宋体"/>
                      <w:color w:val="auto"/>
                      <w:kern w:val="2"/>
                      <w:sz w:val="21"/>
                      <w:szCs w:val="21"/>
                      <w:u w:val="single"/>
                      <w:lang w:val="en-US" w:eastAsia="zh-CN"/>
                    </w:rPr>
                    <w:t>危险废物量少，危险废物主要为废活性炭，主要暂存于危废间，环境污染危险性小</w:t>
                  </w:r>
                  <w:r>
                    <w:rPr>
                      <w:rFonts w:hint="eastAsia" w:hAnsi="宋体"/>
                      <w:color w:val="auto"/>
                      <w:kern w:val="2"/>
                      <w:sz w:val="21"/>
                      <w:szCs w:val="21"/>
                      <w:u w:val="single"/>
                    </w:rPr>
                    <w:t>。</w:t>
                  </w:r>
                </w:p>
              </w:tc>
              <w:tc>
                <w:tcPr>
                  <w:tcW w:w="780" w:type="dxa"/>
                  <w:vAlign w:val="center"/>
                </w:tcPr>
                <w:p>
                  <w:pPr>
                    <w:pStyle w:val="27"/>
                    <w:spacing w:line="300" w:lineRule="exact"/>
                    <w:rPr>
                      <w:rFonts w:hAnsi="宋体"/>
                      <w:color w:val="auto"/>
                      <w:kern w:val="2"/>
                      <w:sz w:val="21"/>
                      <w:szCs w:val="21"/>
                      <w:u w:val="single"/>
                    </w:rPr>
                  </w:pPr>
                  <w:r>
                    <w:rPr>
                      <w:rFonts w:hint="eastAsia" w:hAnsi="宋体"/>
                      <w:color w:val="auto"/>
                      <w:kern w:val="2"/>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9" w:hRule="atLeast"/>
                <w:jc w:val="center"/>
              </w:trPr>
              <w:tc>
                <w:tcPr>
                  <w:tcW w:w="604" w:type="dxa"/>
                  <w:tcBorders>
                    <w:bottom w:val="single" w:color="auto" w:sz="4" w:space="0"/>
                  </w:tcBorders>
                  <w:vAlign w:val="center"/>
                </w:tcPr>
                <w:p>
                  <w:pPr>
                    <w:pStyle w:val="27"/>
                    <w:spacing w:line="300" w:lineRule="exact"/>
                    <w:rPr>
                      <w:rFonts w:hint="eastAsia" w:hAnsi="宋体" w:eastAsiaTheme="minorEastAsia"/>
                      <w:color w:val="auto"/>
                      <w:kern w:val="2"/>
                      <w:sz w:val="21"/>
                      <w:szCs w:val="21"/>
                      <w:u w:val="single"/>
                      <w:lang w:val="en-US" w:eastAsia="zh-CN"/>
                    </w:rPr>
                  </w:pPr>
                  <w:r>
                    <w:rPr>
                      <w:rFonts w:hint="eastAsia" w:hAnsi="宋体"/>
                      <w:color w:val="auto"/>
                      <w:kern w:val="2"/>
                      <w:sz w:val="21"/>
                      <w:szCs w:val="21"/>
                      <w:u w:val="single"/>
                      <w:lang w:val="en-US" w:eastAsia="zh-CN"/>
                    </w:rPr>
                    <w:t>4</w:t>
                  </w:r>
                </w:p>
              </w:tc>
              <w:tc>
                <w:tcPr>
                  <w:tcW w:w="654" w:type="dxa"/>
                  <w:tcBorders>
                    <w:bottom w:val="single" w:color="auto" w:sz="4" w:space="0"/>
                  </w:tcBorders>
                  <w:vAlign w:val="center"/>
                </w:tcPr>
                <w:p>
                  <w:pPr>
                    <w:pStyle w:val="27"/>
                    <w:spacing w:line="300" w:lineRule="exact"/>
                    <w:jc w:val="both"/>
                    <w:rPr>
                      <w:rFonts w:hint="eastAsia" w:hAnsi="宋体"/>
                      <w:color w:val="auto"/>
                      <w:kern w:val="2"/>
                      <w:sz w:val="21"/>
                      <w:szCs w:val="21"/>
                      <w:u w:val="single"/>
                    </w:rPr>
                  </w:pPr>
                  <w:r>
                    <w:rPr>
                      <w:rFonts w:hint="eastAsia" w:hAnsi="宋体"/>
                      <w:color w:val="auto"/>
                      <w:kern w:val="2"/>
                      <w:sz w:val="21"/>
                      <w:szCs w:val="21"/>
                      <w:u w:val="single"/>
                    </w:rPr>
                    <w:t>资源开发效率要求</w:t>
                  </w:r>
                </w:p>
              </w:tc>
              <w:tc>
                <w:tcPr>
                  <w:tcW w:w="3610" w:type="dxa"/>
                  <w:tcBorders>
                    <w:bottom w:val="single" w:color="auto" w:sz="4" w:space="0"/>
                  </w:tcBorders>
                  <w:vAlign w:val="center"/>
                </w:tcPr>
                <w:p>
                  <w:pPr>
                    <w:pStyle w:val="27"/>
                    <w:spacing w:line="300" w:lineRule="exact"/>
                    <w:jc w:val="both"/>
                    <w:rPr>
                      <w:rFonts w:hint="eastAsia" w:hAnsi="宋体" w:eastAsiaTheme="minorEastAsia"/>
                      <w:color w:val="auto"/>
                      <w:kern w:val="2"/>
                      <w:sz w:val="21"/>
                      <w:szCs w:val="21"/>
                      <w:u w:val="single"/>
                      <w:lang w:val="en-US" w:eastAsia="zh-CN"/>
                    </w:rPr>
                  </w:pPr>
                  <w:r>
                    <w:rPr>
                      <w:rFonts w:hint="eastAsia" w:hAnsi="宋体"/>
                      <w:color w:val="auto"/>
                      <w:kern w:val="2"/>
                      <w:sz w:val="21"/>
                      <w:szCs w:val="21"/>
                      <w:u w:val="single"/>
                    </w:rPr>
                    <w:t>（</w:t>
                  </w:r>
                  <w:r>
                    <w:rPr>
                      <w:rFonts w:hint="eastAsia" w:hAnsi="宋体"/>
                      <w:color w:val="auto"/>
                      <w:kern w:val="2"/>
                      <w:sz w:val="21"/>
                      <w:szCs w:val="21"/>
                      <w:u w:val="single"/>
                      <w:lang w:val="en-US" w:eastAsia="zh-CN"/>
                    </w:rPr>
                    <w:t>1</w:t>
                  </w:r>
                  <w:r>
                    <w:rPr>
                      <w:rFonts w:hint="eastAsia" w:hAnsi="宋体"/>
                      <w:color w:val="auto"/>
                      <w:kern w:val="2"/>
                      <w:sz w:val="21"/>
                      <w:szCs w:val="21"/>
                      <w:u w:val="single"/>
                    </w:rPr>
                    <w:t>）能源：禁燃区内禁止销售、燃用高污染燃料，禁止新（扩）建燃用高污染燃料的锅炉、炉窑、炉灶等设施（集中供热、电厂锅炉除外）。实施热电联产，集中供热，以天然气供热为补充，逐步淘汰现有燃煤锅炉，严禁新建燃煤锅炉。2020年综合能源消费量预测为18.88万吨标煤（当量值），单位GDP能耗预测值为0.446标煤/万元。2025年综合能源消费量预测为22.41万吨标煤（当量值），单位GDP能耗预测值为0.379标煤/万元。区域“十四五”期间综合能源消费增量为2.80万吨标煤（当量值），单位GDP能耗下降15%。煤炭消费总量为27.46万吨，增量控制在13.95万吨。（</w:t>
                  </w:r>
                  <w:r>
                    <w:rPr>
                      <w:rFonts w:hint="eastAsia" w:hAnsi="宋体"/>
                      <w:color w:val="auto"/>
                      <w:kern w:val="2"/>
                      <w:sz w:val="21"/>
                      <w:szCs w:val="21"/>
                      <w:u w:val="single"/>
                      <w:lang w:val="en-US" w:eastAsia="zh-CN"/>
                    </w:rPr>
                    <w:t>2</w:t>
                  </w:r>
                  <w:r>
                    <w:rPr>
                      <w:rFonts w:hint="eastAsia" w:hAnsi="宋体"/>
                      <w:color w:val="auto"/>
                      <w:kern w:val="2"/>
                      <w:sz w:val="21"/>
                      <w:szCs w:val="21"/>
                      <w:u w:val="single"/>
                    </w:rPr>
                    <w:t>）水资源：严格按照用水定额核定取用水量，进一步加强计划用水管理，强化行业和产品用水强度控制。到2020年津市市水资源开发利用控制红线达到1.49亿立方米，万元国内生产总值用水量、万元工业增加值用水量分别比2015年降低30%和26.7%。至2030年，万元工业增加值用水量控制指标达到50m</w:t>
                  </w:r>
                  <w:r>
                    <w:rPr>
                      <w:rFonts w:hint="eastAsia" w:hAnsi="宋体"/>
                      <w:color w:val="auto"/>
                      <w:kern w:val="2"/>
                      <w:sz w:val="21"/>
                      <w:szCs w:val="21"/>
                      <w:u w:val="single"/>
                      <w:vertAlign w:val="superscript"/>
                    </w:rPr>
                    <w:t>3</w:t>
                  </w:r>
                  <w:r>
                    <w:rPr>
                      <w:rFonts w:hint="eastAsia" w:hAnsi="宋体"/>
                      <w:color w:val="auto"/>
                      <w:kern w:val="2"/>
                      <w:sz w:val="21"/>
                      <w:szCs w:val="21"/>
                      <w:u w:val="single"/>
                    </w:rPr>
                    <w:t>/万元以下。对水资源消耗量大、水循环利用率低的企业做出限制，园区远期新水用量控制在4.75万m</w:t>
                  </w:r>
                  <w:r>
                    <w:rPr>
                      <w:rFonts w:hint="eastAsia" w:hAnsi="宋体"/>
                      <w:color w:val="auto"/>
                      <w:kern w:val="2"/>
                      <w:sz w:val="21"/>
                      <w:szCs w:val="21"/>
                      <w:u w:val="single"/>
                      <w:vertAlign w:val="superscript"/>
                    </w:rPr>
                    <w:t>3</w:t>
                  </w:r>
                  <w:r>
                    <w:rPr>
                      <w:rFonts w:hint="eastAsia" w:hAnsi="宋体"/>
                      <w:color w:val="auto"/>
                      <w:kern w:val="2"/>
                      <w:sz w:val="21"/>
                      <w:szCs w:val="21"/>
                      <w:u w:val="single"/>
                    </w:rPr>
                    <w:t>/d。（</w:t>
                  </w:r>
                  <w:r>
                    <w:rPr>
                      <w:rFonts w:hint="eastAsia" w:hAnsi="宋体"/>
                      <w:color w:val="auto"/>
                      <w:kern w:val="2"/>
                      <w:sz w:val="21"/>
                      <w:szCs w:val="21"/>
                      <w:u w:val="single"/>
                      <w:lang w:val="en-US" w:eastAsia="zh-CN"/>
                    </w:rPr>
                    <w:t>3</w:t>
                  </w:r>
                  <w:r>
                    <w:rPr>
                      <w:rFonts w:hint="eastAsia" w:hAnsi="宋体"/>
                      <w:color w:val="auto"/>
                      <w:kern w:val="2"/>
                      <w:sz w:val="21"/>
                      <w:szCs w:val="21"/>
                      <w:u w:val="single"/>
                    </w:rPr>
                    <w:t>）土地资源：推进开发园区土地节约集约利用评价，控制开发园区新增用地规模。以国家产业发展政策为导向，科学合理安排各行各业用地。优先保障区域主导产业发展用地。入园项目投资强度原则上不低于120万元/亩</w:t>
                  </w:r>
                  <w:r>
                    <w:rPr>
                      <w:rFonts w:hint="eastAsia" w:hAnsi="宋体"/>
                      <w:color w:val="auto"/>
                      <w:kern w:val="2"/>
                      <w:sz w:val="21"/>
                      <w:szCs w:val="21"/>
                      <w:u w:val="single"/>
                      <w:lang w:val="en-US" w:eastAsia="zh-CN"/>
                    </w:rPr>
                    <w:t>.</w:t>
                  </w:r>
                </w:p>
              </w:tc>
              <w:tc>
                <w:tcPr>
                  <w:tcW w:w="1262" w:type="dxa"/>
                  <w:tcBorders>
                    <w:bottom w:val="single" w:color="auto" w:sz="4" w:space="0"/>
                  </w:tcBorders>
                  <w:vAlign w:val="center"/>
                </w:tcPr>
                <w:p>
                  <w:pPr>
                    <w:pStyle w:val="27"/>
                    <w:spacing w:line="300" w:lineRule="exact"/>
                    <w:jc w:val="both"/>
                    <w:rPr>
                      <w:rFonts w:hint="default" w:hAnsi="宋体" w:eastAsiaTheme="minorEastAsia"/>
                      <w:color w:val="auto"/>
                      <w:kern w:val="2"/>
                      <w:sz w:val="21"/>
                      <w:szCs w:val="21"/>
                      <w:u w:val="single"/>
                      <w:lang w:val="en-US" w:eastAsia="zh-CN"/>
                    </w:rPr>
                  </w:pPr>
                  <w:r>
                    <w:rPr>
                      <w:rFonts w:hint="eastAsia" w:hAnsi="宋体"/>
                      <w:color w:val="auto"/>
                      <w:kern w:val="2"/>
                      <w:sz w:val="21"/>
                      <w:szCs w:val="21"/>
                      <w:u w:val="single"/>
                    </w:rPr>
                    <w:t>项目属于C2924泡沫塑料制造</w:t>
                  </w:r>
                  <w:r>
                    <w:rPr>
                      <w:rFonts w:hint="eastAsia" w:hAnsi="宋体"/>
                      <w:color w:val="auto"/>
                      <w:kern w:val="2"/>
                      <w:sz w:val="21"/>
                      <w:szCs w:val="21"/>
                      <w:u w:val="single"/>
                      <w:lang w:eastAsia="zh-CN"/>
                    </w:rPr>
                    <w:t>，</w:t>
                  </w:r>
                  <w:r>
                    <w:rPr>
                      <w:rFonts w:hint="eastAsia" w:hAnsi="宋体"/>
                      <w:color w:val="auto"/>
                      <w:kern w:val="2"/>
                      <w:sz w:val="21"/>
                      <w:szCs w:val="21"/>
                      <w:u w:val="single"/>
                      <w:lang w:val="en-US" w:eastAsia="zh-CN"/>
                    </w:rPr>
                    <w:t>不属于高能耗项目</w:t>
                  </w:r>
                </w:p>
              </w:tc>
              <w:tc>
                <w:tcPr>
                  <w:tcW w:w="780" w:type="dxa"/>
                  <w:tcBorders>
                    <w:bottom w:val="single" w:color="auto" w:sz="4" w:space="0"/>
                  </w:tcBorders>
                  <w:vAlign w:val="center"/>
                </w:tcPr>
                <w:p>
                  <w:pPr>
                    <w:pStyle w:val="27"/>
                    <w:spacing w:line="300" w:lineRule="exact"/>
                    <w:rPr>
                      <w:rFonts w:hint="eastAsia" w:hAnsi="宋体" w:eastAsiaTheme="minorEastAsia"/>
                      <w:color w:val="auto"/>
                      <w:kern w:val="2"/>
                      <w:sz w:val="21"/>
                      <w:szCs w:val="21"/>
                      <w:u w:val="single"/>
                      <w:lang w:val="en-US" w:eastAsia="zh-CN"/>
                    </w:rPr>
                  </w:pPr>
                  <w:r>
                    <w:rPr>
                      <w:rFonts w:hint="eastAsia" w:hAnsi="宋体"/>
                      <w:color w:val="auto"/>
                      <w:kern w:val="2"/>
                      <w:sz w:val="21"/>
                      <w:szCs w:val="21"/>
                      <w:u w:val="single"/>
                      <w:lang w:val="en-US" w:eastAsia="zh-CN"/>
                    </w:rPr>
                    <w:t>符合</w:t>
                  </w:r>
                </w:p>
              </w:tc>
            </w:tr>
          </w:tbl>
          <w:p>
            <w:pPr>
              <w:tabs>
                <w:tab w:val="left" w:pos="7304"/>
                <w:tab w:val="left" w:pos="7656"/>
                <w:tab w:val="left" w:pos="8272"/>
                <w:tab w:val="left" w:pos="8536"/>
              </w:tabs>
              <w:spacing w:line="360" w:lineRule="auto"/>
              <w:ind w:firstLine="555"/>
              <w:rPr>
                <w:rFonts w:hAnsi="宋体"/>
                <w:bCs/>
                <w:sz w:val="24"/>
              </w:rPr>
            </w:pPr>
            <w:r>
              <w:rPr>
                <w:rFonts w:hint="eastAsia" w:hAnsi="宋体"/>
                <w:bCs/>
                <w:sz w:val="24"/>
                <w:lang w:val="en-US" w:eastAsia="zh-CN"/>
              </w:rPr>
              <w:t>2</w:t>
            </w:r>
            <w:r>
              <w:rPr>
                <w:rFonts w:hint="eastAsia" w:hAnsi="宋体"/>
                <w:bCs/>
                <w:sz w:val="24"/>
              </w:rPr>
              <w:t>、与产业政策符合性分析</w:t>
            </w:r>
          </w:p>
          <w:p>
            <w:pPr>
              <w:tabs>
                <w:tab w:val="left" w:pos="7304"/>
                <w:tab w:val="left" w:pos="7656"/>
                <w:tab w:val="left" w:pos="8272"/>
                <w:tab w:val="left" w:pos="8536"/>
              </w:tabs>
              <w:spacing w:line="360" w:lineRule="auto"/>
              <w:ind w:firstLine="555"/>
              <w:rPr>
                <w:rFonts w:hAnsi="宋体"/>
                <w:bCs/>
                <w:sz w:val="24"/>
              </w:rPr>
            </w:pPr>
            <w:r>
              <w:rPr>
                <w:rFonts w:hint="eastAsia" w:hAnsi="宋体"/>
                <w:bCs/>
                <w:sz w:val="24"/>
              </w:rPr>
              <w:t>经查《产业结构调整指导目录（2019年本）》，建设项目产品、所用设备及工艺均不属于《产业结构调整指导目录》（2019年本）中的限制及淘汰类，为允许类，符合该文件的要求。</w:t>
            </w:r>
          </w:p>
          <w:p>
            <w:pPr>
              <w:numPr>
                <w:ilvl w:val="0"/>
                <w:numId w:val="0"/>
              </w:numPr>
              <w:tabs>
                <w:tab w:val="left" w:pos="7304"/>
                <w:tab w:val="left" w:pos="7656"/>
                <w:tab w:val="left" w:pos="8272"/>
                <w:tab w:val="left" w:pos="8536"/>
              </w:tabs>
              <w:spacing w:line="360" w:lineRule="auto"/>
              <w:ind w:left="420" w:leftChars="0"/>
              <w:rPr>
                <w:rFonts w:hint="eastAsia" w:hAnsi="宋体" w:eastAsiaTheme="minorEastAsia"/>
                <w:bCs/>
                <w:sz w:val="24"/>
                <w:lang w:eastAsia="zh-CN"/>
              </w:rPr>
            </w:pPr>
            <w:r>
              <w:rPr>
                <w:rFonts w:hint="eastAsia" w:hAnsi="宋体"/>
                <w:bCs/>
                <w:sz w:val="24"/>
                <w:u w:val="single"/>
                <w:lang w:val="en-US" w:eastAsia="zh-CN"/>
              </w:rPr>
              <w:t>3、</w:t>
            </w:r>
            <w:r>
              <w:rPr>
                <w:rFonts w:hint="eastAsia" w:hAnsi="宋体"/>
                <w:bCs/>
                <w:sz w:val="24"/>
                <w:u w:val="single"/>
              </w:rPr>
              <w:t>与《“十三五”挥发性有机物污染防治工作方案》的相符性分析</w:t>
            </w:r>
          </w:p>
          <w:p>
            <w:pPr>
              <w:tabs>
                <w:tab w:val="left" w:pos="7304"/>
                <w:tab w:val="left" w:pos="7656"/>
                <w:tab w:val="left" w:pos="8272"/>
                <w:tab w:val="left" w:pos="8536"/>
              </w:tabs>
              <w:spacing w:line="360" w:lineRule="auto"/>
              <w:ind w:firstLine="480" w:firstLineChars="200"/>
              <w:rPr>
                <w:rFonts w:hAnsi="宋体"/>
                <w:bCs/>
                <w:sz w:val="24"/>
              </w:rPr>
            </w:pPr>
            <w:r>
              <w:rPr>
                <w:rFonts w:hint="eastAsia" w:hAnsi="宋体"/>
                <w:bCs/>
                <w:sz w:val="24"/>
              </w:rPr>
              <w:t>根据“四、主要任务、（一）加大产业结构调整力度”中第2条“严格建设项目环境准入。提高VOCs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p>
            <w:pPr>
              <w:tabs>
                <w:tab w:val="left" w:pos="7304"/>
                <w:tab w:val="left" w:pos="7656"/>
                <w:tab w:val="left" w:pos="8272"/>
                <w:tab w:val="left" w:pos="8536"/>
              </w:tabs>
              <w:spacing w:line="360" w:lineRule="auto"/>
              <w:ind w:firstLine="480" w:firstLineChars="200"/>
              <w:rPr>
                <w:rFonts w:hAnsi="宋体"/>
                <w:bCs/>
                <w:sz w:val="24"/>
              </w:rPr>
            </w:pPr>
            <w:r>
              <w:rPr>
                <w:rFonts w:hint="eastAsia" w:hAnsi="宋体"/>
                <w:bCs/>
                <w:sz w:val="24"/>
              </w:rPr>
              <w:t>本项目原料为PS塑料粒子。聚苯乙烯（PS）是指由苯乙烯单体经自由基加聚反应合成的聚合物。根据物料的理化性质分析，物质在聚合反应条件下绝大多数经反应生成聚合物，而聚合物在一定温度条件下才可分解。本项目挤出加热温度为220℃，低于塑料粒子的热分解温度，在此温度下只有极少量的有机废气产生，因此本项目的建设符合该文要求。</w:t>
            </w:r>
          </w:p>
          <w:p>
            <w:pPr>
              <w:tabs>
                <w:tab w:val="left" w:pos="7304"/>
                <w:tab w:val="left" w:pos="7656"/>
                <w:tab w:val="left" w:pos="8272"/>
                <w:tab w:val="left" w:pos="8536"/>
              </w:tabs>
              <w:spacing w:line="360" w:lineRule="auto"/>
              <w:ind w:firstLine="480" w:firstLineChars="200"/>
              <w:rPr>
                <w:rFonts w:hAnsi="宋体"/>
                <w:bCs/>
                <w:sz w:val="24"/>
              </w:rPr>
            </w:pPr>
            <w:r>
              <w:rPr>
                <w:rFonts w:hint="eastAsia" w:hAnsi="宋体"/>
                <w:bCs/>
                <w:sz w:val="24"/>
                <w:lang w:val="en-US" w:eastAsia="zh-CN"/>
              </w:rPr>
              <w:t>4、</w:t>
            </w:r>
            <w:r>
              <w:rPr>
                <w:rFonts w:hint="eastAsia" w:hAnsi="宋体"/>
                <w:bCs/>
                <w:sz w:val="24"/>
              </w:rPr>
              <w:t>与《2020年挥发性有机物治理攻坚方案》相符性分析</w:t>
            </w:r>
          </w:p>
          <w:p>
            <w:pPr>
              <w:tabs>
                <w:tab w:val="left" w:pos="7304"/>
                <w:tab w:val="left" w:pos="7656"/>
                <w:tab w:val="left" w:pos="8272"/>
                <w:tab w:val="left" w:pos="8536"/>
              </w:tabs>
              <w:spacing w:line="360" w:lineRule="auto"/>
              <w:ind w:firstLine="480" w:firstLineChars="200"/>
              <w:rPr>
                <w:rFonts w:hAnsi="宋体"/>
                <w:bCs/>
                <w:sz w:val="24"/>
              </w:rPr>
            </w:pPr>
            <w:r>
              <w:rPr>
                <w:rFonts w:hint="eastAsia" w:hAnsi="宋体"/>
                <w:bCs/>
                <w:sz w:val="24"/>
              </w:rPr>
              <w:t>根据《2020年挥发性有机物治理攻坚方案》内容：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p>
            <w:pPr>
              <w:tabs>
                <w:tab w:val="left" w:pos="7304"/>
                <w:tab w:val="left" w:pos="7656"/>
                <w:tab w:val="left" w:pos="8272"/>
                <w:tab w:val="left" w:pos="8536"/>
              </w:tabs>
              <w:spacing w:line="360" w:lineRule="auto"/>
              <w:ind w:firstLine="480" w:firstLineChars="200"/>
              <w:rPr>
                <w:rFonts w:hAnsi="宋体"/>
                <w:bCs/>
                <w:sz w:val="24"/>
              </w:rPr>
            </w:pPr>
            <w:r>
              <w:rPr>
                <w:rFonts w:hint="eastAsia" w:hAnsi="宋体"/>
                <w:bCs/>
                <w:sz w:val="24"/>
                <w:u w:val="single"/>
              </w:rPr>
              <w:t>本项目挤出工序产生的有机废气均采用集气罩收集，集气罩风速符合相关工程要求；产生的有机废气处理采用“UV光氧催化+活性炭吸附”处理后高空排放，废活性炭统一收集后委托有资质单位处置，符合《2020年挥发性有机物治理攻坚方案》的要求，因此，本次项目的建设符合该文要求</w:t>
            </w:r>
            <w:r>
              <w:rPr>
                <w:rFonts w:hint="eastAsia" w:hAnsi="宋体"/>
                <w:bCs/>
                <w:sz w:val="24"/>
              </w:rPr>
              <w:t>。</w:t>
            </w:r>
          </w:p>
          <w:p>
            <w:pPr>
              <w:numPr>
                <w:ilvl w:val="0"/>
                <w:numId w:val="3"/>
              </w:numPr>
              <w:tabs>
                <w:tab w:val="left" w:pos="7304"/>
                <w:tab w:val="left" w:pos="7656"/>
                <w:tab w:val="left" w:pos="8272"/>
                <w:tab w:val="left" w:pos="8536"/>
              </w:tabs>
              <w:spacing w:line="360" w:lineRule="auto"/>
              <w:ind w:firstLine="480" w:firstLineChars="200"/>
              <w:rPr>
                <w:rFonts w:hint="eastAsia" w:hAnsi="宋体"/>
                <w:bCs/>
                <w:sz w:val="24"/>
                <w:u w:val="single"/>
              </w:rPr>
            </w:pPr>
            <w:r>
              <w:rPr>
                <w:rFonts w:hint="eastAsia" w:hAnsi="宋体"/>
                <w:bCs/>
                <w:sz w:val="24"/>
                <w:u w:val="single"/>
              </w:rPr>
              <w:t>与《湖南省VOCs污染防治三年实施方案》符合性分析</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51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numPr>
                      <w:ilvl w:val="0"/>
                      <w:numId w:val="0"/>
                    </w:numPr>
                    <w:tabs>
                      <w:tab w:val="left" w:pos="7304"/>
                      <w:tab w:val="left" w:pos="7656"/>
                      <w:tab w:val="left" w:pos="8272"/>
                      <w:tab w:val="left" w:pos="8536"/>
                    </w:tabs>
                    <w:spacing w:line="360" w:lineRule="auto"/>
                    <w:jc w:val="center"/>
                    <w:rPr>
                      <w:rFonts w:hint="eastAsia" w:hAnsi="宋体" w:asciiTheme="minorHAnsi" w:eastAsiaTheme="minorEastAsia" w:cstheme="minorBidi"/>
                      <w:b/>
                      <w:bCs/>
                      <w:color w:val="auto"/>
                      <w:kern w:val="2"/>
                      <w:sz w:val="21"/>
                      <w:szCs w:val="21"/>
                      <w:u w:val="none"/>
                      <w:lang w:val="en-US" w:eastAsia="zh-CN" w:bidi="ar-SA"/>
                    </w:rPr>
                  </w:pPr>
                  <w:r>
                    <w:rPr>
                      <w:rFonts w:hint="eastAsia" w:hAnsi="宋体" w:asciiTheme="minorHAnsi" w:eastAsiaTheme="minorEastAsia" w:cstheme="minorBidi"/>
                      <w:b/>
                      <w:bCs/>
                      <w:color w:val="auto"/>
                      <w:kern w:val="2"/>
                      <w:sz w:val="21"/>
                      <w:szCs w:val="21"/>
                      <w:u w:val="none"/>
                      <w:lang w:val="en-US" w:eastAsia="zh-CN" w:bidi="ar-SA"/>
                    </w:rPr>
                    <w:t>湖南省VOCs污染防治三年实施方案</w:t>
                  </w:r>
                </w:p>
              </w:tc>
              <w:tc>
                <w:tcPr>
                  <w:tcW w:w="2775" w:type="dxa"/>
                  <w:vAlign w:val="center"/>
                </w:tcPr>
                <w:p>
                  <w:pPr>
                    <w:numPr>
                      <w:ilvl w:val="0"/>
                      <w:numId w:val="0"/>
                    </w:numPr>
                    <w:tabs>
                      <w:tab w:val="left" w:pos="7304"/>
                      <w:tab w:val="left" w:pos="7656"/>
                      <w:tab w:val="left" w:pos="8272"/>
                      <w:tab w:val="left" w:pos="8536"/>
                    </w:tabs>
                    <w:spacing w:line="360" w:lineRule="auto"/>
                    <w:jc w:val="center"/>
                    <w:rPr>
                      <w:rFonts w:hint="default" w:hAnsi="宋体" w:asciiTheme="minorHAnsi" w:eastAsiaTheme="minorEastAsia" w:cstheme="minorBidi"/>
                      <w:b/>
                      <w:bCs/>
                      <w:color w:val="auto"/>
                      <w:kern w:val="2"/>
                      <w:sz w:val="21"/>
                      <w:szCs w:val="21"/>
                      <w:u w:val="none"/>
                      <w:lang w:val="en-US" w:eastAsia="zh-CN" w:bidi="ar-SA"/>
                    </w:rPr>
                  </w:pPr>
                  <w:r>
                    <w:rPr>
                      <w:rFonts w:hint="eastAsia" w:hAnsi="宋体" w:asciiTheme="minorHAnsi" w:eastAsiaTheme="minorEastAsia" w:cstheme="minorBidi"/>
                      <w:b/>
                      <w:bCs/>
                      <w:color w:val="auto"/>
                      <w:kern w:val="2"/>
                      <w:sz w:val="21"/>
                      <w:szCs w:val="21"/>
                      <w:u w:val="none"/>
                      <w:lang w:val="en-US" w:eastAsia="zh-CN" w:bidi="ar-SA"/>
                    </w:rPr>
                    <w:t>本项目</w:t>
                  </w:r>
                </w:p>
              </w:tc>
              <w:tc>
                <w:tcPr>
                  <w:tcW w:w="895" w:type="dxa"/>
                  <w:vAlign w:val="center"/>
                </w:tcPr>
                <w:p>
                  <w:pPr>
                    <w:numPr>
                      <w:ilvl w:val="0"/>
                      <w:numId w:val="0"/>
                    </w:numPr>
                    <w:tabs>
                      <w:tab w:val="left" w:pos="7304"/>
                      <w:tab w:val="left" w:pos="7656"/>
                      <w:tab w:val="left" w:pos="8272"/>
                      <w:tab w:val="left" w:pos="8536"/>
                    </w:tabs>
                    <w:spacing w:line="360" w:lineRule="auto"/>
                    <w:jc w:val="center"/>
                    <w:rPr>
                      <w:rFonts w:hint="default" w:hAnsi="宋体" w:asciiTheme="minorHAnsi" w:eastAsiaTheme="minorEastAsia" w:cstheme="minorBidi"/>
                      <w:b/>
                      <w:bCs/>
                      <w:color w:val="auto"/>
                      <w:kern w:val="2"/>
                      <w:sz w:val="21"/>
                      <w:szCs w:val="21"/>
                      <w:u w:val="none"/>
                      <w:lang w:val="en-US" w:eastAsia="zh-CN" w:bidi="ar-SA"/>
                    </w:rPr>
                  </w:pPr>
                  <w:r>
                    <w:rPr>
                      <w:rFonts w:hint="eastAsia" w:hAnsi="宋体" w:asciiTheme="minorHAnsi" w:eastAsiaTheme="minorEastAsia" w:cstheme="minorBidi"/>
                      <w:b/>
                      <w:bCs/>
                      <w:color w:val="auto"/>
                      <w:kern w:val="2"/>
                      <w:sz w:val="21"/>
                      <w:szCs w:val="21"/>
                      <w:u w:val="no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3981" w:type="dxa"/>
                  <w:vAlign w:val="center"/>
                </w:tcPr>
                <w:p>
                  <w:pPr>
                    <w:numPr>
                      <w:ilvl w:val="0"/>
                      <w:numId w:val="0"/>
                    </w:numPr>
                    <w:tabs>
                      <w:tab w:val="left" w:pos="7304"/>
                      <w:tab w:val="left" w:pos="7656"/>
                      <w:tab w:val="left" w:pos="8272"/>
                      <w:tab w:val="left" w:pos="8536"/>
                    </w:tabs>
                    <w:spacing w:line="240" w:lineRule="auto"/>
                    <w:ind w:firstLine="420" w:firstLineChars="200"/>
                    <w:jc w:val="both"/>
                    <w:rPr>
                      <w:rFonts w:hint="eastAsia" w:hAnsi="宋体" w:asciiTheme="minorHAnsi" w:eastAsiaTheme="minorEastAsia" w:cstheme="minorBidi"/>
                      <w:color w:val="auto"/>
                      <w:kern w:val="2"/>
                      <w:sz w:val="21"/>
                      <w:szCs w:val="21"/>
                      <w:u w:val="single"/>
                      <w:lang w:val="en-US" w:eastAsia="zh-CN" w:bidi="ar-SA"/>
                    </w:rPr>
                  </w:pPr>
                  <w:r>
                    <w:rPr>
                      <w:rFonts w:hint="eastAsia" w:hAnsi="宋体" w:asciiTheme="minorHAnsi" w:eastAsiaTheme="minorEastAsia" w:cstheme="minorBidi"/>
                      <w:color w:val="auto"/>
                      <w:kern w:val="2"/>
                      <w:sz w:val="21"/>
                      <w:szCs w:val="21"/>
                      <w:u w:val="single"/>
                      <w:lang w:val="en-US" w:eastAsia="zh-CN" w:bidi="ar-SA"/>
                    </w:rPr>
                    <w:t>严格建设项目环境准入，提高VOCs排放重点行业环保准入门槛，严格控制新増污染物排放量。要严格限制石化、化工包装印刷、工业涂装、家具制造、制药等高VOCs排放建设项目</w:t>
                  </w:r>
                  <w:r>
                    <w:rPr>
                      <w:rFonts w:hint="eastAsia" w:hAnsi="宋体" w:cstheme="minorBidi"/>
                      <w:color w:val="auto"/>
                      <w:kern w:val="2"/>
                      <w:sz w:val="21"/>
                      <w:szCs w:val="21"/>
                      <w:u w:val="single"/>
                      <w:lang w:val="en-US" w:eastAsia="zh-CN" w:bidi="ar-SA"/>
                    </w:rPr>
                    <w:t>，新建涉</w:t>
                  </w:r>
                  <w:r>
                    <w:rPr>
                      <w:rFonts w:hint="eastAsia" w:hAnsi="宋体" w:asciiTheme="minorHAnsi" w:eastAsiaTheme="minorEastAsia" w:cstheme="minorBidi"/>
                      <w:color w:val="auto"/>
                      <w:kern w:val="2"/>
                      <w:sz w:val="21"/>
                      <w:szCs w:val="21"/>
                      <w:u w:val="single"/>
                      <w:lang w:val="en-US" w:eastAsia="zh-CN" w:bidi="ar-SA"/>
                    </w:rPr>
                    <w:t>VOCs</w:t>
                  </w:r>
                  <w:r>
                    <w:rPr>
                      <w:rFonts w:hint="eastAsia" w:hAnsi="宋体" w:cstheme="minorBidi"/>
                      <w:color w:val="auto"/>
                      <w:kern w:val="2"/>
                      <w:sz w:val="21"/>
                      <w:szCs w:val="21"/>
                      <w:u w:val="single"/>
                      <w:lang w:val="en-US" w:eastAsia="zh-CN" w:bidi="ar-SA"/>
                    </w:rPr>
                    <w:t>排放的工业企业要入园区。</w:t>
                  </w:r>
                </w:p>
              </w:tc>
              <w:tc>
                <w:tcPr>
                  <w:tcW w:w="2775" w:type="dxa"/>
                  <w:vAlign w:val="center"/>
                </w:tcPr>
                <w:p>
                  <w:pPr>
                    <w:numPr>
                      <w:ilvl w:val="0"/>
                      <w:numId w:val="0"/>
                    </w:numPr>
                    <w:tabs>
                      <w:tab w:val="left" w:pos="7304"/>
                      <w:tab w:val="left" w:pos="7656"/>
                      <w:tab w:val="left" w:pos="8272"/>
                      <w:tab w:val="left" w:pos="8536"/>
                    </w:tabs>
                    <w:spacing w:line="24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本项目属于泡沫塑料制造，不属于严格控制项目，本项目属于津市工业园建设项目</w:t>
                  </w:r>
                </w:p>
              </w:tc>
              <w:tc>
                <w:tcPr>
                  <w:tcW w:w="895" w:type="dxa"/>
                  <w:vAlign w:val="center"/>
                </w:tcPr>
                <w:p>
                  <w:pPr>
                    <w:numPr>
                      <w:ilvl w:val="0"/>
                      <w:numId w:val="0"/>
                    </w:numPr>
                    <w:tabs>
                      <w:tab w:val="left" w:pos="7304"/>
                      <w:tab w:val="left" w:pos="7656"/>
                      <w:tab w:val="left" w:pos="8272"/>
                      <w:tab w:val="left" w:pos="8536"/>
                    </w:tabs>
                    <w:spacing w:line="36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numPr>
                      <w:ilvl w:val="0"/>
                      <w:numId w:val="0"/>
                    </w:numPr>
                    <w:tabs>
                      <w:tab w:val="left" w:pos="7304"/>
                      <w:tab w:val="left" w:pos="7656"/>
                      <w:tab w:val="left" w:pos="8272"/>
                      <w:tab w:val="left" w:pos="8536"/>
                    </w:tabs>
                    <w:spacing w:line="240" w:lineRule="auto"/>
                    <w:ind w:firstLine="420" w:firstLineChars="200"/>
                    <w:jc w:val="center"/>
                    <w:rPr>
                      <w:rFonts w:hint="eastAsia" w:hAnsi="宋体" w:asciiTheme="minorHAnsi" w:eastAsiaTheme="minorEastAsia" w:cstheme="minorBidi"/>
                      <w:color w:val="auto"/>
                      <w:kern w:val="2"/>
                      <w:sz w:val="21"/>
                      <w:szCs w:val="21"/>
                      <w:u w:val="single"/>
                      <w:lang w:val="en-US" w:eastAsia="zh-CN" w:bidi="ar-SA"/>
                    </w:rPr>
                  </w:pPr>
                  <w:r>
                    <w:rPr>
                      <w:rFonts w:hint="eastAsia" w:hAnsi="宋体" w:asciiTheme="minorHAnsi" w:eastAsiaTheme="minorEastAsia" w:cstheme="minorBidi"/>
                      <w:color w:val="auto"/>
                      <w:kern w:val="2"/>
                      <w:sz w:val="21"/>
                      <w:szCs w:val="21"/>
                      <w:u w:val="single"/>
                      <w:lang w:val="en-US" w:eastAsia="zh-CN" w:bidi="ar-SA"/>
                    </w:rPr>
                    <w:t>新改、扩建涉VOCs排放项目，应从源头加强控制，使用低（无）VOCs含量的原辅材料</w:t>
                  </w:r>
                  <w:r>
                    <w:rPr>
                      <w:rFonts w:hint="eastAsia" w:hAnsi="宋体" w:cstheme="minorBidi"/>
                      <w:color w:val="auto"/>
                      <w:kern w:val="2"/>
                      <w:sz w:val="21"/>
                      <w:szCs w:val="21"/>
                      <w:u w:val="single"/>
                      <w:lang w:val="en-US" w:eastAsia="zh-CN" w:bidi="ar-SA"/>
                    </w:rPr>
                    <w:t>，加强废气收集，安装高效治理设施。</w:t>
                  </w:r>
                </w:p>
              </w:tc>
              <w:tc>
                <w:tcPr>
                  <w:tcW w:w="2775" w:type="dxa"/>
                  <w:vAlign w:val="center"/>
                </w:tcPr>
                <w:p>
                  <w:pPr>
                    <w:numPr>
                      <w:ilvl w:val="0"/>
                      <w:numId w:val="0"/>
                    </w:numPr>
                    <w:tabs>
                      <w:tab w:val="left" w:pos="7304"/>
                      <w:tab w:val="left" w:pos="7656"/>
                      <w:tab w:val="left" w:pos="8272"/>
                      <w:tab w:val="left" w:pos="8536"/>
                    </w:tabs>
                    <w:spacing w:line="24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本项目使用的原材料为PS粒子，</w:t>
                  </w:r>
                  <w:r>
                    <w:rPr>
                      <w:rFonts w:hint="eastAsia" w:hAnsi="宋体" w:asciiTheme="minorHAnsi" w:eastAsiaTheme="minorEastAsia" w:cstheme="minorBidi"/>
                      <w:color w:val="auto"/>
                      <w:kern w:val="2"/>
                      <w:sz w:val="21"/>
                      <w:szCs w:val="21"/>
                      <w:u w:val="single"/>
                      <w:lang w:val="en-US" w:eastAsia="zh-CN" w:bidi="ar-SA"/>
                    </w:rPr>
                    <w:t>项目挤出成型工序在生产车间进行，车间基本密闭，企业在挤出机上方设置吸风罩，挥发性有机物通过风机引入一套“UV光氧催化+活性炭吸附”处理，能有效减少挥发性有机物的排放</w:t>
                  </w:r>
                </w:p>
              </w:tc>
              <w:tc>
                <w:tcPr>
                  <w:tcW w:w="895" w:type="dxa"/>
                  <w:vAlign w:val="center"/>
                </w:tcPr>
                <w:p>
                  <w:pPr>
                    <w:numPr>
                      <w:ilvl w:val="0"/>
                      <w:numId w:val="0"/>
                    </w:numPr>
                    <w:tabs>
                      <w:tab w:val="left" w:pos="7304"/>
                      <w:tab w:val="left" w:pos="7656"/>
                      <w:tab w:val="left" w:pos="8272"/>
                      <w:tab w:val="left" w:pos="8536"/>
                    </w:tabs>
                    <w:spacing w:line="36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numPr>
                      <w:ilvl w:val="0"/>
                      <w:numId w:val="0"/>
                    </w:numPr>
                    <w:tabs>
                      <w:tab w:val="left" w:pos="7304"/>
                      <w:tab w:val="left" w:pos="7656"/>
                      <w:tab w:val="left" w:pos="8272"/>
                      <w:tab w:val="left" w:pos="8536"/>
                    </w:tabs>
                    <w:spacing w:line="240" w:lineRule="auto"/>
                    <w:jc w:val="center"/>
                    <w:rPr>
                      <w:rFonts w:hint="eastAsia" w:hAnsi="宋体" w:asciiTheme="minorHAnsi" w:eastAsiaTheme="minorEastAsia" w:cstheme="minorBidi"/>
                      <w:color w:val="auto"/>
                      <w:kern w:val="2"/>
                      <w:sz w:val="21"/>
                      <w:szCs w:val="21"/>
                      <w:u w:val="single"/>
                      <w:lang w:val="en-US" w:eastAsia="zh-CN" w:bidi="ar-SA"/>
                    </w:rPr>
                  </w:pPr>
                  <w:r>
                    <w:rPr>
                      <w:rFonts w:hint="eastAsia" w:hAnsi="宋体" w:asciiTheme="minorHAnsi" w:eastAsiaTheme="minorEastAsia" w:cstheme="minorBidi"/>
                      <w:color w:val="auto"/>
                      <w:kern w:val="2"/>
                      <w:sz w:val="21"/>
                      <w:szCs w:val="21"/>
                      <w:u w:val="single"/>
                      <w:lang w:val="en-US" w:eastAsia="zh-CN" w:bidi="ar-SA"/>
                    </w:rPr>
                    <w:t>重点控制活性强的VOCs，通过源头削减（VOCs原材料替代）、过程控制（防止“跑、冒、滴、漏”、工艺优化等）及末端治理（新建去除设施）等措施，强化环境管理手段（排污收费、经济激励、环境执法等）减少VOCs排放量。</w:t>
                  </w:r>
                </w:p>
              </w:tc>
              <w:tc>
                <w:tcPr>
                  <w:tcW w:w="2775" w:type="dxa"/>
                  <w:vAlign w:val="center"/>
                </w:tcPr>
                <w:p>
                  <w:pPr>
                    <w:numPr>
                      <w:ilvl w:val="0"/>
                      <w:numId w:val="0"/>
                    </w:numPr>
                    <w:tabs>
                      <w:tab w:val="left" w:pos="7304"/>
                      <w:tab w:val="left" w:pos="7656"/>
                      <w:tab w:val="left" w:pos="8272"/>
                      <w:tab w:val="left" w:pos="8536"/>
                    </w:tabs>
                    <w:spacing w:line="24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asciiTheme="minorHAnsi" w:eastAsiaTheme="minorEastAsia" w:cstheme="minorBidi"/>
                      <w:color w:val="auto"/>
                      <w:kern w:val="2"/>
                      <w:sz w:val="21"/>
                      <w:szCs w:val="21"/>
                      <w:u w:val="single"/>
                      <w:lang w:val="en-US" w:eastAsia="zh-CN" w:bidi="ar-SA"/>
                    </w:rPr>
                    <w:t>本项目</w:t>
                  </w:r>
                  <w:r>
                    <w:rPr>
                      <w:rFonts w:hint="eastAsia" w:hAnsi="宋体" w:cstheme="minorBidi"/>
                      <w:color w:val="auto"/>
                      <w:kern w:val="2"/>
                      <w:sz w:val="21"/>
                      <w:szCs w:val="21"/>
                      <w:u w:val="single"/>
                      <w:lang w:val="en-US" w:eastAsia="zh-CN" w:bidi="ar-SA"/>
                    </w:rPr>
                    <w:t>属于空气达标区，区域内实行了</w:t>
                  </w:r>
                  <w:r>
                    <w:rPr>
                      <w:rFonts w:hint="eastAsia" w:hAnsi="宋体" w:asciiTheme="minorHAnsi" w:eastAsiaTheme="minorEastAsia" w:cstheme="minorBidi"/>
                      <w:color w:val="auto"/>
                      <w:kern w:val="2"/>
                      <w:sz w:val="21"/>
                      <w:szCs w:val="21"/>
                      <w:u w:val="single"/>
                      <w:lang w:val="en-US" w:eastAsia="zh-CN" w:bidi="ar-SA"/>
                    </w:rPr>
                    <w:t>VOCs</w:t>
                  </w:r>
                  <w:r>
                    <w:rPr>
                      <w:rFonts w:hint="eastAsia" w:hAnsi="宋体" w:cstheme="minorBidi"/>
                      <w:color w:val="auto"/>
                      <w:kern w:val="2"/>
                      <w:sz w:val="21"/>
                      <w:szCs w:val="21"/>
                      <w:u w:val="single"/>
                      <w:lang w:val="en-US" w:eastAsia="zh-CN" w:bidi="ar-SA"/>
                    </w:rPr>
                    <w:t>等量替换</w:t>
                  </w:r>
                </w:p>
              </w:tc>
              <w:tc>
                <w:tcPr>
                  <w:tcW w:w="895" w:type="dxa"/>
                  <w:vAlign w:val="center"/>
                </w:tcPr>
                <w:p>
                  <w:pPr>
                    <w:numPr>
                      <w:ilvl w:val="0"/>
                      <w:numId w:val="0"/>
                    </w:numPr>
                    <w:tabs>
                      <w:tab w:val="left" w:pos="7304"/>
                      <w:tab w:val="left" w:pos="7656"/>
                      <w:tab w:val="left" w:pos="8272"/>
                      <w:tab w:val="left" w:pos="8536"/>
                    </w:tabs>
                    <w:spacing w:line="360" w:lineRule="auto"/>
                    <w:jc w:val="center"/>
                    <w:rPr>
                      <w:rFonts w:hint="default" w:hAnsi="宋体" w:asciiTheme="minorHAnsi" w:eastAsiaTheme="minorEastAsia"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numPr>
                      <w:ilvl w:val="0"/>
                      <w:numId w:val="0"/>
                    </w:numPr>
                    <w:tabs>
                      <w:tab w:val="left" w:pos="7304"/>
                      <w:tab w:val="left" w:pos="7656"/>
                      <w:tab w:val="left" w:pos="8272"/>
                      <w:tab w:val="left" w:pos="8536"/>
                    </w:tabs>
                    <w:spacing w:line="240" w:lineRule="auto"/>
                    <w:ind w:firstLine="420" w:firstLineChars="200"/>
                    <w:jc w:val="center"/>
                    <w:rPr>
                      <w:rFonts w:hint="eastAsia" w:hAnsi="宋体" w:asciiTheme="minorHAnsi" w:eastAsiaTheme="minorEastAsia" w:cstheme="minorBidi"/>
                      <w:color w:val="auto"/>
                      <w:kern w:val="2"/>
                      <w:sz w:val="21"/>
                      <w:szCs w:val="21"/>
                      <w:u w:val="single"/>
                      <w:lang w:val="en-US" w:eastAsia="zh-CN" w:bidi="ar-SA"/>
                    </w:rPr>
                  </w:pPr>
                  <w:r>
                    <w:rPr>
                      <w:rFonts w:hint="eastAsia" w:hAnsi="宋体" w:asciiTheme="minorHAnsi" w:eastAsiaTheme="minorEastAsia" w:cstheme="minorBidi"/>
                      <w:color w:val="auto"/>
                      <w:kern w:val="2"/>
                      <w:sz w:val="21"/>
                      <w:szCs w:val="21"/>
                      <w:u w:val="single"/>
                      <w:lang w:val="en-US" w:eastAsia="zh-CN" w:bidi="ar-SA"/>
                    </w:rPr>
                    <w:t>逐步建立VOCs 监测监控体系。加强 VOCs 治理设施的运行监管，风量在5万立方米/小时以上的单个排气口必须安装满足排放标准要求的VOCs 在线检测设备，风量在 5 万立方米/小时以下的单个排气口安装用电监测动态管控系统</w:t>
                  </w:r>
                  <w:r>
                    <w:rPr>
                      <w:rFonts w:hint="eastAsia" w:hAnsi="宋体" w:cstheme="minorBidi"/>
                      <w:color w:val="auto"/>
                      <w:kern w:val="2"/>
                      <w:sz w:val="21"/>
                      <w:szCs w:val="21"/>
                      <w:u w:val="single"/>
                      <w:lang w:val="en-US" w:eastAsia="zh-CN" w:bidi="ar-SA"/>
                    </w:rPr>
                    <w:t>。</w:t>
                  </w:r>
                </w:p>
              </w:tc>
              <w:tc>
                <w:tcPr>
                  <w:tcW w:w="2775" w:type="dxa"/>
                  <w:vAlign w:val="center"/>
                </w:tcPr>
                <w:p>
                  <w:pPr>
                    <w:numPr>
                      <w:ilvl w:val="0"/>
                      <w:numId w:val="0"/>
                    </w:numPr>
                    <w:tabs>
                      <w:tab w:val="left" w:pos="7304"/>
                      <w:tab w:val="left" w:pos="7656"/>
                      <w:tab w:val="left" w:pos="8272"/>
                      <w:tab w:val="left" w:pos="8536"/>
                    </w:tabs>
                    <w:spacing w:line="240" w:lineRule="auto"/>
                    <w:jc w:val="center"/>
                    <w:rPr>
                      <w:rFonts w:hint="eastAsia" w:hAnsi="宋体" w:asciiTheme="minorHAnsi" w:eastAsiaTheme="minorEastAsia" w:cstheme="minorBidi"/>
                      <w:color w:val="auto"/>
                      <w:kern w:val="2"/>
                      <w:sz w:val="21"/>
                      <w:szCs w:val="21"/>
                      <w:u w:val="single"/>
                      <w:lang w:val="en-US" w:eastAsia="zh-CN" w:bidi="ar-SA"/>
                    </w:rPr>
                  </w:pPr>
                  <w:r>
                    <w:rPr>
                      <w:rFonts w:hint="eastAsia" w:hAnsi="宋体"/>
                      <w:bCs/>
                      <w:sz w:val="21"/>
                      <w:szCs w:val="21"/>
                      <w:u w:val="single"/>
                    </w:rPr>
                    <w:t xml:space="preserve">本项目设1个 VOCs 排气筒，排气筒风量为 </w:t>
                  </w:r>
                  <w:r>
                    <w:rPr>
                      <w:rFonts w:hint="eastAsia" w:hAnsi="宋体"/>
                      <w:bCs/>
                      <w:sz w:val="21"/>
                      <w:szCs w:val="21"/>
                      <w:u w:val="single"/>
                      <w:lang w:val="en-US" w:eastAsia="zh-CN"/>
                    </w:rPr>
                    <w:t>12000</w:t>
                  </w:r>
                  <w:r>
                    <w:rPr>
                      <w:rFonts w:hint="eastAsia" w:hAnsi="宋体"/>
                      <w:bCs/>
                      <w:sz w:val="21"/>
                      <w:szCs w:val="21"/>
                      <w:u w:val="single"/>
                    </w:rPr>
                    <w:t>m</w:t>
                  </w:r>
                  <w:r>
                    <w:rPr>
                      <w:rFonts w:hint="eastAsia" w:hAnsi="宋体"/>
                      <w:bCs/>
                      <w:sz w:val="21"/>
                      <w:szCs w:val="21"/>
                      <w:u w:val="single"/>
                      <w:vertAlign w:val="superscript"/>
                    </w:rPr>
                    <w:t>3</w:t>
                  </w:r>
                  <w:r>
                    <w:rPr>
                      <w:rFonts w:hint="eastAsia" w:hAnsi="宋体"/>
                      <w:bCs/>
                      <w:sz w:val="21"/>
                      <w:szCs w:val="21"/>
                      <w:u w:val="single"/>
                    </w:rPr>
                    <w:t>/h，因此，本评价要求建设单位应在单个排气口安装用电监测动态管控系统</w:t>
                  </w:r>
                </w:p>
              </w:tc>
              <w:tc>
                <w:tcPr>
                  <w:tcW w:w="895" w:type="dxa"/>
                  <w:vAlign w:val="center"/>
                </w:tcPr>
                <w:p>
                  <w:pPr>
                    <w:numPr>
                      <w:ilvl w:val="0"/>
                      <w:numId w:val="0"/>
                    </w:numPr>
                    <w:tabs>
                      <w:tab w:val="left" w:pos="7304"/>
                      <w:tab w:val="left" w:pos="7656"/>
                      <w:tab w:val="left" w:pos="8272"/>
                      <w:tab w:val="left" w:pos="8536"/>
                    </w:tabs>
                    <w:spacing w:line="360" w:lineRule="auto"/>
                    <w:jc w:val="center"/>
                    <w:rPr>
                      <w:rFonts w:hint="default" w:hAnsi="宋体" w:cstheme="minorBidi"/>
                      <w:color w:val="auto"/>
                      <w:kern w:val="2"/>
                      <w:sz w:val="21"/>
                      <w:szCs w:val="21"/>
                      <w:u w:val="single"/>
                      <w:lang w:val="en-US" w:eastAsia="zh-CN" w:bidi="ar-SA"/>
                    </w:rPr>
                  </w:pPr>
                  <w:r>
                    <w:rPr>
                      <w:rFonts w:hint="eastAsia" w:hAnsi="宋体" w:cstheme="minorBidi"/>
                      <w:color w:val="auto"/>
                      <w:kern w:val="2"/>
                      <w:sz w:val="21"/>
                      <w:szCs w:val="21"/>
                      <w:u w:val="single"/>
                      <w:lang w:val="en-US" w:eastAsia="zh-CN" w:bidi="ar-SA"/>
                    </w:rPr>
                    <w:t>符合</w:t>
                  </w:r>
                </w:p>
              </w:tc>
            </w:tr>
          </w:tbl>
          <w:p>
            <w:pPr>
              <w:tabs>
                <w:tab w:val="left" w:pos="7304"/>
                <w:tab w:val="left" w:pos="7656"/>
                <w:tab w:val="left" w:pos="8272"/>
                <w:tab w:val="left" w:pos="8536"/>
              </w:tabs>
              <w:spacing w:line="360" w:lineRule="auto"/>
              <w:ind w:firstLine="480" w:firstLineChars="200"/>
              <w:rPr>
                <w:rFonts w:hAnsi="宋体"/>
                <w:bCs/>
                <w:sz w:val="24"/>
                <w:u w:val="single"/>
              </w:rPr>
            </w:pPr>
            <w:r>
              <w:rPr>
                <w:rFonts w:hint="eastAsia" w:hAnsi="宋体"/>
                <w:bCs/>
                <w:sz w:val="24"/>
              </w:rPr>
              <w:t>6、</w:t>
            </w:r>
            <w:r>
              <w:rPr>
                <w:rFonts w:hint="eastAsia" w:hAnsi="宋体"/>
                <w:bCs/>
                <w:sz w:val="24"/>
                <w:u w:val="single"/>
              </w:rPr>
              <w:t>与《挥发性有机物无组织排放控制标准》（GB37822-2019）的相符性分析</w:t>
            </w:r>
          </w:p>
          <w:p>
            <w:pPr>
              <w:tabs>
                <w:tab w:val="left" w:pos="7304"/>
                <w:tab w:val="left" w:pos="7656"/>
                <w:tab w:val="left" w:pos="8272"/>
                <w:tab w:val="left" w:pos="8536"/>
              </w:tabs>
              <w:spacing w:line="360" w:lineRule="auto"/>
              <w:ind w:firstLine="480" w:firstLineChars="200"/>
              <w:rPr>
                <w:rFonts w:hAnsi="宋体"/>
                <w:bCs/>
                <w:sz w:val="24"/>
                <w:u w:val="single"/>
              </w:rPr>
            </w:pPr>
            <w:r>
              <w:rPr>
                <w:rFonts w:hint="eastAsia" w:hAnsi="宋体"/>
                <w:bCs/>
                <w:sz w:val="24"/>
                <w:u w:val="single"/>
              </w:rPr>
              <w:t>根据《挥发性有机物无组织排放控制标准》（GB37822-2019）中7.2.2“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w:t>
            </w:r>
          </w:p>
          <w:p>
            <w:pPr>
              <w:tabs>
                <w:tab w:val="left" w:pos="7304"/>
                <w:tab w:val="left" w:pos="7656"/>
                <w:tab w:val="left" w:pos="8272"/>
                <w:tab w:val="left" w:pos="8536"/>
              </w:tabs>
              <w:spacing w:line="360" w:lineRule="auto"/>
              <w:ind w:firstLine="480" w:firstLineChars="200"/>
              <w:rPr>
                <w:rFonts w:hint="eastAsia" w:hAnsi="宋体"/>
                <w:bCs/>
                <w:sz w:val="24"/>
              </w:rPr>
            </w:pPr>
            <w:r>
              <w:rPr>
                <w:rFonts w:hint="eastAsia" w:hAnsi="宋体"/>
                <w:bCs/>
                <w:sz w:val="24"/>
                <w:u w:val="single"/>
              </w:rPr>
              <w:t>本项目挤出成型工序在生产车间进行，车间基本密闭，企业在挤出机上方设置吸风罩，挥发性有机物通过风机引入一套“UV光氧催化+活性炭吸附”处理，能有效减少挥发性有机物的排放，因此，本项目的建设符合该文要求</w:t>
            </w:r>
            <w:r>
              <w:rPr>
                <w:rFonts w:hint="eastAsia" w:hAnsi="宋体"/>
                <w:bCs/>
                <w:sz w:val="24"/>
              </w:rPr>
              <w:t>。</w:t>
            </w:r>
          </w:p>
          <w:p>
            <w:pPr>
              <w:tabs>
                <w:tab w:val="left" w:pos="7304"/>
                <w:tab w:val="left" w:pos="7656"/>
                <w:tab w:val="left" w:pos="8272"/>
                <w:tab w:val="left" w:pos="8536"/>
              </w:tabs>
              <w:spacing w:line="360" w:lineRule="auto"/>
              <w:ind w:firstLine="480" w:firstLineChars="200"/>
              <w:rPr>
                <w:rFonts w:hAnsi="宋体"/>
                <w:bCs/>
                <w:sz w:val="24"/>
                <w:u w:val="single"/>
              </w:rPr>
            </w:pPr>
            <w:r>
              <w:rPr>
                <w:rFonts w:hint="eastAsia" w:hAnsi="宋体"/>
                <w:bCs/>
                <w:sz w:val="24"/>
                <w:lang w:val="en-US" w:eastAsia="zh-CN"/>
              </w:rPr>
              <w:t>7</w:t>
            </w:r>
            <w:r>
              <w:rPr>
                <w:rFonts w:hint="eastAsia" w:hAnsi="宋体"/>
                <w:bCs/>
                <w:sz w:val="24"/>
              </w:rPr>
              <w:t>、</w:t>
            </w:r>
            <w:r>
              <w:rPr>
                <w:rFonts w:hint="eastAsia" w:hAnsi="宋体"/>
                <w:bCs/>
                <w:sz w:val="24"/>
                <w:u w:val="single"/>
              </w:rPr>
              <w:t>与《挥发性有机物治理排查工作方案》（环大气〔2021〕65号）的相符性分析</w:t>
            </w:r>
          </w:p>
          <w:p>
            <w:pPr>
              <w:tabs>
                <w:tab w:val="left" w:pos="7304"/>
                <w:tab w:val="left" w:pos="7656"/>
                <w:tab w:val="left" w:pos="8272"/>
                <w:tab w:val="left" w:pos="8536"/>
              </w:tabs>
              <w:spacing w:line="360" w:lineRule="auto"/>
              <w:ind w:firstLine="480" w:firstLineChars="200"/>
              <w:rPr>
                <w:rFonts w:hAnsi="宋体"/>
                <w:bCs/>
                <w:sz w:val="24"/>
                <w:u w:val="single"/>
              </w:rPr>
            </w:pPr>
            <w:r>
              <w:rPr>
                <w:rFonts w:hint="eastAsia" w:hAnsi="宋体"/>
                <w:bCs/>
                <w:sz w:val="24"/>
                <w:u w:val="single"/>
              </w:rPr>
              <w:t>根据《挥发性有机物治理排查工作方案》（环大气〔2021〕65号）废气收集设施</w:t>
            </w:r>
            <w:r>
              <w:rPr>
                <w:rFonts w:hint="eastAsia" w:hAnsi="宋体"/>
                <w:bCs/>
                <w:sz w:val="24"/>
                <w:u w:val="single"/>
                <w:lang w:eastAsia="zh-CN"/>
              </w:rPr>
              <w:t>、有机废气治理设施</w:t>
            </w:r>
            <w:r>
              <w:rPr>
                <w:rFonts w:hint="eastAsia" w:hAnsi="宋体"/>
                <w:bCs/>
                <w:sz w:val="24"/>
                <w:u w:val="single"/>
                <w:lang w:val="en-US" w:eastAsia="zh-CN"/>
              </w:rPr>
              <w:t>等要求中，产生VOCs的生产环节优先采用密闭设备、在密闭空间中操作或采用全密闭集气罩收集方式，并保持负压运行；新建治理设施或对现有治理设施实施改造，应依据排放废气特征、VOCs组分及浓度、生产工况等，合理选择治理技术；对治理难度大、单一治理工艺难以稳定达标的，宜采用多种技术的组合工艺</w:t>
            </w:r>
            <w:r>
              <w:rPr>
                <w:rFonts w:hint="eastAsia" w:hAnsi="宋体"/>
                <w:bCs/>
                <w:sz w:val="24"/>
                <w:u w:val="single"/>
              </w:rPr>
              <w:t>。</w:t>
            </w:r>
          </w:p>
          <w:p>
            <w:pPr>
              <w:tabs>
                <w:tab w:val="left" w:pos="7304"/>
                <w:tab w:val="left" w:pos="7656"/>
                <w:tab w:val="left" w:pos="8272"/>
                <w:tab w:val="left" w:pos="8536"/>
              </w:tabs>
              <w:spacing w:line="360" w:lineRule="auto"/>
              <w:ind w:firstLine="480" w:firstLineChars="200"/>
              <w:rPr>
                <w:rFonts w:hint="eastAsia" w:ascii="宋体" w:hAnsi="宋体" w:eastAsia="宋体"/>
                <w:color w:val="000000"/>
                <w:szCs w:val="21"/>
                <w:u w:val="single"/>
                <w:lang w:val="en-US" w:eastAsia="zh-CN"/>
              </w:rPr>
            </w:pPr>
            <w:r>
              <w:rPr>
                <w:rFonts w:hint="eastAsia" w:hAnsi="宋体"/>
                <w:bCs/>
                <w:sz w:val="24"/>
                <w:u w:val="single"/>
              </w:rPr>
              <w:t>本项目挤出成型工序在生产车间进行，车间基本密闭，企业在挤出机上方设置吸风罩，挥发性有机物通过风机引入一套“UV光氧催化+活性炭吸附”处理，并保持负压运行</w:t>
            </w:r>
            <w:r>
              <w:rPr>
                <w:rFonts w:hint="eastAsia" w:hAnsi="宋体"/>
                <w:bCs/>
                <w:sz w:val="24"/>
                <w:u w:val="single"/>
                <w:lang w:eastAsia="zh-CN"/>
              </w:rPr>
              <w:t>；</w:t>
            </w:r>
            <w:r>
              <w:rPr>
                <w:rFonts w:hint="eastAsia" w:hAnsi="宋体"/>
                <w:bCs/>
                <w:sz w:val="24"/>
                <w:u w:val="single"/>
                <w:lang w:val="en-US" w:eastAsia="zh-CN"/>
              </w:rPr>
              <w:t>项目对</w:t>
            </w:r>
            <w:r>
              <w:rPr>
                <w:rFonts w:hint="eastAsia" w:hAnsi="宋体"/>
                <w:bCs/>
                <w:sz w:val="24"/>
                <w:u w:val="single"/>
              </w:rPr>
              <w:t>挥发性有机物通过风机引入一套“UV光氧催化+活性炭吸附”处理</w:t>
            </w:r>
            <w:r>
              <w:rPr>
                <w:rFonts w:hint="eastAsia" w:hAnsi="宋体"/>
                <w:bCs/>
                <w:sz w:val="24"/>
                <w:u w:val="single"/>
                <w:lang w:eastAsia="zh-CN"/>
              </w:rPr>
              <w:t>，</w:t>
            </w:r>
            <w:r>
              <w:rPr>
                <w:rFonts w:hint="eastAsia" w:hAnsi="宋体"/>
                <w:bCs/>
                <w:sz w:val="24"/>
                <w:u w:val="single"/>
                <w:lang w:val="en-US" w:eastAsia="zh-CN"/>
              </w:rPr>
              <w:t>满足上述要求</w:t>
            </w:r>
            <w:r>
              <w:rPr>
                <w:rFonts w:hint="eastAsia" w:hAnsi="宋体"/>
                <w:bCs/>
                <w:sz w:val="24"/>
                <w:u w:val="single"/>
              </w:rPr>
              <w:t>，因此，本项目的建设符合该文要求</w:t>
            </w:r>
            <w:r>
              <w:rPr>
                <w:rFonts w:hint="eastAsia" w:hAnsi="宋体"/>
                <w:bCs/>
                <w:sz w:val="24"/>
                <w:u w:val="single"/>
                <w:lang w:eastAsia="zh-CN"/>
              </w:rPr>
              <w:t>。</w:t>
            </w:r>
          </w:p>
        </w:tc>
      </w:tr>
    </w:tbl>
    <w:p>
      <w:pPr>
        <w:snapToGrid w:val="0"/>
        <w:jc w:val="left"/>
        <w:rPr>
          <w:rFonts w:ascii="微软雅黑" w:hAnsi="微软雅黑" w:eastAsia="微软雅黑"/>
          <w:color w:val="000000"/>
          <w:szCs w:val="21"/>
        </w:rPr>
      </w:pPr>
    </w:p>
    <w:p>
      <w:pPr>
        <w:rPr>
          <w:rFonts w:ascii="黑体" w:hAnsi="黑体" w:eastAsia="黑体"/>
          <w:color w:val="000000"/>
          <w:sz w:val="30"/>
          <w:szCs w:val="30"/>
        </w:rPr>
      </w:pPr>
      <w:r>
        <w:rPr>
          <w:rFonts w:ascii="黑体" w:hAnsi="黑体" w:eastAsia="黑体"/>
          <w:color w:val="000000"/>
          <w:sz w:val="30"/>
          <w:szCs w:val="30"/>
        </w:rPr>
        <w:br w:type="page"/>
      </w:r>
    </w:p>
    <w:p>
      <w:pPr>
        <w:pStyle w:val="15"/>
        <w:spacing w:line="360" w:lineRule="auto"/>
        <w:ind w:firstLine="600" w:firstLineChars="200"/>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rPr>
        <w:t>二、建设项目工程分析</w:t>
      </w:r>
    </w:p>
    <w:tbl>
      <w:tblPr>
        <w:tblStyle w:val="2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19"/>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95" w:hRule="atLeast"/>
        </w:trPr>
        <w:tc>
          <w:tcPr>
            <w:tcW w:w="419"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建设内容</w:t>
            </w:r>
          </w:p>
        </w:tc>
        <w:tc>
          <w:tcPr>
            <w:tcW w:w="8551" w:type="dxa"/>
            <w:tcBorders>
              <w:top w:val="single" w:color="000000" w:sz="8" w:space="0"/>
              <w:left w:val="single" w:color="000000" w:sz="8" w:space="0"/>
              <w:bottom w:val="single" w:color="000000" w:sz="8" w:space="0"/>
              <w:right w:val="single" w:color="000000" w:sz="8" w:space="0"/>
            </w:tcBorders>
          </w:tcPr>
          <w:p>
            <w:pPr>
              <w:spacing w:line="360" w:lineRule="auto"/>
              <w:rPr>
                <w:rFonts w:ascii="Times New Roman" w:hAnsi="Times New Roman"/>
                <w:b/>
                <w:color w:val="auto"/>
                <w:sz w:val="24"/>
                <w:szCs w:val="20"/>
              </w:rPr>
            </w:pPr>
            <w:r>
              <w:rPr>
                <w:rFonts w:ascii="Times New Roman" w:hAnsi="Times New Roman"/>
                <w:b/>
                <w:color w:val="auto"/>
                <w:sz w:val="24"/>
                <w:szCs w:val="20"/>
              </w:rPr>
              <w:t>2.1项目名称、建设性质及地点</w:t>
            </w:r>
          </w:p>
          <w:p>
            <w:pPr>
              <w:spacing w:line="360" w:lineRule="auto"/>
              <w:ind w:firstLine="480" w:firstLineChars="200"/>
              <w:rPr>
                <w:color w:val="auto"/>
                <w:sz w:val="24"/>
              </w:rPr>
            </w:pPr>
            <w:r>
              <w:rPr>
                <w:rFonts w:hAnsi="宋体"/>
                <w:color w:val="auto"/>
                <w:sz w:val="24"/>
              </w:rPr>
              <w:t>项目名称：</w:t>
            </w:r>
            <w:r>
              <w:rPr>
                <w:rFonts w:hint="eastAsia"/>
                <w:color w:val="auto"/>
                <w:sz w:val="24"/>
                <w:szCs w:val="24"/>
              </w:rPr>
              <w:t>（利新）新型节能环保保温材料项目</w:t>
            </w:r>
            <w:r>
              <w:rPr>
                <w:rFonts w:hAnsi="宋体"/>
                <w:color w:val="auto"/>
                <w:sz w:val="24"/>
              </w:rPr>
              <w:t>；</w:t>
            </w:r>
          </w:p>
          <w:p>
            <w:pPr>
              <w:spacing w:line="360" w:lineRule="auto"/>
              <w:ind w:firstLine="480" w:firstLineChars="200"/>
              <w:rPr>
                <w:rFonts w:hAnsi="宋体"/>
                <w:color w:val="auto"/>
                <w:sz w:val="24"/>
              </w:rPr>
            </w:pPr>
            <w:r>
              <w:rPr>
                <w:rFonts w:hAnsi="宋体"/>
                <w:color w:val="auto"/>
                <w:sz w:val="24"/>
              </w:rPr>
              <w:t>建设单位：</w:t>
            </w:r>
            <w:r>
              <w:rPr>
                <w:rFonts w:hint="eastAsia" w:hAnsi="宋体"/>
                <w:color w:val="auto"/>
                <w:sz w:val="24"/>
              </w:rPr>
              <w:t>津市利新保温材料有限公司；</w:t>
            </w:r>
          </w:p>
          <w:p>
            <w:pPr>
              <w:spacing w:line="360" w:lineRule="auto"/>
              <w:ind w:firstLine="480" w:firstLineChars="200"/>
              <w:rPr>
                <w:color w:val="auto"/>
                <w:sz w:val="24"/>
              </w:rPr>
            </w:pPr>
            <w:r>
              <w:rPr>
                <w:rFonts w:hint="eastAsia" w:hAnsi="宋体"/>
                <w:color w:val="auto"/>
                <w:sz w:val="24"/>
              </w:rPr>
              <w:t>建设性质：新建</w:t>
            </w:r>
            <w:r>
              <w:rPr>
                <w:rFonts w:hAnsi="宋体"/>
                <w:color w:val="auto"/>
                <w:sz w:val="24"/>
              </w:rPr>
              <w:t>；</w:t>
            </w:r>
          </w:p>
          <w:p>
            <w:pPr>
              <w:spacing w:line="360" w:lineRule="auto"/>
              <w:ind w:firstLine="480" w:firstLineChars="200"/>
              <w:rPr>
                <w:color w:val="auto"/>
                <w:sz w:val="24"/>
              </w:rPr>
            </w:pPr>
            <w:r>
              <w:rPr>
                <w:rFonts w:hAnsi="宋体"/>
                <w:color w:val="auto"/>
                <w:sz w:val="24"/>
              </w:rPr>
              <w:t>建设地点：</w:t>
            </w:r>
            <w:r>
              <w:rPr>
                <w:rFonts w:hint="eastAsia" w:ascii="Times New Roman" w:hAnsi="Times New Roman"/>
                <w:color w:val="auto"/>
                <w:sz w:val="24"/>
                <w:szCs w:val="24"/>
              </w:rPr>
              <w:t>津市高新技术产业开发区团湖大道右侧钰兴科技园4号车间</w:t>
            </w:r>
            <w:r>
              <w:rPr>
                <w:rFonts w:hAnsi="宋体"/>
                <w:color w:val="auto"/>
                <w:sz w:val="24"/>
              </w:rPr>
              <w:t>，地理坐标为</w:t>
            </w:r>
            <w:r>
              <w:rPr>
                <w:rFonts w:hint="eastAsia" w:ascii="Times New Roman" w:hAnsi="Times New Roman"/>
                <w:color w:val="auto"/>
                <w:sz w:val="24"/>
                <w:szCs w:val="24"/>
              </w:rPr>
              <w:t>E</w:t>
            </w:r>
            <w:r>
              <w:rPr>
                <w:rFonts w:hint="eastAsia"/>
                <w:color w:val="auto"/>
                <w:sz w:val="24"/>
                <w:szCs w:val="24"/>
              </w:rPr>
              <w:t>111°51′0.08″</w:t>
            </w:r>
            <w:r>
              <w:rPr>
                <w:rFonts w:ascii="Times New Roman" w:hAnsi="Times New Roman" w:cs="Times New Roman"/>
                <w:color w:val="auto"/>
                <w:sz w:val="24"/>
                <w:szCs w:val="24"/>
              </w:rPr>
              <w:t>，</w:t>
            </w:r>
            <w:r>
              <w:rPr>
                <w:rFonts w:hint="eastAsia" w:ascii="Times New Roman" w:hAnsi="Times New Roman"/>
                <w:color w:val="auto"/>
                <w:sz w:val="24"/>
                <w:szCs w:val="24"/>
              </w:rPr>
              <w:t>N</w:t>
            </w:r>
            <w:r>
              <w:rPr>
                <w:rFonts w:hint="eastAsia"/>
                <w:color w:val="auto"/>
                <w:sz w:val="24"/>
                <w:szCs w:val="24"/>
              </w:rPr>
              <w:t>29°34′9.31″</w:t>
            </w:r>
            <w:r>
              <w:rPr>
                <w:rFonts w:hint="eastAsia"/>
                <w:color w:val="auto"/>
                <w:sz w:val="24"/>
              </w:rPr>
              <w:t>；</w:t>
            </w:r>
          </w:p>
          <w:p>
            <w:pPr>
              <w:spacing w:line="360" w:lineRule="auto"/>
              <w:ind w:firstLine="480" w:firstLineChars="200"/>
              <w:rPr>
                <w:rFonts w:hAnsi="宋体"/>
                <w:color w:val="auto"/>
                <w:sz w:val="24"/>
              </w:rPr>
            </w:pPr>
            <w:r>
              <w:rPr>
                <w:rFonts w:hAnsi="宋体"/>
                <w:color w:val="auto"/>
                <w:sz w:val="24"/>
              </w:rPr>
              <w:t>总投资：</w:t>
            </w:r>
            <w:r>
              <w:rPr>
                <w:rFonts w:hint="eastAsia" w:hAnsi="宋体"/>
                <w:color w:val="auto"/>
                <w:sz w:val="24"/>
              </w:rPr>
              <w:t>项目总投资</w:t>
            </w:r>
            <w:r>
              <w:rPr>
                <w:rFonts w:hint="eastAsia"/>
                <w:color w:val="auto"/>
                <w:sz w:val="24"/>
              </w:rPr>
              <w:t>1000万元</w:t>
            </w:r>
            <w:r>
              <w:rPr>
                <w:rFonts w:hint="eastAsia" w:hAnsi="宋体"/>
                <w:color w:val="auto"/>
                <w:sz w:val="24"/>
              </w:rPr>
              <w:t>，全部企业自筹。</w:t>
            </w:r>
          </w:p>
          <w:p>
            <w:pPr>
              <w:spacing w:line="360" w:lineRule="auto"/>
              <w:rPr>
                <w:rFonts w:ascii="Times New Roman" w:hAnsi="Times New Roman"/>
                <w:b/>
                <w:color w:val="auto"/>
                <w:sz w:val="24"/>
                <w:szCs w:val="20"/>
              </w:rPr>
            </w:pPr>
            <w:r>
              <w:rPr>
                <w:rFonts w:ascii="Times New Roman" w:hAnsi="Times New Roman"/>
                <w:b/>
                <w:color w:val="auto"/>
                <w:sz w:val="24"/>
                <w:szCs w:val="20"/>
              </w:rPr>
              <w:t>2.</w:t>
            </w:r>
            <w:r>
              <w:rPr>
                <w:rFonts w:hint="eastAsia" w:ascii="Times New Roman" w:hAnsi="Times New Roman"/>
                <w:b/>
                <w:color w:val="auto"/>
                <w:sz w:val="24"/>
                <w:szCs w:val="20"/>
              </w:rPr>
              <w:t>2</w:t>
            </w:r>
            <w:r>
              <w:rPr>
                <w:rFonts w:ascii="Times New Roman" w:hAnsi="Times New Roman"/>
                <w:b/>
                <w:color w:val="auto"/>
                <w:sz w:val="24"/>
                <w:szCs w:val="20"/>
              </w:rPr>
              <w:t>建设内容及规模</w:t>
            </w:r>
          </w:p>
          <w:p>
            <w:pPr>
              <w:spacing w:line="360" w:lineRule="auto"/>
              <w:ind w:firstLine="520" w:firstLineChars="200"/>
              <w:jc w:val="left"/>
              <w:rPr>
                <w:color w:val="auto"/>
                <w:spacing w:val="10"/>
                <w:sz w:val="24"/>
              </w:rPr>
            </w:pPr>
            <w:r>
              <w:rPr>
                <w:color w:val="auto"/>
                <w:spacing w:val="10"/>
                <w:sz w:val="24"/>
              </w:rPr>
              <w:t>本项目总投资</w:t>
            </w:r>
            <w:r>
              <w:rPr>
                <w:rFonts w:hint="eastAsia"/>
                <w:color w:val="auto"/>
                <w:spacing w:val="10"/>
                <w:sz w:val="24"/>
              </w:rPr>
              <w:t>1000万元</w:t>
            </w:r>
            <w:r>
              <w:rPr>
                <w:color w:val="auto"/>
                <w:spacing w:val="10"/>
                <w:sz w:val="24"/>
              </w:rPr>
              <w:t>，</w:t>
            </w:r>
            <w:r>
              <w:rPr>
                <w:rFonts w:hAnsi="宋体"/>
                <w:color w:val="auto"/>
                <w:sz w:val="24"/>
                <w:u w:val="single"/>
              </w:rPr>
              <w:t>总</w:t>
            </w:r>
            <w:r>
              <w:rPr>
                <w:rFonts w:hint="eastAsia"/>
                <w:color w:val="auto"/>
                <w:sz w:val="24"/>
                <w:u w:val="single"/>
              </w:rPr>
              <w:t>占地面积2</w:t>
            </w:r>
            <w:r>
              <w:rPr>
                <w:rFonts w:hint="eastAsia"/>
                <w:color w:val="auto"/>
                <w:sz w:val="24"/>
                <w:u w:val="single"/>
                <w:lang w:val="en-US" w:eastAsia="zh-CN"/>
              </w:rPr>
              <w:t>8</w:t>
            </w:r>
            <w:r>
              <w:rPr>
                <w:rFonts w:hint="eastAsia"/>
                <w:color w:val="auto"/>
                <w:sz w:val="24"/>
                <w:u w:val="single"/>
              </w:rPr>
              <w:t>00m</w:t>
            </w:r>
            <w:r>
              <w:rPr>
                <w:rFonts w:hint="eastAsia"/>
                <w:color w:val="auto"/>
                <w:sz w:val="24"/>
                <w:u w:val="single"/>
                <w:vertAlign w:val="superscript"/>
              </w:rPr>
              <w:t>2</w:t>
            </w:r>
            <w:r>
              <w:rPr>
                <w:rFonts w:hint="eastAsia"/>
                <w:color w:val="auto"/>
                <w:sz w:val="24"/>
                <w:u w:val="single"/>
                <w:vertAlign w:val="baseline"/>
                <w:lang w:eastAsia="zh-CN"/>
              </w:rPr>
              <w:t>（</w:t>
            </w:r>
            <w:r>
              <w:rPr>
                <w:rFonts w:hint="eastAsia"/>
                <w:color w:val="auto"/>
                <w:sz w:val="24"/>
                <w:u w:val="single"/>
                <w:vertAlign w:val="baseline"/>
                <w:lang w:val="en-US" w:eastAsia="zh-CN"/>
              </w:rPr>
              <w:t>厂房面积2400</w:t>
            </w:r>
            <w:r>
              <w:rPr>
                <w:rFonts w:hint="eastAsia"/>
                <w:color w:val="auto"/>
                <w:sz w:val="24"/>
                <w:u w:val="single"/>
                <w:lang w:val="en-US" w:eastAsia="zh-CN"/>
              </w:rPr>
              <w:t>㎡</w:t>
            </w:r>
            <w:r>
              <w:rPr>
                <w:rFonts w:hint="eastAsia"/>
                <w:color w:val="auto"/>
                <w:sz w:val="24"/>
                <w:u w:val="single"/>
                <w:vertAlign w:val="baseline"/>
                <w:lang w:val="en-US" w:eastAsia="zh-CN"/>
              </w:rPr>
              <w:t>，办公室面积400㎡</w:t>
            </w:r>
            <w:r>
              <w:rPr>
                <w:rFonts w:hint="eastAsia"/>
                <w:color w:val="auto"/>
                <w:sz w:val="24"/>
                <w:u w:val="single"/>
                <w:vertAlign w:val="baseline"/>
                <w:lang w:eastAsia="zh-CN"/>
              </w:rPr>
              <w:t>）</w:t>
            </w:r>
            <w:r>
              <w:rPr>
                <w:rFonts w:hint="eastAsia"/>
                <w:color w:val="auto"/>
                <w:sz w:val="24"/>
                <w:u w:val="single"/>
              </w:rPr>
              <w:t>，建筑面积2</w:t>
            </w:r>
            <w:r>
              <w:rPr>
                <w:rFonts w:hint="eastAsia"/>
                <w:color w:val="auto"/>
                <w:sz w:val="24"/>
                <w:u w:val="single"/>
                <w:lang w:val="en-US" w:eastAsia="zh-CN"/>
              </w:rPr>
              <w:t>8</w:t>
            </w:r>
            <w:r>
              <w:rPr>
                <w:rFonts w:hint="eastAsia"/>
                <w:color w:val="auto"/>
                <w:sz w:val="24"/>
                <w:u w:val="single"/>
              </w:rPr>
              <w:t>00m</w:t>
            </w:r>
            <w:r>
              <w:rPr>
                <w:rFonts w:hint="eastAsia"/>
                <w:color w:val="auto"/>
                <w:sz w:val="24"/>
                <w:u w:val="single"/>
                <w:vertAlign w:val="superscript"/>
              </w:rPr>
              <w:t>2</w:t>
            </w:r>
            <w:r>
              <w:rPr>
                <w:rFonts w:hint="eastAsia"/>
                <w:color w:val="auto"/>
                <w:sz w:val="24"/>
                <w:u w:val="single"/>
              </w:rPr>
              <w:t>，</w:t>
            </w:r>
            <w:r>
              <w:rPr>
                <w:color w:val="auto"/>
                <w:spacing w:val="10"/>
                <w:sz w:val="24"/>
                <w:u w:val="single"/>
              </w:rPr>
              <w:t>建设</w:t>
            </w:r>
            <w:r>
              <w:rPr>
                <w:rFonts w:hint="eastAsia"/>
                <w:color w:val="auto"/>
                <w:sz w:val="24"/>
                <w:u w:val="single"/>
              </w:rPr>
              <w:t>主体工程、公用工程、储运工程、辅助工程、环保工程</w:t>
            </w:r>
            <w:r>
              <w:rPr>
                <w:rFonts w:hint="eastAsia"/>
                <w:color w:val="auto"/>
                <w:spacing w:val="10"/>
                <w:sz w:val="24"/>
                <w:u w:val="single"/>
              </w:rPr>
              <w:t>等</w:t>
            </w:r>
            <w:r>
              <w:rPr>
                <w:color w:val="auto"/>
                <w:spacing w:val="10"/>
                <w:sz w:val="24"/>
              </w:rPr>
              <w:t>。</w:t>
            </w:r>
          </w:p>
          <w:p>
            <w:pPr>
              <w:spacing w:line="360" w:lineRule="auto"/>
              <w:ind w:firstLine="520" w:firstLineChars="200"/>
              <w:jc w:val="left"/>
              <w:rPr>
                <w:color w:val="auto"/>
                <w:spacing w:val="10"/>
                <w:sz w:val="24"/>
              </w:rPr>
            </w:pPr>
            <w:r>
              <w:rPr>
                <w:color w:val="auto"/>
                <w:spacing w:val="10"/>
                <w:sz w:val="24"/>
              </w:rPr>
              <w:t>项目建设内容及规模见表</w:t>
            </w:r>
            <w:r>
              <w:rPr>
                <w:rFonts w:hint="eastAsia"/>
                <w:color w:val="auto"/>
                <w:spacing w:val="10"/>
                <w:sz w:val="24"/>
              </w:rPr>
              <w:t>2-1</w:t>
            </w:r>
            <w:r>
              <w:rPr>
                <w:color w:val="auto"/>
                <w:spacing w:val="10"/>
                <w:sz w:val="24"/>
              </w:rPr>
              <w:t>所示。</w:t>
            </w:r>
          </w:p>
          <w:p>
            <w:pPr>
              <w:jc w:val="center"/>
              <w:rPr>
                <w:b/>
                <w:color w:val="auto"/>
                <w:sz w:val="24"/>
              </w:rPr>
            </w:pPr>
            <w:r>
              <w:rPr>
                <w:b/>
                <w:color w:val="auto"/>
                <w:sz w:val="24"/>
              </w:rPr>
              <w:t>表</w:t>
            </w:r>
            <w:r>
              <w:rPr>
                <w:rFonts w:hint="eastAsia"/>
                <w:b/>
                <w:color w:val="auto"/>
                <w:sz w:val="24"/>
              </w:rPr>
              <w:t>2-1</w:t>
            </w:r>
            <w:r>
              <w:rPr>
                <w:b/>
                <w:color w:val="auto"/>
                <w:sz w:val="24"/>
              </w:rPr>
              <w:t>工程建设内容一览表</w:t>
            </w:r>
          </w:p>
          <w:tbl>
            <w:tblPr>
              <w:tblStyle w:val="19"/>
              <w:tblW w:w="85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475"/>
              <w:gridCol w:w="4722"/>
              <w:gridCol w:w="15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tcBorders>
                    <w:tl2br w:val="nil"/>
                    <w:tr2bl w:val="nil"/>
                  </w:tcBorders>
                  <w:noWrap/>
                  <w:vAlign w:val="center"/>
                </w:tcPr>
                <w:p>
                  <w:pPr>
                    <w:spacing w:line="240" w:lineRule="auto"/>
                    <w:jc w:val="center"/>
                    <w:rPr>
                      <w:b/>
                      <w:color w:val="auto"/>
                      <w:szCs w:val="21"/>
                    </w:rPr>
                  </w:pPr>
                  <w:r>
                    <w:rPr>
                      <w:b/>
                      <w:color w:val="auto"/>
                      <w:szCs w:val="21"/>
                    </w:rPr>
                    <w:t>工程类别</w:t>
                  </w:r>
                </w:p>
              </w:tc>
              <w:tc>
                <w:tcPr>
                  <w:tcW w:w="1475" w:type="dxa"/>
                  <w:tcBorders>
                    <w:tl2br w:val="nil"/>
                    <w:tr2bl w:val="nil"/>
                  </w:tcBorders>
                  <w:noWrap/>
                  <w:vAlign w:val="center"/>
                </w:tcPr>
                <w:p>
                  <w:pPr>
                    <w:spacing w:line="240" w:lineRule="auto"/>
                    <w:jc w:val="center"/>
                    <w:rPr>
                      <w:b/>
                      <w:color w:val="auto"/>
                      <w:szCs w:val="21"/>
                    </w:rPr>
                  </w:pPr>
                  <w:r>
                    <w:rPr>
                      <w:b/>
                      <w:color w:val="auto"/>
                      <w:szCs w:val="21"/>
                    </w:rPr>
                    <w:t>建设内容</w:t>
                  </w:r>
                </w:p>
              </w:tc>
              <w:tc>
                <w:tcPr>
                  <w:tcW w:w="4722" w:type="dxa"/>
                  <w:tcBorders>
                    <w:tl2br w:val="nil"/>
                    <w:tr2bl w:val="nil"/>
                  </w:tcBorders>
                  <w:noWrap/>
                  <w:vAlign w:val="center"/>
                </w:tcPr>
                <w:p>
                  <w:pPr>
                    <w:spacing w:line="240" w:lineRule="auto"/>
                    <w:jc w:val="center"/>
                    <w:rPr>
                      <w:b/>
                      <w:color w:val="auto"/>
                      <w:szCs w:val="21"/>
                    </w:rPr>
                  </w:pPr>
                  <w:r>
                    <w:rPr>
                      <w:b/>
                      <w:color w:val="auto"/>
                      <w:szCs w:val="21"/>
                    </w:rPr>
                    <w:t>规模</w:t>
                  </w:r>
                </w:p>
              </w:tc>
              <w:tc>
                <w:tcPr>
                  <w:tcW w:w="1556" w:type="dxa"/>
                  <w:tcBorders>
                    <w:tl2br w:val="nil"/>
                    <w:tr2bl w:val="nil"/>
                  </w:tcBorders>
                  <w:noWrap/>
                  <w:vAlign w:val="center"/>
                </w:tcPr>
                <w:p>
                  <w:pPr>
                    <w:spacing w:line="240" w:lineRule="auto"/>
                    <w:jc w:val="center"/>
                    <w:rPr>
                      <w:rFonts w:eastAsia="宋体"/>
                      <w:b/>
                      <w:color w:val="auto"/>
                      <w:szCs w:val="21"/>
                    </w:rPr>
                  </w:pPr>
                  <w:r>
                    <w:rPr>
                      <w:rFonts w:hint="eastAsia"/>
                      <w:b/>
                      <w:color w:val="auto"/>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tcBorders>
                    <w:tl2br w:val="nil"/>
                    <w:tr2bl w:val="nil"/>
                  </w:tcBorders>
                  <w:noWrap/>
                  <w:vAlign w:val="center"/>
                </w:tcPr>
                <w:p>
                  <w:pPr>
                    <w:spacing w:line="240" w:lineRule="auto"/>
                    <w:jc w:val="left"/>
                    <w:rPr>
                      <w:color w:val="auto"/>
                      <w:szCs w:val="21"/>
                    </w:rPr>
                  </w:pPr>
                  <w:r>
                    <w:rPr>
                      <w:color w:val="auto"/>
                      <w:szCs w:val="21"/>
                    </w:rPr>
                    <w:t>主体工程</w:t>
                  </w:r>
                </w:p>
              </w:tc>
              <w:tc>
                <w:tcPr>
                  <w:tcW w:w="1475" w:type="dxa"/>
                  <w:tcBorders>
                    <w:tl2br w:val="nil"/>
                    <w:tr2bl w:val="nil"/>
                  </w:tcBorders>
                  <w:noWrap/>
                  <w:vAlign w:val="center"/>
                </w:tcPr>
                <w:p>
                  <w:pPr>
                    <w:spacing w:line="240" w:lineRule="auto"/>
                    <w:jc w:val="center"/>
                    <w:rPr>
                      <w:rFonts w:eastAsia="宋体"/>
                      <w:color w:val="auto"/>
                      <w:szCs w:val="21"/>
                    </w:rPr>
                  </w:pPr>
                  <w:r>
                    <w:rPr>
                      <w:rFonts w:hint="eastAsia"/>
                      <w:color w:val="auto"/>
                      <w:szCs w:val="21"/>
                    </w:rPr>
                    <w:t>生产厂房</w:t>
                  </w:r>
                </w:p>
              </w:tc>
              <w:tc>
                <w:tcPr>
                  <w:tcW w:w="4722" w:type="dxa"/>
                  <w:tcBorders>
                    <w:tl2br w:val="nil"/>
                    <w:tr2bl w:val="nil"/>
                  </w:tcBorders>
                  <w:noWrap/>
                  <w:vAlign w:val="center"/>
                </w:tcPr>
                <w:p>
                  <w:pPr>
                    <w:spacing w:line="240" w:lineRule="auto"/>
                    <w:rPr>
                      <w:rFonts w:hint="eastAsia" w:eastAsiaTheme="minorEastAsia"/>
                      <w:color w:val="auto"/>
                      <w:szCs w:val="21"/>
                      <w:lang w:eastAsia="zh-CN"/>
                    </w:rPr>
                  </w:pPr>
                  <w:r>
                    <w:rPr>
                      <w:rFonts w:hint="eastAsia"/>
                      <w:color w:val="auto"/>
                      <w:szCs w:val="21"/>
                      <w:u w:val="single"/>
                    </w:rPr>
                    <w:t>项目主体</w:t>
                  </w:r>
                  <w:r>
                    <w:rPr>
                      <w:color w:val="auto"/>
                      <w:szCs w:val="21"/>
                      <w:u w:val="single"/>
                    </w:rPr>
                    <w:t>，主要用于</w:t>
                  </w:r>
                  <w:r>
                    <w:rPr>
                      <w:rFonts w:hint="eastAsia"/>
                      <w:color w:val="auto"/>
                      <w:szCs w:val="21"/>
                      <w:u w:val="single"/>
                    </w:rPr>
                    <w:t>产品生产、原辅材料存储、产品暂存</w:t>
                  </w:r>
                  <w:r>
                    <w:rPr>
                      <w:color w:val="auto"/>
                      <w:szCs w:val="21"/>
                      <w:u w:val="single"/>
                    </w:rPr>
                    <w:t>，</w:t>
                  </w:r>
                  <w:r>
                    <w:rPr>
                      <w:rFonts w:hint="eastAsia"/>
                      <w:color w:val="auto"/>
                      <w:szCs w:val="21"/>
                      <w:u w:val="single"/>
                    </w:rPr>
                    <w:t>1F框架结构建筑</w:t>
                  </w:r>
                  <w:r>
                    <w:rPr>
                      <w:color w:val="auto"/>
                      <w:szCs w:val="21"/>
                      <w:u w:val="single"/>
                    </w:rPr>
                    <w:t>，占地面积约</w:t>
                  </w:r>
                  <w:r>
                    <w:rPr>
                      <w:rFonts w:hint="eastAsia"/>
                      <w:color w:val="auto"/>
                      <w:szCs w:val="21"/>
                      <w:u w:val="single"/>
                    </w:rPr>
                    <w:t>2400</w:t>
                  </w:r>
                  <w:r>
                    <w:rPr>
                      <w:color w:val="auto"/>
                      <w:szCs w:val="21"/>
                      <w:u w:val="single"/>
                    </w:rPr>
                    <w:t>m</w:t>
                  </w:r>
                  <w:r>
                    <w:rPr>
                      <w:color w:val="auto"/>
                      <w:szCs w:val="21"/>
                      <w:u w:val="single"/>
                      <w:vertAlign w:val="superscript"/>
                    </w:rPr>
                    <w:t>2</w:t>
                  </w:r>
                  <w:r>
                    <w:rPr>
                      <w:color w:val="auto"/>
                      <w:szCs w:val="21"/>
                      <w:u w:val="single"/>
                    </w:rPr>
                    <w:t>，</w:t>
                  </w:r>
                  <w:r>
                    <w:rPr>
                      <w:rFonts w:hint="eastAsia"/>
                      <w:color w:val="auto"/>
                      <w:szCs w:val="21"/>
                      <w:u w:val="single"/>
                    </w:rPr>
                    <w:t>建筑</w:t>
                  </w:r>
                  <w:r>
                    <w:rPr>
                      <w:color w:val="auto"/>
                      <w:szCs w:val="21"/>
                      <w:u w:val="single"/>
                    </w:rPr>
                    <w:t>面积约</w:t>
                  </w:r>
                  <w:r>
                    <w:rPr>
                      <w:rFonts w:hint="eastAsia"/>
                      <w:color w:val="auto"/>
                      <w:szCs w:val="21"/>
                      <w:u w:val="single"/>
                    </w:rPr>
                    <w:t>2400</w:t>
                  </w:r>
                  <w:r>
                    <w:rPr>
                      <w:color w:val="auto"/>
                      <w:szCs w:val="21"/>
                      <w:u w:val="single"/>
                    </w:rPr>
                    <w:t>m</w:t>
                  </w:r>
                  <w:r>
                    <w:rPr>
                      <w:color w:val="auto"/>
                      <w:szCs w:val="21"/>
                      <w:u w:val="single"/>
                      <w:vertAlign w:val="superscript"/>
                    </w:rPr>
                    <w:t>2</w:t>
                  </w:r>
                  <w:r>
                    <w:rPr>
                      <w:rFonts w:hint="eastAsia"/>
                      <w:color w:val="auto"/>
                      <w:szCs w:val="21"/>
                      <w:u w:val="single"/>
                      <w:vertAlign w:val="baseline"/>
                      <w:lang w:eastAsia="zh-CN"/>
                    </w:rPr>
                    <w:t>。</w:t>
                  </w:r>
                </w:p>
              </w:tc>
              <w:tc>
                <w:tcPr>
                  <w:tcW w:w="1556" w:type="dxa"/>
                  <w:tcBorders>
                    <w:tl2br w:val="nil"/>
                    <w:tr2bl w:val="nil"/>
                  </w:tcBorders>
                  <w:noWrap/>
                  <w:vAlign w:val="center"/>
                </w:tcPr>
                <w:p>
                  <w:pPr>
                    <w:spacing w:line="240" w:lineRule="auto"/>
                    <w:rPr>
                      <w:rFonts w:hint="eastAsia" w:eastAsiaTheme="minorEastAsia"/>
                      <w:color w:val="auto"/>
                      <w:szCs w:val="21"/>
                      <w:lang w:eastAsia="zh-CN"/>
                    </w:rPr>
                  </w:pPr>
                  <w:r>
                    <w:rPr>
                      <w:rFonts w:hint="eastAsia"/>
                      <w:color w:val="auto"/>
                      <w:szCs w:val="21"/>
                    </w:rPr>
                    <w:t>高10m，建筑面积按照1层计算</w:t>
                  </w:r>
                  <w:r>
                    <w:rPr>
                      <w:rFonts w:hint="eastAsia"/>
                      <w:color w:val="auto"/>
                      <w:szCs w:val="21"/>
                      <w:lang w:eastAsia="zh-CN"/>
                    </w:rPr>
                    <w:t>（</w:t>
                  </w:r>
                  <w:r>
                    <w:rPr>
                      <w:rFonts w:hint="eastAsia"/>
                      <w:color w:val="auto"/>
                      <w:szCs w:val="21"/>
                      <w:lang w:val="en-US" w:eastAsia="zh-CN"/>
                    </w:rPr>
                    <w:t>租用</w:t>
                  </w:r>
                  <w:r>
                    <w:rPr>
                      <w:rFonts w:hint="eastAsia"/>
                      <w:color w:val="auto"/>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tcBorders>
                    <w:tl2br w:val="nil"/>
                    <w:tr2bl w:val="nil"/>
                  </w:tcBorders>
                  <w:noWrap/>
                  <w:vAlign w:val="center"/>
                </w:tcPr>
                <w:p>
                  <w:pPr>
                    <w:spacing w:line="240" w:lineRule="auto"/>
                    <w:jc w:val="left"/>
                    <w:rPr>
                      <w:rFonts w:eastAsia="宋体"/>
                      <w:color w:val="auto"/>
                      <w:szCs w:val="21"/>
                      <w:u w:val="single"/>
                    </w:rPr>
                  </w:pPr>
                  <w:r>
                    <w:rPr>
                      <w:rFonts w:hint="eastAsia"/>
                      <w:color w:val="auto"/>
                      <w:szCs w:val="21"/>
                      <w:u w:val="single"/>
                    </w:rPr>
                    <w:t>辅助工程</w:t>
                  </w:r>
                </w:p>
              </w:tc>
              <w:tc>
                <w:tcPr>
                  <w:tcW w:w="1475" w:type="dxa"/>
                  <w:tcBorders>
                    <w:tl2br w:val="nil"/>
                    <w:tr2bl w:val="nil"/>
                  </w:tcBorders>
                  <w:noWrap/>
                  <w:vAlign w:val="center"/>
                </w:tcPr>
                <w:p>
                  <w:pPr>
                    <w:spacing w:line="240" w:lineRule="auto"/>
                    <w:jc w:val="center"/>
                    <w:rPr>
                      <w:rFonts w:eastAsia="宋体"/>
                      <w:color w:val="auto"/>
                      <w:szCs w:val="21"/>
                      <w:u w:val="single"/>
                    </w:rPr>
                  </w:pPr>
                  <w:r>
                    <w:rPr>
                      <w:rFonts w:hint="eastAsia"/>
                      <w:color w:val="auto"/>
                      <w:szCs w:val="21"/>
                      <w:u w:val="single"/>
                    </w:rPr>
                    <w:t>综合楼</w:t>
                  </w:r>
                </w:p>
              </w:tc>
              <w:tc>
                <w:tcPr>
                  <w:tcW w:w="4722" w:type="dxa"/>
                  <w:tcBorders>
                    <w:tl2br w:val="nil"/>
                    <w:tr2bl w:val="nil"/>
                  </w:tcBorders>
                  <w:noWrap/>
                  <w:vAlign w:val="center"/>
                </w:tcPr>
                <w:p>
                  <w:pPr>
                    <w:spacing w:line="240" w:lineRule="auto"/>
                    <w:rPr>
                      <w:rFonts w:eastAsia="宋体"/>
                      <w:color w:val="auto"/>
                      <w:szCs w:val="21"/>
                      <w:u w:val="single"/>
                    </w:rPr>
                  </w:pPr>
                  <w:r>
                    <w:rPr>
                      <w:rFonts w:hint="eastAsia"/>
                      <w:color w:val="auto"/>
                      <w:szCs w:val="21"/>
                      <w:u w:val="single"/>
                    </w:rPr>
                    <w:t>位于项目西北侧，</w:t>
                  </w:r>
                  <w:r>
                    <w:rPr>
                      <w:color w:val="auto"/>
                      <w:szCs w:val="21"/>
                      <w:u w:val="single"/>
                    </w:rPr>
                    <w:t>占地面积约</w:t>
                  </w:r>
                  <w:r>
                    <w:rPr>
                      <w:rFonts w:hint="eastAsia"/>
                      <w:color w:val="auto"/>
                      <w:szCs w:val="21"/>
                      <w:u w:val="single"/>
                    </w:rPr>
                    <w:t>400</w:t>
                  </w:r>
                  <w:r>
                    <w:rPr>
                      <w:color w:val="auto"/>
                      <w:szCs w:val="21"/>
                      <w:u w:val="single"/>
                    </w:rPr>
                    <w:t>m</w:t>
                  </w:r>
                  <w:r>
                    <w:rPr>
                      <w:color w:val="auto"/>
                      <w:szCs w:val="21"/>
                      <w:u w:val="single"/>
                      <w:vertAlign w:val="superscript"/>
                    </w:rPr>
                    <w:t>2</w:t>
                  </w:r>
                  <w:r>
                    <w:rPr>
                      <w:color w:val="auto"/>
                      <w:szCs w:val="21"/>
                      <w:u w:val="single"/>
                    </w:rPr>
                    <w:t>，</w:t>
                  </w:r>
                  <w:r>
                    <w:rPr>
                      <w:rFonts w:hint="eastAsia"/>
                      <w:color w:val="auto"/>
                      <w:szCs w:val="21"/>
                      <w:u w:val="single"/>
                    </w:rPr>
                    <w:t>建筑面积400m</w:t>
                  </w:r>
                  <w:r>
                    <w:rPr>
                      <w:rFonts w:hint="eastAsia"/>
                      <w:color w:val="auto"/>
                      <w:szCs w:val="21"/>
                      <w:u w:val="single"/>
                      <w:vertAlign w:val="superscript"/>
                    </w:rPr>
                    <w:t>2</w:t>
                  </w:r>
                  <w:r>
                    <w:rPr>
                      <w:rFonts w:hint="eastAsia"/>
                      <w:color w:val="auto"/>
                      <w:szCs w:val="21"/>
                      <w:u w:val="single"/>
                    </w:rPr>
                    <w:t>，砖混结构，共1层</w:t>
                  </w:r>
                </w:p>
              </w:tc>
              <w:tc>
                <w:tcPr>
                  <w:tcW w:w="1556" w:type="dxa"/>
                  <w:tcBorders>
                    <w:tl2br w:val="nil"/>
                    <w:tr2bl w:val="nil"/>
                  </w:tcBorders>
                  <w:noWrap/>
                  <w:vAlign w:val="center"/>
                </w:tcPr>
                <w:p>
                  <w:pPr>
                    <w:spacing w:line="240" w:lineRule="auto"/>
                    <w:rPr>
                      <w:color w:val="auto"/>
                      <w:szCs w:val="21"/>
                      <w:u w:val="single"/>
                    </w:rPr>
                  </w:pPr>
                  <w:r>
                    <w:rPr>
                      <w:rFonts w:hint="eastAsia"/>
                      <w:color w:val="auto"/>
                      <w:szCs w:val="21"/>
                      <w:u w:val="single"/>
                    </w:rPr>
                    <w:t>食堂、办公、宿舍一体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restart"/>
                  <w:tcBorders>
                    <w:tl2br w:val="nil"/>
                    <w:tr2bl w:val="nil"/>
                  </w:tcBorders>
                  <w:noWrap/>
                  <w:vAlign w:val="center"/>
                </w:tcPr>
                <w:p>
                  <w:pPr>
                    <w:spacing w:line="240" w:lineRule="auto"/>
                    <w:jc w:val="left"/>
                    <w:rPr>
                      <w:color w:val="auto"/>
                      <w:szCs w:val="21"/>
                    </w:rPr>
                  </w:pPr>
                  <w:r>
                    <w:rPr>
                      <w:color w:val="auto"/>
                      <w:szCs w:val="21"/>
                    </w:rPr>
                    <w:t>公用工程</w:t>
                  </w:r>
                </w:p>
              </w:tc>
              <w:tc>
                <w:tcPr>
                  <w:tcW w:w="1475" w:type="dxa"/>
                  <w:tcBorders>
                    <w:tl2br w:val="nil"/>
                    <w:tr2bl w:val="nil"/>
                  </w:tcBorders>
                  <w:noWrap/>
                  <w:vAlign w:val="center"/>
                </w:tcPr>
                <w:p>
                  <w:pPr>
                    <w:spacing w:line="240" w:lineRule="auto"/>
                    <w:jc w:val="center"/>
                    <w:rPr>
                      <w:color w:val="auto"/>
                      <w:szCs w:val="21"/>
                    </w:rPr>
                  </w:pPr>
                  <w:r>
                    <w:rPr>
                      <w:color w:val="auto"/>
                      <w:szCs w:val="21"/>
                    </w:rPr>
                    <w:t>供电</w:t>
                  </w:r>
                </w:p>
              </w:tc>
              <w:tc>
                <w:tcPr>
                  <w:tcW w:w="4722" w:type="dxa"/>
                  <w:tcBorders>
                    <w:tl2br w:val="nil"/>
                    <w:tr2bl w:val="nil"/>
                  </w:tcBorders>
                  <w:noWrap/>
                  <w:vAlign w:val="center"/>
                </w:tcPr>
                <w:p>
                  <w:pPr>
                    <w:spacing w:line="240" w:lineRule="auto"/>
                    <w:jc w:val="left"/>
                    <w:rPr>
                      <w:color w:val="auto"/>
                      <w:szCs w:val="21"/>
                    </w:rPr>
                  </w:pPr>
                  <w:r>
                    <w:rPr>
                      <w:color w:val="auto"/>
                      <w:szCs w:val="21"/>
                    </w:rPr>
                    <w:t>电源采用</w:t>
                  </w:r>
                  <w:r>
                    <w:rPr>
                      <w:rFonts w:hint="eastAsia"/>
                      <w:color w:val="auto"/>
                      <w:szCs w:val="21"/>
                    </w:rPr>
                    <w:t>当地</w:t>
                  </w:r>
                  <w:r>
                    <w:rPr>
                      <w:color w:val="auto"/>
                      <w:szCs w:val="21"/>
                    </w:rPr>
                    <w:t>电网</w:t>
                  </w:r>
                </w:p>
              </w:tc>
              <w:tc>
                <w:tcPr>
                  <w:tcW w:w="1556" w:type="dxa"/>
                  <w:tcBorders>
                    <w:tl2br w:val="nil"/>
                    <w:tr2bl w:val="nil"/>
                  </w:tcBorders>
                  <w:noWrap/>
                  <w:vAlign w:val="center"/>
                </w:tcPr>
                <w:p>
                  <w:pPr>
                    <w:spacing w:line="240" w:lineRule="auto"/>
                    <w:jc w:val="left"/>
                    <w:rPr>
                      <w:rFonts w:hint="eastAsia" w:eastAsia="宋体"/>
                      <w:color w:val="auto"/>
                      <w:szCs w:val="21"/>
                      <w:lang w:val="en-US" w:eastAsia="zh-CN"/>
                    </w:rPr>
                  </w:pPr>
                  <w:r>
                    <w:rPr>
                      <w:rFonts w:hint="eastAsia" w:eastAsia="宋体"/>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continue"/>
                  <w:tcBorders>
                    <w:tl2br w:val="nil"/>
                    <w:tr2bl w:val="nil"/>
                  </w:tcBorders>
                  <w:noWrap/>
                  <w:vAlign w:val="center"/>
                </w:tcPr>
                <w:p>
                  <w:pPr>
                    <w:spacing w:line="240" w:lineRule="auto"/>
                    <w:jc w:val="left"/>
                    <w:rPr>
                      <w:color w:val="auto"/>
                      <w:szCs w:val="21"/>
                    </w:rPr>
                  </w:pPr>
                </w:p>
              </w:tc>
              <w:tc>
                <w:tcPr>
                  <w:tcW w:w="1475" w:type="dxa"/>
                  <w:tcBorders>
                    <w:tl2br w:val="nil"/>
                    <w:tr2bl w:val="nil"/>
                  </w:tcBorders>
                  <w:noWrap/>
                  <w:vAlign w:val="center"/>
                </w:tcPr>
                <w:p>
                  <w:pPr>
                    <w:spacing w:line="240" w:lineRule="auto"/>
                    <w:jc w:val="center"/>
                    <w:rPr>
                      <w:color w:val="auto"/>
                      <w:szCs w:val="21"/>
                    </w:rPr>
                  </w:pPr>
                  <w:r>
                    <w:rPr>
                      <w:color w:val="auto"/>
                      <w:szCs w:val="21"/>
                    </w:rPr>
                    <w:t>供水</w:t>
                  </w:r>
                </w:p>
              </w:tc>
              <w:tc>
                <w:tcPr>
                  <w:tcW w:w="4722" w:type="dxa"/>
                  <w:tcBorders>
                    <w:tl2br w:val="nil"/>
                    <w:tr2bl w:val="nil"/>
                  </w:tcBorders>
                  <w:noWrap/>
                  <w:vAlign w:val="center"/>
                </w:tcPr>
                <w:p>
                  <w:pPr>
                    <w:spacing w:line="240" w:lineRule="auto"/>
                    <w:jc w:val="left"/>
                    <w:rPr>
                      <w:color w:val="auto"/>
                      <w:szCs w:val="21"/>
                    </w:rPr>
                  </w:pPr>
                  <w:r>
                    <w:rPr>
                      <w:color w:val="auto"/>
                      <w:szCs w:val="21"/>
                    </w:rPr>
                    <w:t>来自</w:t>
                  </w:r>
                  <w:r>
                    <w:rPr>
                      <w:rFonts w:hint="eastAsia"/>
                      <w:color w:val="auto"/>
                      <w:szCs w:val="21"/>
                    </w:rPr>
                    <w:t>当地</w:t>
                  </w:r>
                  <w:r>
                    <w:rPr>
                      <w:color w:val="auto"/>
                      <w:szCs w:val="21"/>
                    </w:rPr>
                    <w:t>自来水管网供水</w:t>
                  </w:r>
                </w:p>
              </w:tc>
              <w:tc>
                <w:tcPr>
                  <w:tcW w:w="1556" w:type="dxa"/>
                  <w:tcBorders>
                    <w:tl2br w:val="nil"/>
                    <w:tr2bl w:val="nil"/>
                  </w:tcBorders>
                  <w:noWrap/>
                  <w:vAlign w:val="center"/>
                </w:tcPr>
                <w:p>
                  <w:pPr>
                    <w:spacing w:line="240" w:lineRule="auto"/>
                    <w:jc w:val="left"/>
                    <w:rPr>
                      <w:rFonts w:hint="eastAsia" w:eastAsia="宋体"/>
                      <w:color w:val="auto"/>
                      <w:szCs w:val="21"/>
                      <w:lang w:val="en-US" w:eastAsia="zh-CN"/>
                    </w:rPr>
                  </w:pPr>
                  <w:r>
                    <w:rPr>
                      <w:rFonts w:hint="eastAsia" w:eastAsia="宋体"/>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continue"/>
                  <w:tcBorders>
                    <w:tl2br w:val="nil"/>
                    <w:tr2bl w:val="nil"/>
                  </w:tcBorders>
                  <w:noWrap/>
                  <w:vAlign w:val="center"/>
                </w:tcPr>
                <w:p>
                  <w:pPr>
                    <w:spacing w:line="240" w:lineRule="auto"/>
                    <w:jc w:val="left"/>
                    <w:rPr>
                      <w:color w:val="auto"/>
                      <w:szCs w:val="21"/>
                    </w:rPr>
                  </w:pPr>
                </w:p>
              </w:tc>
              <w:tc>
                <w:tcPr>
                  <w:tcW w:w="1475" w:type="dxa"/>
                  <w:tcBorders>
                    <w:tl2br w:val="nil"/>
                    <w:tr2bl w:val="nil"/>
                  </w:tcBorders>
                  <w:noWrap/>
                  <w:vAlign w:val="center"/>
                </w:tcPr>
                <w:p>
                  <w:pPr>
                    <w:spacing w:line="240" w:lineRule="auto"/>
                    <w:jc w:val="center"/>
                    <w:rPr>
                      <w:color w:val="auto"/>
                      <w:szCs w:val="21"/>
                    </w:rPr>
                  </w:pPr>
                  <w:r>
                    <w:rPr>
                      <w:color w:val="auto"/>
                      <w:szCs w:val="21"/>
                    </w:rPr>
                    <w:t>排水</w:t>
                  </w:r>
                </w:p>
              </w:tc>
              <w:tc>
                <w:tcPr>
                  <w:tcW w:w="4722" w:type="dxa"/>
                  <w:tcBorders>
                    <w:tl2br w:val="nil"/>
                    <w:tr2bl w:val="nil"/>
                  </w:tcBorders>
                  <w:noWrap/>
                  <w:vAlign w:val="center"/>
                </w:tcPr>
                <w:p>
                  <w:pPr>
                    <w:spacing w:line="240" w:lineRule="auto"/>
                    <w:jc w:val="left"/>
                    <w:rPr>
                      <w:color w:val="auto"/>
                      <w:szCs w:val="21"/>
                    </w:rPr>
                  </w:pPr>
                  <w:r>
                    <w:rPr>
                      <w:color w:val="auto"/>
                      <w:szCs w:val="21"/>
                    </w:rPr>
                    <w:t>生活污水经化粪池处理后，</w:t>
                  </w:r>
                  <w:r>
                    <w:rPr>
                      <w:rFonts w:hint="eastAsia"/>
                      <w:color w:val="auto"/>
                      <w:szCs w:val="21"/>
                    </w:rPr>
                    <w:t>进入开发区污水管网</w:t>
                  </w:r>
                </w:p>
              </w:tc>
              <w:tc>
                <w:tcPr>
                  <w:tcW w:w="1556" w:type="dxa"/>
                  <w:tcBorders>
                    <w:tl2br w:val="nil"/>
                    <w:tr2bl w:val="nil"/>
                  </w:tcBorders>
                  <w:noWrap/>
                  <w:vAlign w:val="center"/>
                </w:tcPr>
                <w:p>
                  <w:pPr>
                    <w:spacing w:line="240" w:lineRule="auto"/>
                    <w:jc w:val="left"/>
                    <w:rPr>
                      <w:rFonts w:hint="eastAsia" w:eastAsia="宋体"/>
                      <w:color w:val="auto"/>
                      <w:szCs w:val="21"/>
                      <w:lang w:val="en-US" w:eastAsia="zh-CN"/>
                    </w:rPr>
                  </w:pPr>
                  <w:r>
                    <w:rPr>
                      <w:rFonts w:hint="eastAsia" w:eastAsia="宋体"/>
                      <w:color w:val="auto"/>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restart"/>
                  <w:tcBorders>
                    <w:tl2br w:val="nil"/>
                    <w:tr2bl w:val="nil"/>
                  </w:tcBorders>
                  <w:noWrap/>
                  <w:vAlign w:val="center"/>
                </w:tcPr>
                <w:p>
                  <w:pPr>
                    <w:spacing w:line="240" w:lineRule="auto"/>
                    <w:jc w:val="left"/>
                    <w:rPr>
                      <w:rFonts w:eastAsia="宋体"/>
                      <w:color w:val="auto"/>
                      <w:szCs w:val="21"/>
                      <w:u w:val="single"/>
                    </w:rPr>
                  </w:pPr>
                  <w:r>
                    <w:rPr>
                      <w:rFonts w:hint="eastAsia"/>
                      <w:color w:val="auto"/>
                      <w:szCs w:val="21"/>
                      <w:u w:val="single"/>
                    </w:rPr>
                    <w:t>储运工程</w:t>
                  </w:r>
                </w:p>
              </w:tc>
              <w:tc>
                <w:tcPr>
                  <w:tcW w:w="1475" w:type="dxa"/>
                  <w:tcBorders>
                    <w:tl2br w:val="nil"/>
                    <w:tr2bl w:val="nil"/>
                  </w:tcBorders>
                  <w:noWrap/>
                  <w:vAlign w:val="center"/>
                </w:tcPr>
                <w:p>
                  <w:pPr>
                    <w:spacing w:line="240" w:lineRule="auto"/>
                    <w:jc w:val="center"/>
                    <w:rPr>
                      <w:rFonts w:eastAsia="宋体"/>
                      <w:color w:val="auto"/>
                      <w:szCs w:val="21"/>
                      <w:u w:val="single"/>
                    </w:rPr>
                  </w:pPr>
                  <w:r>
                    <w:rPr>
                      <w:rFonts w:hint="eastAsia"/>
                      <w:color w:val="auto"/>
                      <w:szCs w:val="21"/>
                      <w:u w:val="single"/>
                    </w:rPr>
                    <w:t>原辅材料、产品库</w:t>
                  </w:r>
                </w:p>
              </w:tc>
              <w:tc>
                <w:tcPr>
                  <w:tcW w:w="4722" w:type="dxa"/>
                  <w:tcBorders>
                    <w:tl2br w:val="nil"/>
                    <w:tr2bl w:val="nil"/>
                  </w:tcBorders>
                  <w:noWrap/>
                  <w:vAlign w:val="center"/>
                </w:tcPr>
                <w:p>
                  <w:pPr>
                    <w:spacing w:line="240" w:lineRule="auto"/>
                    <w:jc w:val="left"/>
                    <w:rPr>
                      <w:color w:val="auto"/>
                      <w:u w:val="single"/>
                    </w:rPr>
                  </w:pPr>
                  <w:r>
                    <w:rPr>
                      <w:rFonts w:hint="eastAsia"/>
                      <w:color w:val="auto"/>
                      <w:u w:val="single"/>
                    </w:rPr>
                    <w:t>原辅材料及产品均暂存与生产厂房内相应划定的区域；</w:t>
                  </w:r>
                  <w:r>
                    <w:rPr>
                      <w:rFonts w:hint="eastAsia"/>
                      <w:color w:val="auto"/>
                      <w:szCs w:val="21"/>
                      <w:u w:val="single"/>
                    </w:rPr>
                    <w:t>运输采用社会车辆</w:t>
                  </w:r>
                </w:p>
              </w:tc>
              <w:tc>
                <w:tcPr>
                  <w:tcW w:w="1556" w:type="dxa"/>
                  <w:tcBorders>
                    <w:tl2br w:val="nil"/>
                    <w:tr2bl w:val="nil"/>
                  </w:tcBorders>
                  <w:noWrap/>
                  <w:vAlign w:val="center"/>
                </w:tcPr>
                <w:p>
                  <w:pPr>
                    <w:pStyle w:val="6"/>
                    <w:spacing w:line="240" w:lineRule="auto"/>
                    <w:rPr>
                      <w:b w:val="0"/>
                      <w:color w:val="auto"/>
                      <w:sz w:val="21"/>
                      <w:szCs w:val="21"/>
                      <w:u w:val="single"/>
                    </w:rPr>
                  </w:pPr>
                  <w:r>
                    <w:rPr>
                      <w:rFonts w:hint="eastAsia"/>
                      <w:b w:val="0"/>
                      <w:color w:val="auto"/>
                      <w:sz w:val="21"/>
                      <w:szCs w:val="21"/>
                      <w:u w:val="single"/>
                    </w:rPr>
                    <w:t>不单独建设仓库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52" w:type="dxa"/>
                  <w:vMerge w:val="continue"/>
                  <w:tcBorders>
                    <w:tl2br w:val="nil"/>
                    <w:tr2bl w:val="nil"/>
                  </w:tcBorders>
                  <w:noWrap/>
                  <w:vAlign w:val="center"/>
                </w:tcPr>
                <w:p>
                  <w:pPr>
                    <w:spacing w:line="240" w:lineRule="auto"/>
                    <w:jc w:val="left"/>
                    <w:rPr>
                      <w:rFonts w:hint="eastAsia"/>
                      <w:color w:val="auto"/>
                      <w:szCs w:val="21"/>
                      <w:u w:val="single"/>
                    </w:rPr>
                  </w:pPr>
                </w:p>
              </w:tc>
              <w:tc>
                <w:tcPr>
                  <w:tcW w:w="1475" w:type="dxa"/>
                  <w:tcBorders>
                    <w:tl2br w:val="nil"/>
                    <w:tr2bl w:val="nil"/>
                  </w:tcBorders>
                  <w:noWrap/>
                  <w:vAlign w:val="center"/>
                </w:tcPr>
                <w:p>
                  <w:pPr>
                    <w:spacing w:line="240" w:lineRule="auto"/>
                    <w:jc w:val="center"/>
                    <w:rPr>
                      <w:rFonts w:hint="default" w:eastAsiaTheme="minorEastAsia"/>
                      <w:color w:val="auto"/>
                      <w:szCs w:val="21"/>
                      <w:u w:val="single"/>
                      <w:lang w:val="en-US" w:eastAsia="zh-CN"/>
                    </w:rPr>
                  </w:pPr>
                  <w:r>
                    <w:rPr>
                      <w:rFonts w:hint="eastAsia"/>
                      <w:color w:val="auto"/>
                      <w:szCs w:val="21"/>
                      <w:u w:val="single"/>
                      <w:lang w:val="en-US" w:eastAsia="zh-CN"/>
                    </w:rPr>
                    <w:t>危废暂存间</w:t>
                  </w:r>
                </w:p>
              </w:tc>
              <w:tc>
                <w:tcPr>
                  <w:tcW w:w="4722" w:type="dxa"/>
                  <w:tcBorders>
                    <w:tl2br w:val="nil"/>
                    <w:tr2bl w:val="nil"/>
                  </w:tcBorders>
                  <w:noWrap/>
                  <w:vAlign w:val="center"/>
                </w:tcPr>
                <w:p>
                  <w:pPr>
                    <w:spacing w:line="240" w:lineRule="auto"/>
                    <w:jc w:val="left"/>
                    <w:rPr>
                      <w:rFonts w:hint="default" w:eastAsiaTheme="minorEastAsia"/>
                      <w:color w:val="auto"/>
                      <w:u w:val="single"/>
                      <w:lang w:val="en-US" w:eastAsia="zh-CN"/>
                    </w:rPr>
                  </w:pPr>
                  <w:r>
                    <w:rPr>
                      <w:rFonts w:hint="eastAsia"/>
                      <w:color w:val="auto"/>
                      <w:u w:val="single"/>
                      <w:lang w:val="en-US" w:eastAsia="zh-CN"/>
                    </w:rPr>
                    <w:t>位于项目料仓西南角，面积10m³</w:t>
                  </w:r>
                </w:p>
              </w:tc>
              <w:tc>
                <w:tcPr>
                  <w:tcW w:w="1556" w:type="dxa"/>
                  <w:tcBorders>
                    <w:tl2br w:val="nil"/>
                    <w:tr2bl w:val="nil"/>
                  </w:tcBorders>
                  <w:noWrap/>
                  <w:vAlign w:val="center"/>
                </w:tcPr>
                <w:p>
                  <w:pPr>
                    <w:pStyle w:val="6"/>
                    <w:spacing w:line="240" w:lineRule="auto"/>
                    <w:rPr>
                      <w:rFonts w:hint="default" w:eastAsiaTheme="minorEastAsia"/>
                      <w:b w:val="0"/>
                      <w:color w:val="auto"/>
                      <w:sz w:val="21"/>
                      <w:szCs w:val="21"/>
                      <w:u w:val="single"/>
                      <w:lang w:val="en-US" w:eastAsia="zh-CN"/>
                    </w:rPr>
                  </w:pPr>
                  <w:r>
                    <w:rPr>
                      <w:rFonts w:hint="eastAsia"/>
                      <w:b w:val="0"/>
                      <w:color w:val="auto"/>
                      <w:sz w:val="21"/>
                      <w:szCs w:val="21"/>
                      <w:u w:val="single"/>
                      <w:lang w:val="en-US" w:eastAsia="zh-CN"/>
                    </w:rPr>
                    <w:t>地面防渗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restart"/>
                  <w:tcBorders>
                    <w:tl2br w:val="nil"/>
                    <w:tr2bl w:val="nil"/>
                  </w:tcBorders>
                  <w:noWrap/>
                  <w:vAlign w:val="center"/>
                </w:tcPr>
                <w:p>
                  <w:pPr>
                    <w:spacing w:line="240" w:lineRule="auto"/>
                    <w:jc w:val="left"/>
                    <w:rPr>
                      <w:color w:val="auto"/>
                      <w:szCs w:val="21"/>
                    </w:rPr>
                  </w:pPr>
                  <w:r>
                    <w:rPr>
                      <w:color w:val="auto"/>
                      <w:szCs w:val="21"/>
                    </w:rPr>
                    <w:t>环保工程</w:t>
                  </w:r>
                </w:p>
              </w:tc>
              <w:tc>
                <w:tcPr>
                  <w:tcW w:w="1475" w:type="dxa"/>
                  <w:tcBorders>
                    <w:tl2br w:val="nil"/>
                    <w:tr2bl w:val="nil"/>
                  </w:tcBorders>
                  <w:noWrap/>
                  <w:vAlign w:val="center"/>
                </w:tcPr>
                <w:p>
                  <w:pPr>
                    <w:spacing w:line="240" w:lineRule="auto"/>
                    <w:jc w:val="center"/>
                    <w:rPr>
                      <w:color w:val="auto"/>
                      <w:szCs w:val="21"/>
                    </w:rPr>
                  </w:pPr>
                  <w:r>
                    <w:rPr>
                      <w:rFonts w:hint="eastAsia"/>
                      <w:color w:val="auto"/>
                      <w:szCs w:val="21"/>
                    </w:rPr>
                    <w:t>废水治理</w:t>
                  </w:r>
                </w:p>
              </w:tc>
              <w:tc>
                <w:tcPr>
                  <w:tcW w:w="6278" w:type="dxa"/>
                  <w:gridSpan w:val="2"/>
                  <w:tcBorders>
                    <w:tl2br w:val="nil"/>
                    <w:tr2bl w:val="nil"/>
                  </w:tcBorders>
                  <w:noWrap/>
                  <w:vAlign w:val="center"/>
                </w:tcPr>
                <w:p>
                  <w:pPr>
                    <w:spacing w:line="240" w:lineRule="auto"/>
                    <w:jc w:val="center"/>
                    <w:rPr>
                      <w:color w:val="auto"/>
                      <w:szCs w:val="21"/>
                    </w:rPr>
                  </w:pPr>
                  <w:r>
                    <w:rPr>
                      <w:rFonts w:hint="eastAsia"/>
                      <w:color w:val="auto"/>
                      <w:szCs w:val="21"/>
                    </w:rPr>
                    <w:t>生活污水经化粪池处理后，进入开发区污水管网；</w:t>
                  </w:r>
                </w:p>
                <w:p>
                  <w:pPr>
                    <w:spacing w:line="240" w:lineRule="auto"/>
                    <w:jc w:val="center"/>
                    <w:rPr>
                      <w:color w:val="auto"/>
                      <w:szCs w:val="21"/>
                    </w:rPr>
                  </w:pPr>
                  <w:r>
                    <w:rPr>
                      <w:rFonts w:hint="eastAsia"/>
                      <w:color w:val="auto"/>
                      <w:szCs w:val="21"/>
                    </w:rPr>
                    <w:t>冷却水</w:t>
                  </w:r>
                  <w:r>
                    <w:rPr>
                      <w:rFonts w:hint="eastAsia"/>
                      <w:color w:val="auto"/>
                      <w:szCs w:val="21"/>
                      <w:lang w:eastAsia="zh-CN"/>
                    </w:rPr>
                    <w:t>、</w:t>
                  </w:r>
                  <w:r>
                    <w:rPr>
                      <w:rFonts w:hint="eastAsia"/>
                      <w:color w:val="auto"/>
                      <w:szCs w:val="21"/>
                      <w:lang w:val="en-US" w:eastAsia="zh-CN"/>
                    </w:rPr>
                    <w:t>喷淋水</w:t>
                  </w:r>
                  <w:r>
                    <w:rPr>
                      <w:rFonts w:hint="eastAsia"/>
                      <w:color w:val="auto"/>
                      <w:szCs w:val="21"/>
                    </w:rPr>
                    <w:t>采用循环冷却池冷却后全部循环利用，不外排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continue"/>
                  <w:tcBorders>
                    <w:tl2br w:val="nil"/>
                    <w:tr2bl w:val="nil"/>
                  </w:tcBorders>
                  <w:noWrap/>
                  <w:vAlign w:val="center"/>
                </w:tcPr>
                <w:p>
                  <w:pPr>
                    <w:spacing w:line="240" w:lineRule="auto"/>
                    <w:jc w:val="left"/>
                    <w:rPr>
                      <w:color w:val="auto"/>
                      <w:szCs w:val="21"/>
                    </w:rPr>
                  </w:pPr>
                </w:p>
              </w:tc>
              <w:tc>
                <w:tcPr>
                  <w:tcW w:w="1475" w:type="dxa"/>
                  <w:tcBorders>
                    <w:tl2br w:val="nil"/>
                    <w:tr2bl w:val="nil"/>
                  </w:tcBorders>
                  <w:noWrap/>
                  <w:vAlign w:val="center"/>
                </w:tcPr>
                <w:p>
                  <w:pPr>
                    <w:spacing w:line="240" w:lineRule="auto"/>
                    <w:jc w:val="center"/>
                    <w:rPr>
                      <w:color w:val="auto"/>
                      <w:szCs w:val="21"/>
                    </w:rPr>
                  </w:pPr>
                  <w:r>
                    <w:rPr>
                      <w:rFonts w:hint="eastAsia"/>
                      <w:color w:val="auto"/>
                      <w:szCs w:val="21"/>
                    </w:rPr>
                    <w:t>废气治理</w:t>
                  </w:r>
                </w:p>
              </w:tc>
              <w:tc>
                <w:tcPr>
                  <w:tcW w:w="6278" w:type="dxa"/>
                  <w:gridSpan w:val="2"/>
                  <w:tcBorders>
                    <w:tl2br w:val="nil"/>
                    <w:tr2bl w:val="nil"/>
                  </w:tcBorders>
                  <w:noWrap/>
                  <w:vAlign w:val="center"/>
                </w:tcPr>
                <w:p>
                  <w:pPr>
                    <w:spacing w:line="240" w:lineRule="auto"/>
                    <w:rPr>
                      <w:color w:val="auto"/>
                      <w:szCs w:val="21"/>
                    </w:rPr>
                  </w:pPr>
                  <w:r>
                    <w:rPr>
                      <w:rFonts w:hint="eastAsia"/>
                      <w:color w:val="auto"/>
                      <w:szCs w:val="21"/>
                    </w:rPr>
                    <w:t>①有机废气：</w:t>
                  </w:r>
                  <w:r>
                    <w:rPr>
                      <w:rFonts w:hint="eastAsia"/>
                      <w:color w:val="auto"/>
                      <w:szCs w:val="21"/>
                      <w:lang w:val="en-US" w:eastAsia="zh-CN"/>
                    </w:rPr>
                    <w:t>厂房封闭+喷淋+UV光氧催化+活性炭吸附+15米高排气筒；</w:t>
                  </w:r>
                </w:p>
                <w:p>
                  <w:pPr>
                    <w:spacing w:line="240" w:lineRule="auto"/>
                    <w:rPr>
                      <w:rFonts w:hint="eastAsia" w:eastAsiaTheme="minorEastAsia"/>
                      <w:color w:val="auto"/>
                      <w:szCs w:val="21"/>
                      <w:lang w:eastAsia="zh-CN"/>
                    </w:rPr>
                  </w:pPr>
                  <w:r>
                    <w:rPr>
                      <w:rFonts w:hint="eastAsia"/>
                      <w:color w:val="auto"/>
                      <w:szCs w:val="21"/>
                    </w:rPr>
                    <w:t>②破碎</w:t>
                  </w:r>
                  <w:r>
                    <w:rPr>
                      <w:rFonts w:hint="eastAsia"/>
                      <w:color w:val="auto"/>
                      <w:szCs w:val="21"/>
                      <w:lang w:eastAsia="zh-CN"/>
                    </w:rPr>
                    <w:t>、</w:t>
                  </w:r>
                  <w:r>
                    <w:rPr>
                      <w:rFonts w:hint="eastAsia"/>
                      <w:color w:val="auto"/>
                      <w:szCs w:val="21"/>
                      <w:lang w:val="en-US" w:eastAsia="zh-CN"/>
                    </w:rPr>
                    <w:t>切割</w:t>
                  </w:r>
                  <w:r>
                    <w:rPr>
                      <w:rFonts w:hint="eastAsia"/>
                      <w:color w:val="auto"/>
                      <w:szCs w:val="21"/>
                    </w:rPr>
                    <w:t>粉尘：</w:t>
                  </w:r>
                  <w:r>
                    <w:rPr>
                      <w:rFonts w:hint="eastAsia"/>
                      <w:color w:val="auto"/>
                      <w:szCs w:val="21"/>
                      <w:lang w:val="en-US" w:eastAsia="zh-CN"/>
                    </w:rPr>
                    <w:t>厂房封闭+</w:t>
                  </w:r>
                  <w:r>
                    <w:rPr>
                      <w:rFonts w:hint="eastAsia"/>
                      <w:color w:val="auto"/>
                      <w:szCs w:val="21"/>
                    </w:rPr>
                    <w:t>集气罩+布袋除尘器+</w:t>
                  </w:r>
                  <w:r>
                    <w:rPr>
                      <w:rFonts w:hint="eastAsia"/>
                      <w:color w:val="auto"/>
                      <w:szCs w:val="21"/>
                      <w:lang w:val="en-US" w:eastAsia="zh-CN"/>
                    </w:rPr>
                    <w:t>喷淋+</w:t>
                  </w:r>
                  <w:r>
                    <w:rPr>
                      <w:rFonts w:hint="eastAsia"/>
                      <w:color w:val="auto"/>
                      <w:szCs w:val="21"/>
                    </w:rPr>
                    <w:t>15m排气筒</w:t>
                  </w:r>
                  <w:r>
                    <w:rPr>
                      <w:rFonts w:hint="eastAsia"/>
                      <w:color w:val="auto"/>
                    </w:rPr>
                    <w:t>（与</w:t>
                  </w:r>
                  <w:r>
                    <w:rPr>
                      <w:rFonts w:hint="eastAsia"/>
                      <w:color w:val="auto"/>
                      <w:lang w:val="en-US" w:eastAsia="zh-CN"/>
                    </w:rPr>
                    <w:t>有机废气</w:t>
                  </w:r>
                  <w:r>
                    <w:rPr>
                      <w:rFonts w:hint="eastAsia"/>
                      <w:color w:val="auto"/>
                    </w:rPr>
                    <w:t>收集共用一根排气筒）</w:t>
                  </w:r>
                  <w:r>
                    <w:rPr>
                      <w:rFonts w:hint="eastAsia"/>
                      <w:color w:val="auto"/>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vMerge w:val="continue"/>
                  <w:tcBorders>
                    <w:tl2br w:val="nil"/>
                    <w:tr2bl w:val="nil"/>
                  </w:tcBorders>
                  <w:noWrap/>
                  <w:vAlign w:val="center"/>
                </w:tcPr>
                <w:p>
                  <w:pPr>
                    <w:spacing w:line="240" w:lineRule="auto"/>
                    <w:jc w:val="left"/>
                    <w:rPr>
                      <w:color w:val="auto"/>
                      <w:szCs w:val="21"/>
                    </w:rPr>
                  </w:pPr>
                </w:p>
              </w:tc>
              <w:tc>
                <w:tcPr>
                  <w:tcW w:w="1475" w:type="dxa"/>
                  <w:tcBorders>
                    <w:tl2br w:val="nil"/>
                    <w:tr2bl w:val="nil"/>
                  </w:tcBorders>
                  <w:noWrap/>
                  <w:vAlign w:val="center"/>
                </w:tcPr>
                <w:p>
                  <w:pPr>
                    <w:spacing w:line="240" w:lineRule="auto"/>
                    <w:jc w:val="center"/>
                    <w:rPr>
                      <w:color w:val="auto"/>
                      <w:szCs w:val="21"/>
                    </w:rPr>
                  </w:pPr>
                  <w:r>
                    <w:rPr>
                      <w:rFonts w:hint="eastAsia"/>
                      <w:color w:val="auto"/>
                      <w:szCs w:val="21"/>
                    </w:rPr>
                    <w:t>噪声治理</w:t>
                  </w:r>
                </w:p>
              </w:tc>
              <w:tc>
                <w:tcPr>
                  <w:tcW w:w="6278" w:type="dxa"/>
                  <w:gridSpan w:val="2"/>
                  <w:tcBorders>
                    <w:tl2br w:val="nil"/>
                    <w:tr2bl w:val="nil"/>
                  </w:tcBorders>
                  <w:noWrap/>
                  <w:vAlign w:val="center"/>
                </w:tcPr>
                <w:p>
                  <w:pPr>
                    <w:spacing w:line="240" w:lineRule="auto"/>
                    <w:jc w:val="center"/>
                    <w:rPr>
                      <w:rFonts w:eastAsia="宋体"/>
                      <w:color w:val="auto"/>
                      <w:szCs w:val="21"/>
                    </w:rPr>
                  </w:pPr>
                  <w:r>
                    <w:rPr>
                      <w:rFonts w:hint="eastAsia"/>
                      <w:color w:val="auto"/>
                      <w:szCs w:val="21"/>
                    </w:rPr>
                    <w:t>合理布局、生产车间密闭、减震垫、运行关闭门窗等措施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2" w:type="dxa"/>
                  <w:vMerge w:val="continue"/>
                  <w:tcBorders>
                    <w:tl2br w:val="nil"/>
                    <w:tr2bl w:val="nil"/>
                  </w:tcBorders>
                  <w:noWrap/>
                  <w:vAlign w:val="center"/>
                </w:tcPr>
                <w:p>
                  <w:pPr>
                    <w:spacing w:line="240" w:lineRule="auto"/>
                    <w:jc w:val="left"/>
                    <w:rPr>
                      <w:color w:val="auto"/>
                      <w:szCs w:val="21"/>
                    </w:rPr>
                  </w:pPr>
                </w:p>
              </w:tc>
              <w:tc>
                <w:tcPr>
                  <w:tcW w:w="1475" w:type="dxa"/>
                  <w:tcBorders>
                    <w:tl2br w:val="nil"/>
                    <w:tr2bl w:val="nil"/>
                  </w:tcBorders>
                  <w:noWrap/>
                  <w:vAlign w:val="center"/>
                </w:tcPr>
                <w:p>
                  <w:pPr>
                    <w:spacing w:line="240" w:lineRule="auto"/>
                    <w:jc w:val="center"/>
                    <w:rPr>
                      <w:color w:val="auto"/>
                      <w:szCs w:val="21"/>
                    </w:rPr>
                  </w:pPr>
                  <w:r>
                    <w:rPr>
                      <w:color w:val="auto"/>
                      <w:szCs w:val="21"/>
                    </w:rPr>
                    <w:t>固废处理</w:t>
                  </w:r>
                </w:p>
              </w:tc>
              <w:tc>
                <w:tcPr>
                  <w:tcW w:w="6278" w:type="dxa"/>
                  <w:gridSpan w:val="2"/>
                  <w:tcBorders>
                    <w:tl2br w:val="nil"/>
                    <w:tr2bl w:val="nil"/>
                  </w:tcBorders>
                  <w:noWrap/>
                  <w:vAlign w:val="center"/>
                </w:tcPr>
                <w:p>
                  <w:pPr>
                    <w:spacing w:line="240" w:lineRule="auto"/>
                    <w:jc w:val="left"/>
                    <w:rPr>
                      <w:rFonts w:eastAsia="宋体"/>
                      <w:color w:val="auto"/>
                      <w:szCs w:val="21"/>
                    </w:rPr>
                  </w:pPr>
                  <w:r>
                    <w:rPr>
                      <w:color w:val="auto"/>
                      <w:szCs w:val="21"/>
                    </w:rPr>
                    <w:t>生活垃圾</w:t>
                  </w:r>
                  <w:r>
                    <w:rPr>
                      <w:rFonts w:hint="eastAsia"/>
                      <w:color w:val="auto"/>
                      <w:szCs w:val="21"/>
                    </w:rPr>
                    <w:t>经垃圾桶收集，</w:t>
                  </w:r>
                  <w:r>
                    <w:rPr>
                      <w:color w:val="auto"/>
                      <w:szCs w:val="21"/>
                    </w:rPr>
                    <w:t>由当地环卫部门送至生活垃圾填埋场处理</w:t>
                  </w:r>
                  <w:r>
                    <w:rPr>
                      <w:rFonts w:hint="eastAsia"/>
                      <w:color w:val="auto"/>
                      <w:szCs w:val="21"/>
                    </w:rPr>
                    <w:t>；生产过程中产生的废活性炭等危废暂存于危废</w:t>
                  </w:r>
                  <w:r>
                    <w:rPr>
                      <w:rFonts w:hint="eastAsia"/>
                      <w:color w:val="auto"/>
                      <w:szCs w:val="21"/>
                      <w:lang w:val="en-US" w:eastAsia="zh-CN"/>
                    </w:rPr>
                    <w:t>间（</w:t>
                  </w:r>
                  <w:r>
                    <w:rPr>
                      <w:rFonts w:hint="eastAsia"/>
                      <w:color w:val="auto"/>
                      <w:u w:val="none"/>
                      <w:lang w:val="en-US" w:eastAsia="zh-CN"/>
                    </w:rPr>
                    <w:t>位于项目料仓西南角，面积10m³</w:t>
                  </w:r>
                  <w:r>
                    <w:rPr>
                      <w:rFonts w:hint="eastAsia"/>
                      <w:color w:val="auto"/>
                      <w:szCs w:val="21"/>
                      <w:lang w:val="en-US" w:eastAsia="zh-CN"/>
                    </w:rPr>
                    <w:t>）</w:t>
                  </w:r>
                  <w:r>
                    <w:rPr>
                      <w:rFonts w:hint="eastAsia"/>
                      <w:color w:val="auto"/>
                      <w:szCs w:val="21"/>
                    </w:rPr>
                    <w:t>，定期交由有资质单位处置；其他一般固废暂存于一般固废区，定期出售综合利用</w:t>
                  </w:r>
                  <w:r>
                    <w:rPr>
                      <w:rFonts w:hint="eastAsia"/>
                      <w:color w:val="auto"/>
                      <w:szCs w:val="21"/>
                      <w:lang w:eastAsia="zh-CN"/>
                    </w:rPr>
                    <w:t>，</w:t>
                  </w:r>
                  <w:r>
                    <w:rPr>
                      <w:rFonts w:hint="eastAsia"/>
                      <w:color w:val="auto"/>
                      <w:szCs w:val="21"/>
                      <w:lang w:val="en-US" w:eastAsia="zh-CN"/>
                    </w:rPr>
                    <w:t>废灯管由厂家更换后及时带走，不在厂区储存</w:t>
                  </w:r>
                  <w:r>
                    <w:rPr>
                      <w:rFonts w:hint="eastAsia"/>
                      <w:color w:val="auto"/>
                      <w:szCs w:val="21"/>
                    </w:rPr>
                    <w:t>。</w:t>
                  </w:r>
                </w:p>
              </w:tc>
            </w:tr>
          </w:tbl>
          <w:p>
            <w:pPr>
              <w:spacing w:line="360" w:lineRule="auto"/>
              <w:rPr>
                <w:rFonts w:ascii="Times New Roman" w:hAnsi="Times New Roman"/>
                <w:b/>
                <w:color w:val="auto"/>
                <w:sz w:val="24"/>
                <w:szCs w:val="24"/>
              </w:rPr>
            </w:pPr>
            <w:r>
              <w:rPr>
                <w:rFonts w:hint="eastAsia" w:ascii="Times New Roman" w:hAnsi="Times New Roman"/>
                <w:b/>
                <w:color w:val="auto"/>
                <w:sz w:val="24"/>
                <w:szCs w:val="20"/>
              </w:rPr>
              <w:t>2.</w:t>
            </w:r>
            <w:r>
              <w:rPr>
                <w:rFonts w:ascii="Times New Roman" w:hAnsi="Times New Roman"/>
                <w:b/>
                <w:color w:val="auto"/>
                <w:sz w:val="24"/>
                <w:szCs w:val="24"/>
              </w:rPr>
              <w:t>3主要设备</w:t>
            </w:r>
          </w:p>
          <w:p>
            <w:pPr>
              <w:spacing w:line="360" w:lineRule="auto"/>
              <w:ind w:firstLine="480" w:firstLineChars="200"/>
              <w:rPr>
                <w:color w:val="auto"/>
                <w:sz w:val="24"/>
              </w:rPr>
            </w:pPr>
            <w:r>
              <w:rPr>
                <w:rFonts w:hAnsi="宋体"/>
                <w:color w:val="auto"/>
                <w:sz w:val="24"/>
              </w:rPr>
              <w:t>本项目主要生产设备见</w:t>
            </w:r>
            <w:r>
              <w:rPr>
                <w:rFonts w:hint="eastAsia" w:hAnsi="宋体"/>
                <w:color w:val="auto"/>
                <w:sz w:val="24"/>
              </w:rPr>
              <w:t>下</w:t>
            </w:r>
            <w:r>
              <w:rPr>
                <w:rFonts w:hAnsi="宋体"/>
                <w:color w:val="auto"/>
                <w:sz w:val="24"/>
              </w:rPr>
              <w:t>表</w:t>
            </w:r>
            <w:r>
              <w:rPr>
                <w:rFonts w:hint="eastAsia" w:hAnsi="宋体"/>
                <w:color w:val="auto"/>
                <w:sz w:val="24"/>
              </w:rPr>
              <w:t>2-</w:t>
            </w:r>
            <w:r>
              <w:rPr>
                <w:rFonts w:hint="eastAsia"/>
                <w:color w:val="auto"/>
                <w:sz w:val="24"/>
              </w:rPr>
              <w:t>2</w:t>
            </w:r>
            <w:r>
              <w:rPr>
                <w:rFonts w:hAnsi="宋体"/>
                <w:color w:val="auto"/>
                <w:sz w:val="24"/>
              </w:rPr>
              <w:t>。</w:t>
            </w:r>
          </w:p>
          <w:p>
            <w:pPr>
              <w:ind w:firstLine="3125" w:firstLineChars="1297"/>
              <w:rPr>
                <w:color w:val="auto"/>
                <w:sz w:val="24"/>
              </w:rPr>
            </w:pPr>
            <w:r>
              <w:rPr>
                <w:rFonts w:hAnsi="宋体"/>
                <w:b/>
                <w:color w:val="auto"/>
                <w:sz w:val="24"/>
              </w:rPr>
              <w:t>表</w:t>
            </w:r>
            <w:r>
              <w:rPr>
                <w:rFonts w:hint="eastAsia" w:hAnsi="宋体"/>
                <w:b/>
                <w:color w:val="auto"/>
                <w:sz w:val="24"/>
              </w:rPr>
              <w:t>2-</w:t>
            </w:r>
            <w:r>
              <w:rPr>
                <w:rFonts w:hint="eastAsia"/>
                <w:b/>
                <w:color w:val="auto"/>
                <w:sz w:val="24"/>
              </w:rPr>
              <w:t>2项目</w:t>
            </w:r>
            <w:r>
              <w:rPr>
                <w:b/>
                <w:color w:val="auto"/>
                <w:sz w:val="24"/>
              </w:rPr>
              <w:t>主要生产设备</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14"/>
              <w:gridCol w:w="2623"/>
              <w:gridCol w:w="1660"/>
              <w:gridCol w:w="1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b/>
                      <w:bCs/>
                      <w:color w:val="auto"/>
                      <w:kern w:val="0"/>
                      <w:szCs w:val="21"/>
                    </w:rPr>
                  </w:pPr>
                  <w:r>
                    <w:rPr>
                      <w:b/>
                      <w:bCs/>
                      <w:color w:val="auto"/>
                      <w:kern w:val="0"/>
                      <w:szCs w:val="21"/>
                    </w:rPr>
                    <w:t>序号</w:t>
                  </w:r>
                </w:p>
              </w:tc>
              <w:tc>
                <w:tcPr>
                  <w:tcW w:w="1714" w:type="dxa"/>
                  <w:tcBorders>
                    <w:tl2br w:val="nil"/>
                    <w:tr2bl w:val="nil"/>
                  </w:tcBorders>
                  <w:noWrap/>
                  <w:vAlign w:val="center"/>
                </w:tcPr>
                <w:p>
                  <w:pPr>
                    <w:widowControl/>
                    <w:jc w:val="center"/>
                    <w:rPr>
                      <w:b/>
                      <w:bCs/>
                      <w:color w:val="auto"/>
                      <w:kern w:val="0"/>
                      <w:szCs w:val="21"/>
                    </w:rPr>
                  </w:pPr>
                  <w:r>
                    <w:rPr>
                      <w:b/>
                      <w:bCs/>
                      <w:color w:val="auto"/>
                      <w:kern w:val="0"/>
                      <w:szCs w:val="21"/>
                    </w:rPr>
                    <w:t>名称</w:t>
                  </w:r>
                </w:p>
              </w:tc>
              <w:tc>
                <w:tcPr>
                  <w:tcW w:w="2623" w:type="dxa"/>
                  <w:tcBorders>
                    <w:tl2br w:val="nil"/>
                    <w:tr2bl w:val="nil"/>
                  </w:tcBorders>
                  <w:noWrap/>
                  <w:vAlign w:val="center"/>
                </w:tcPr>
                <w:p>
                  <w:pPr>
                    <w:widowControl/>
                    <w:jc w:val="center"/>
                    <w:rPr>
                      <w:b/>
                      <w:bCs/>
                      <w:color w:val="auto"/>
                      <w:kern w:val="0"/>
                      <w:szCs w:val="21"/>
                    </w:rPr>
                  </w:pPr>
                  <w:r>
                    <w:rPr>
                      <w:rFonts w:hint="eastAsia"/>
                      <w:b/>
                      <w:bCs/>
                      <w:color w:val="auto"/>
                      <w:kern w:val="0"/>
                      <w:szCs w:val="21"/>
                    </w:rPr>
                    <w:t>型号</w:t>
                  </w:r>
                </w:p>
              </w:tc>
              <w:tc>
                <w:tcPr>
                  <w:tcW w:w="1660" w:type="dxa"/>
                  <w:tcBorders>
                    <w:tl2br w:val="nil"/>
                    <w:tr2bl w:val="nil"/>
                  </w:tcBorders>
                  <w:noWrap/>
                  <w:vAlign w:val="center"/>
                </w:tcPr>
                <w:p>
                  <w:pPr>
                    <w:widowControl/>
                    <w:jc w:val="center"/>
                    <w:rPr>
                      <w:b/>
                      <w:bCs/>
                      <w:color w:val="auto"/>
                      <w:kern w:val="0"/>
                      <w:szCs w:val="21"/>
                    </w:rPr>
                  </w:pPr>
                  <w:r>
                    <w:rPr>
                      <w:rFonts w:hint="eastAsia"/>
                      <w:b/>
                      <w:bCs/>
                      <w:color w:val="auto"/>
                      <w:kern w:val="0"/>
                      <w:szCs w:val="21"/>
                    </w:rPr>
                    <w:t>数量</w:t>
                  </w:r>
                </w:p>
              </w:tc>
              <w:tc>
                <w:tcPr>
                  <w:tcW w:w="1533" w:type="dxa"/>
                  <w:tcBorders>
                    <w:tl2br w:val="nil"/>
                    <w:tr2bl w:val="nil"/>
                  </w:tcBorders>
                  <w:noWrap/>
                  <w:vAlign w:val="center"/>
                </w:tcPr>
                <w:p>
                  <w:pPr>
                    <w:widowControl/>
                    <w:jc w:val="center"/>
                    <w:rPr>
                      <w:color w:val="auto"/>
                    </w:rPr>
                  </w:pPr>
                  <w:r>
                    <w:rPr>
                      <w:rFonts w:hint="eastAsia"/>
                      <w:b/>
                      <w:bCs/>
                      <w:color w:val="auto"/>
                      <w:kern w:val="0"/>
                      <w:szCs w:val="21"/>
                    </w:rPr>
                    <w:t>布置位置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tcBorders>
                    <w:tl2br w:val="nil"/>
                    <w:tr2bl w:val="nil"/>
                  </w:tcBorders>
                  <w:noWrap/>
                  <w:vAlign w:val="center"/>
                </w:tcPr>
                <w:p>
                  <w:pPr>
                    <w:widowControl/>
                    <w:jc w:val="center"/>
                    <w:rPr>
                      <w:color w:val="auto"/>
                      <w:kern w:val="0"/>
                      <w:szCs w:val="21"/>
                    </w:rPr>
                  </w:pPr>
                  <w:r>
                    <w:rPr>
                      <w:color w:val="auto"/>
                      <w:kern w:val="0"/>
                      <w:szCs w:val="21"/>
                    </w:rPr>
                    <w:t>1</w:t>
                  </w:r>
                </w:p>
              </w:tc>
              <w:tc>
                <w:tcPr>
                  <w:tcW w:w="1714" w:type="dxa"/>
                  <w:tcBorders>
                    <w:tl2br w:val="nil"/>
                    <w:tr2bl w:val="nil"/>
                  </w:tcBorders>
                  <w:noWrap/>
                  <w:vAlign w:val="center"/>
                </w:tcPr>
                <w:p>
                  <w:pPr>
                    <w:widowControl/>
                    <w:jc w:val="center"/>
                    <w:textAlignment w:val="center"/>
                    <w:rPr>
                      <w:rFonts w:eastAsia="宋体"/>
                      <w:color w:val="auto"/>
                      <w:kern w:val="0"/>
                      <w:szCs w:val="21"/>
                    </w:rPr>
                  </w:pPr>
                  <w:r>
                    <w:rPr>
                      <w:rFonts w:hint="eastAsia" w:ascii="宋体" w:hAnsi="宋体" w:cs="宋体"/>
                      <w:color w:val="auto"/>
                      <w:kern w:val="0"/>
                      <w:szCs w:val="21"/>
                    </w:rPr>
                    <w:t>混料罐</w:t>
                  </w:r>
                </w:p>
              </w:tc>
              <w:tc>
                <w:tcPr>
                  <w:tcW w:w="2623"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1*1*1</w:t>
                  </w:r>
                </w:p>
              </w:tc>
              <w:tc>
                <w:tcPr>
                  <w:tcW w:w="1660"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1个</w:t>
                  </w:r>
                </w:p>
              </w:tc>
              <w:tc>
                <w:tcPr>
                  <w:tcW w:w="1533" w:type="dxa"/>
                  <w:tcBorders>
                    <w:tl2br w:val="nil"/>
                    <w:tr2bl w:val="nil"/>
                  </w:tcBorders>
                  <w:noWrap/>
                  <w:vAlign w:val="center"/>
                </w:tcPr>
                <w:p>
                  <w:pPr>
                    <w:widowControl/>
                    <w:jc w:val="center"/>
                    <w:rPr>
                      <w:rFonts w:eastAsia="宋体"/>
                      <w:color w:val="auto"/>
                    </w:rPr>
                  </w:pPr>
                  <w:r>
                    <w:rPr>
                      <w:rFonts w:hint="eastAsia" w:eastAsia="宋体"/>
                      <w:color w:val="auto"/>
                    </w:rPr>
                    <w:t>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2</w:t>
                  </w:r>
                </w:p>
              </w:tc>
              <w:tc>
                <w:tcPr>
                  <w:tcW w:w="1714" w:type="dxa"/>
                  <w:tcBorders>
                    <w:tl2br w:val="nil"/>
                    <w:tr2bl w:val="nil"/>
                  </w:tcBorders>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挤塑机</w:t>
                  </w:r>
                </w:p>
              </w:tc>
              <w:tc>
                <w:tcPr>
                  <w:tcW w:w="2623" w:type="dxa"/>
                  <w:tcBorders>
                    <w:tl2br w:val="nil"/>
                    <w:tr2bl w:val="nil"/>
                  </w:tcBorders>
                  <w:noWrap/>
                  <w:vAlign w:val="center"/>
                </w:tcPr>
                <w:p>
                  <w:pPr>
                    <w:widowControl/>
                    <w:jc w:val="center"/>
                    <w:rPr>
                      <w:rFonts w:eastAsia="宋体"/>
                      <w:color w:val="auto"/>
                      <w:kern w:val="0"/>
                      <w:szCs w:val="21"/>
                    </w:rPr>
                  </w:pPr>
                  <w:r>
                    <w:rPr>
                      <w:rFonts w:hint="eastAsia" w:ascii="宋体" w:hAnsi="宋体" w:eastAsia="宋体" w:cs="宋体"/>
                      <w:color w:val="auto"/>
                      <w:kern w:val="0"/>
                      <w:szCs w:val="21"/>
                    </w:rPr>
                    <w:t>TSH-65P</w:t>
                  </w:r>
                </w:p>
              </w:tc>
              <w:tc>
                <w:tcPr>
                  <w:tcW w:w="1660" w:type="dxa"/>
                  <w:tcBorders>
                    <w:tl2br w:val="nil"/>
                    <w:tr2bl w:val="nil"/>
                  </w:tcBorders>
                  <w:noWrap/>
                  <w:vAlign w:val="center"/>
                </w:tcPr>
                <w:p>
                  <w:pPr>
                    <w:widowControl/>
                    <w:jc w:val="center"/>
                    <w:rPr>
                      <w:color w:val="auto"/>
                      <w:kern w:val="0"/>
                      <w:szCs w:val="21"/>
                    </w:rPr>
                  </w:pPr>
                  <w:r>
                    <w:rPr>
                      <w:rFonts w:hint="eastAsia" w:ascii="宋体" w:hAnsi="宋体" w:eastAsia="宋体" w:cs="宋体"/>
                      <w:color w:val="auto"/>
                      <w:kern w:val="0"/>
                      <w:szCs w:val="21"/>
                    </w:rPr>
                    <w:t>1台</w:t>
                  </w:r>
                </w:p>
              </w:tc>
              <w:tc>
                <w:tcPr>
                  <w:tcW w:w="1533" w:type="dxa"/>
                  <w:tcBorders>
                    <w:tl2br w:val="nil"/>
                    <w:tr2bl w:val="nil"/>
                  </w:tcBorders>
                  <w:noWrap/>
                  <w:vAlign w:val="center"/>
                </w:tcPr>
                <w:p>
                  <w:pPr>
                    <w:widowControl/>
                    <w:jc w:val="center"/>
                    <w:rPr>
                      <w:rFonts w:eastAsia="宋体"/>
                      <w:color w:val="auto"/>
                    </w:rPr>
                  </w:pPr>
                  <w:r>
                    <w:rPr>
                      <w:rFonts w:hint="eastAsia" w:eastAsia="宋体"/>
                      <w:color w:val="auto"/>
                    </w:rPr>
                    <w:t>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color w:val="auto"/>
                      <w:kern w:val="0"/>
                      <w:szCs w:val="21"/>
                    </w:rPr>
                  </w:pPr>
                  <w:r>
                    <w:rPr>
                      <w:rFonts w:hint="eastAsia"/>
                      <w:color w:val="auto"/>
                      <w:kern w:val="0"/>
                      <w:szCs w:val="21"/>
                    </w:rPr>
                    <w:t>3</w:t>
                  </w:r>
                </w:p>
              </w:tc>
              <w:tc>
                <w:tcPr>
                  <w:tcW w:w="1714" w:type="dxa"/>
                  <w:tcBorders>
                    <w:tl2br w:val="nil"/>
                    <w:tr2bl w:val="nil"/>
                  </w:tcBorders>
                  <w:noWrap/>
                  <w:vAlign w:val="center"/>
                </w:tcPr>
                <w:p>
                  <w:pPr>
                    <w:widowControl/>
                    <w:jc w:val="center"/>
                    <w:textAlignment w:val="center"/>
                    <w:rPr>
                      <w:rFonts w:ascii="宋体" w:hAnsi="宋体" w:eastAsia="宋体" w:cs="宋体"/>
                      <w:color w:val="auto"/>
                      <w:kern w:val="0"/>
                      <w:szCs w:val="21"/>
                    </w:rPr>
                  </w:pPr>
                  <w:r>
                    <w:rPr>
                      <w:rFonts w:ascii="宋体" w:hAnsi="宋体" w:eastAsia="宋体" w:cs="宋体"/>
                      <w:color w:val="auto"/>
                      <w:kern w:val="0"/>
                      <w:szCs w:val="21"/>
                    </w:rPr>
                    <w:t>切割机</w:t>
                  </w:r>
                </w:p>
              </w:tc>
              <w:tc>
                <w:tcPr>
                  <w:tcW w:w="2623" w:type="dxa"/>
                  <w:tcBorders>
                    <w:tl2br w:val="nil"/>
                    <w:tr2bl w:val="nil"/>
                  </w:tcBorders>
                  <w:noWrap/>
                  <w:vAlign w:val="center"/>
                </w:tcPr>
                <w:p>
                  <w:pPr>
                    <w:widowControl/>
                    <w:jc w:val="center"/>
                    <w:rPr>
                      <w:rFonts w:eastAsia="宋体"/>
                      <w:color w:val="auto"/>
                      <w:kern w:val="0"/>
                      <w:szCs w:val="21"/>
                    </w:rPr>
                  </w:pPr>
                  <w:r>
                    <w:rPr>
                      <w:rFonts w:ascii="宋体" w:hAnsi="宋体" w:eastAsia="宋体" w:cs="宋体"/>
                      <w:color w:val="auto"/>
                      <w:kern w:val="0"/>
                      <w:szCs w:val="21"/>
                    </w:rPr>
                    <w:t>KSR-7838-24</w:t>
                  </w:r>
                </w:p>
              </w:tc>
              <w:tc>
                <w:tcPr>
                  <w:tcW w:w="1660" w:type="dxa"/>
                  <w:tcBorders>
                    <w:tl2br w:val="nil"/>
                    <w:tr2bl w:val="nil"/>
                  </w:tcBorders>
                  <w:noWrap/>
                  <w:vAlign w:val="center"/>
                </w:tcPr>
                <w:p>
                  <w:pPr>
                    <w:widowControl/>
                    <w:jc w:val="center"/>
                    <w:rPr>
                      <w:color w:val="auto"/>
                      <w:kern w:val="0"/>
                      <w:szCs w:val="21"/>
                    </w:rPr>
                  </w:pPr>
                  <w:r>
                    <w:rPr>
                      <w:rFonts w:hint="eastAsia"/>
                      <w:color w:val="auto"/>
                      <w:kern w:val="0"/>
                      <w:szCs w:val="21"/>
                    </w:rPr>
                    <w:t>1台</w:t>
                  </w:r>
                </w:p>
              </w:tc>
              <w:tc>
                <w:tcPr>
                  <w:tcW w:w="1533" w:type="dxa"/>
                  <w:tcBorders>
                    <w:tl2br w:val="nil"/>
                    <w:tr2bl w:val="nil"/>
                  </w:tcBorders>
                  <w:noWrap/>
                  <w:vAlign w:val="center"/>
                </w:tcPr>
                <w:p>
                  <w:pPr>
                    <w:widowControl/>
                    <w:jc w:val="center"/>
                    <w:rPr>
                      <w:rFonts w:eastAsia="宋体"/>
                      <w:color w:val="auto"/>
                    </w:rPr>
                  </w:pPr>
                  <w:r>
                    <w:rPr>
                      <w:rFonts w:hint="eastAsia" w:eastAsia="宋体"/>
                      <w:color w:val="auto"/>
                    </w:rPr>
                    <w:t>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4</w:t>
                  </w:r>
                </w:p>
              </w:tc>
              <w:tc>
                <w:tcPr>
                  <w:tcW w:w="1714" w:type="dxa"/>
                  <w:tcBorders>
                    <w:tl2br w:val="nil"/>
                    <w:tr2bl w:val="nil"/>
                  </w:tcBorders>
                  <w:noWrap/>
                  <w:vAlign w:val="center"/>
                </w:tcPr>
                <w:p>
                  <w:pPr>
                    <w:widowControl/>
                    <w:jc w:val="center"/>
                    <w:textAlignment w:val="center"/>
                    <w:rPr>
                      <w:color w:val="auto"/>
                      <w:kern w:val="0"/>
                      <w:szCs w:val="21"/>
                    </w:rPr>
                  </w:pPr>
                  <w:r>
                    <w:rPr>
                      <w:rFonts w:hint="eastAsia"/>
                      <w:color w:val="auto"/>
                      <w:kern w:val="0"/>
                      <w:szCs w:val="21"/>
                    </w:rPr>
                    <w:t>压花机</w:t>
                  </w:r>
                </w:p>
              </w:tc>
              <w:tc>
                <w:tcPr>
                  <w:tcW w:w="2623" w:type="dxa"/>
                  <w:tcBorders>
                    <w:tl2br w:val="nil"/>
                    <w:tr2bl w:val="nil"/>
                  </w:tcBorders>
                  <w:noWrap/>
                  <w:vAlign w:val="center"/>
                </w:tcPr>
                <w:p>
                  <w:pPr>
                    <w:widowControl/>
                    <w:jc w:val="center"/>
                    <w:rPr>
                      <w:color w:val="auto"/>
                      <w:kern w:val="0"/>
                      <w:szCs w:val="21"/>
                    </w:rPr>
                  </w:pPr>
                  <w:r>
                    <w:rPr>
                      <w:rFonts w:hint="eastAsia"/>
                      <w:color w:val="auto"/>
                      <w:kern w:val="0"/>
                      <w:szCs w:val="21"/>
                    </w:rPr>
                    <w:t>YX2350</w:t>
                  </w:r>
                </w:p>
              </w:tc>
              <w:tc>
                <w:tcPr>
                  <w:tcW w:w="1660" w:type="dxa"/>
                  <w:tcBorders>
                    <w:tl2br w:val="nil"/>
                    <w:tr2bl w:val="nil"/>
                  </w:tcBorders>
                  <w:noWrap/>
                  <w:vAlign w:val="center"/>
                </w:tcPr>
                <w:p>
                  <w:pPr>
                    <w:widowControl/>
                    <w:jc w:val="center"/>
                    <w:rPr>
                      <w:color w:val="auto"/>
                      <w:kern w:val="0"/>
                      <w:szCs w:val="21"/>
                    </w:rPr>
                  </w:pPr>
                  <w:r>
                    <w:rPr>
                      <w:rFonts w:hint="eastAsia"/>
                      <w:color w:val="auto"/>
                      <w:kern w:val="0"/>
                      <w:szCs w:val="21"/>
                    </w:rPr>
                    <w:t>1台</w:t>
                  </w:r>
                </w:p>
              </w:tc>
              <w:tc>
                <w:tcPr>
                  <w:tcW w:w="1533" w:type="dxa"/>
                  <w:tcBorders>
                    <w:tl2br w:val="nil"/>
                    <w:tr2bl w:val="nil"/>
                  </w:tcBorders>
                  <w:noWrap/>
                  <w:vAlign w:val="center"/>
                </w:tcPr>
                <w:p>
                  <w:pPr>
                    <w:widowControl/>
                    <w:jc w:val="center"/>
                    <w:rPr>
                      <w:color w:val="auto"/>
                    </w:rPr>
                  </w:pPr>
                  <w:r>
                    <w:rPr>
                      <w:rFonts w:hint="eastAsia" w:eastAsia="宋体"/>
                      <w:color w:val="auto"/>
                    </w:rPr>
                    <w:t>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5</w:t>
                  </w:r>
                </w:p>
              </w:tc>
              <w:tc>
                <w:tcPr>
                  <w:tcW w:w="1714" w:type="dxa"/>
                  <w:tcBorders>
                    <w:tl2br w:val="nil"/>
                    <w:tr2bl w:val="nil"/>
                  </w:tcBorders>
                  <w:noWrap/>
                  <w:vAlign w:val="center"/>
                </w:tcPr>
                <w:p>
                  <w:pPr>
                    <w:widowControl/>
                    <w:jc w:val="center"/>
                    <w:textAlignment w:val="center"/>
                    <w:rPr>
                      <w:rFonts w:eastAsia="宋体"/>
                      <w:color w:val="auto"/>
                      <w:kern w:val="0"/>
                      <w:szCs w:val="21"/>
                    </w:rPr>
                  </w:pPr>
                  <w:r>
                    <w:rPr>
                      <w:rFonts w:hint="eastAsia" w:eastAsia="宋体"/>
                      <w:color w:val="auto"/>
                      <w:kern w:val="0"/>
                      <w:szCs w:val="21"/>
                    </w:rPr>
                    <w:t>冷却塔</w:t>
                  </w:r>
                </w:p>
              </w:tc>
              <w:tc>
                <w:tcPr>
                  <w:tcW w:w="2623" w:type="dxa"/>
                  <w:tcBorders>
                    <w:tl2br w:val="nil"/>
                    <w:tr2bl w:val="nil"/>
                  </w:tcBorders>
                  <w:noWrap/>
                  <w:vAlign w:val="center"/>
                </w:tcPr>
                <w:p>
                  <w:pPr>
                    <w:widowControl/>
                    <w:jc w:val="center"/>
                    <w:rPr>
                      <w:rFonts w:eastAsia="宋体"/>
                      <w:color w:val="auto"/>
                      <w:kern w:val="0"/>
                      <w:szCs w:val="21"/>
                    </w:rPr>
                  </w:pPr>
                  <w:r>
                    <w:rPr>
                      <w:rFonts w:hint="eastAsia" w:eastAsia="宋体"/>
                      <w:color w:val="auto"/>
                      <w:kern w:val="0"/>
                      <w:szCs w:val="21"/>
                    </w:rPr>
                    <w:t>---</w:t>
                  </w:r>
                </w:p>
              </w:tc>
              <w:tc>
                <w:tcPr>
                  <w:tcW w:w="1660" w:type="dxa"/>
                  <w:tcBorders>
                    <w:tl2br w:val="nil"/>
                    <w:tr2bl w:val="nil"/>
                  </w:tcBorders>
                  <w:noWrap/>
                  <w:vAlign w:val="center"/>
                </w:tcPr>
                <w:p>
                  <w:pPr>
                    <w:widowControl/>
                    <w:jc w:val="center"/>
                    <w:rPr>
                      <w:rFonts w:eastAsia="宋体"/>
                      <w:color w:val="auto"/>
                      <w:kern w:val="0"/>
                      <w:szCs w:val="21"/>
                    </w:rPr>
                  </w:pPr>
                  <w:r>
                    <w:rPr>
                      <w:rFonts w:hint="eastAsia"/>
                      <w:color w:val="auto"/>
                      <w:kern w:val="0"/>
                      <w:szCs w:val="21"/>
                    </w:rPr>
                    <w:t>1座</w:t>
                  </w:r>
                </w:p>
              </w:tc>
              <w:tc>
                <w:tcPr>
                  <w:tcW w:w="1533" w:type="dxa"/>
                  <w:tcBorders>
                    <w:tl2br w:val="nil"/>
                    <w:tr2bl w:val="nil"/>
                  </w:tcBorders>
                  <w:noWrap/>
                  <w:vAlign w:val="center"/>
                </w:tcPr>
                <w:p>
                  <w:pPr>
                    <w:widowControl/>
                    <w:jc w:val="center"/>
                    <w:rPr>
                      <w:rFonts w:eastAsia="宋体"/>
                      <w:color w:val="auto"/>
                    </w:rPr>
                  </w:pPr>
                  <w:r>
                    <w:rPr>
                      <w:rFonts w:hint="eastAsia" w:eastAsia="宋体"/>
                      <w:color w:val="auto"/>
                    </w:rPr>
                    <w:t>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color w:val="auto"/>
                      <w:kern w:val="0"/>
                      <w:szCs w:val="21"/>
                    </w:rPr>
                  </w:pPr>
                  <w:r>
                    <w:rPr>
                      <w:rFonts w:hint="eastAsia"/>
                      <w:color w:val="auto"/>
                      <w:kern w:val="0"/>
                      <w:szCs w:val="21"/>
                    </w:rPr>
                    <w:t>6</w:t>
                  </w:r>
                </w:p>
              </w:tc>
              <w:tc>
                <w:tcPr>
                  <w:tcW w:w="1714" w:type="dxa"/>
                  <w:tcBorders>
                    <w:tl2br w:val="nil"/>
                    <w:tr2bl w:val="nil"/>
                  </w:tcBorders>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回料机</w:t>
                  </w:r>
                </w:p>
              </w:tc>
              <w:tc>
                <w:tcPr>
                  <w:tcW w:w="2623" w:type="dxa"/>
                  <w:tcBorders>
                    <w:tl2br w:val="nil"/>
                    <w:tr2bl w:val="nil"/>
                  </w:tcBorders>
                  <w:noWrap/>
                  <w:vAlign w:val="center"/>
                </w:tcPr>
                <w:p>
                  <w:pPr>
                    <w:widowControl/>
                    <w:jc w:val="center"/>
                    <w:rPr>
                      <w:rFonts w:eastAsia="宋体"/>
                      <w:color w:val="auto"/>
                      <w:kern w:val="0"/>
                      <w:szCs w:val="21"/>
                    </w:rPr>
                  </w:pPr>
                  <w:r>
                    <w:rPr>
                      <w:rFonts w:hint="eastAsia" w:ascii="宋体" w:hAnsi="宋体" w:eastAsia="宋体" w:cs="宋体"/>
                      <w:color w:val="auto"/>
                      <w:kern w:val="0"/>
                      <w:szCs w:val="21"/>
                    </w:rPr>
                    <w:t>WSGO280-1HP</w:t>
                  </w:r>
                </w:p>
              </w:tc>
              <w:tc>
                <w:tcPr>
                  <w:tcW w:w="1660" w:type="dxa"/>
                  <w:tcBorders>
                    <w:tl2br w:val="nil"/>
                    <w:tr2bl w:val="nil"/>
                  </w:tcBorders>
                  <w:noWrap/>
                  <w:vAlign w:val="center"/>
                </w:tcPr>
                <w:p>
                  <w:pPr>
                    <w:widowControl/>
                    <w:jc w:val="center"/>
                    <w:rPr>
                      <w:color w:val="auto"/>
                      <w:kern w:val="0"/>
                      <w:szCs w:val="21"/>
                    </w:rPr>
                  </w:pPr>
                  <w:r>
                    <w:rPr>
                      <w:rFonts w:hint="eastAsia"/>
                      <w:color w:val="auto"/>
                      <w:kern w:val="0"/>
                      <w:szCs w:val="21"/>
                    </w:rPr>
                    <w:t>1台</w:t>
                  </w:r>
                </w:p>
              </w:tc>
              <w:tc>
                <w:tcPr>
                  <w:tcW w:w="1533" w:type="dxa"/>
                  <w:tcBorders>
                    <w:tl2br w:val="nil"/>
                    <w:tr2bl w:val="nil"/>
                  </w:tcBorders>
                  <w:noWrap/>
                  <w:vAlign w:val="center"/>
                </w:tcPr>
                <w:p>
                  <w:pPr>
                    <w:widowControl/>
                    <w:jc w:val="center"/>
                    <w:rPr>
                      <w:rFonts w:eastAsia="宋体"/>
                      <w:color w:val="auto"/>
                    </w:rPr>
                  </w:pPr>
                  <w:r>
                    <w:rPr>
                      <w:rFonts w:hint="eastAsia"/>
                      <w:color w:val="auto"/>
                    </w:rPr>
                    <w:t>生产车间内</w:t>
                  </w:r>
                </w:p>
              </w:tc>
            </w:tr>
          </w:tbl>
          <w:p>
            <w:pPr>
              <w:spacing w:line="360" w:lineRule="auto"/>
              <w:rPr>
                <w:rFonts w:ascii="Times New Roman" w:hAnsi="Times New Roman"/>
                <w:b/>
                <w:color w:val="auto"/>
                <w:sz w:val="24"/>
                <w:szCs w:val="24"/>
              </w:rPr>
            </w:pPr>
            <w:r>
              <w:rPr>
                <w:rFonts w:ascii="Times New Roman" w:hAnsi="Times New Roman"/>
                <w:b/>
                <w:color w:val="auto"/>
                <w:sz w:val="24"/>
                <w:szCs w:val="20"/>
              </w:rPr>
              <w:t>2.</w:t>
            </w:r>
            <w:r>
              <w:rPr>
                <w:rFonts w:ascii="Times New Roman" w:hAnsi="Times New Roman"/>
                <w:b/>
                <w:color w:val="auto"/>
                <w:sz w:val="24"/>
                <w:szCs w:val="24"/>
              </w:rPr>
              <w:t>4产品及其规模</w:t>
            </w:r>
          </w:p>
          <w:p>
            <w:pPr>
              <w:spacing w:line="360" w:lineRule="auto"/>
              <w:ind w:firstLine="480"/>
              <w:rPr>
                <w:rFonts w:hAnsi="宋体"/>
                <w:color w:val="auto"/>
                <w:sz w:val="24"/>
              </w:rPr>
            </w:pPr>
            <w:r>
              <w:rPr>
                <w:rFonts w:hAnsi="宋体"/>
                <w:color w:val="auto"/>
                <w:sz w:val="24"/>
                <w:szCs w:val="24"/>
                <w:u w:val="single"/>
              </w:rPr>
              <w:t>本项目生产产品</w:t>
            </w:r>
            <w:r>
              <w:rPr>
                <w:rFonts w:hint="eastAsia" w:hAnsi="宋体"/>
                <w:color w:val="auto"/>
                <w:sz w:val="24"/>
                <w:szCs w:val="24"/>
                <w:u w:val="single"/>
              </w:rPr>
              <w:t>为</w:t>
            </w:r>
            <w:r>
              <w:rPr>
                <w:rFonts w:hint="eastAsia"/>
                <w:color w:val="auto"/>
                <w:sz w:val="24"/>
                <w:szCs w:val="24"/>
                <w:u w:val="single"/>
              </w:rPr>
              <w:t>挤塑保温板</w:t>
            </w:r>
            <w:r>
              <w:rPr>
                <w:rFonts w:hint="eastAsia" w:hAnsi="宋体"/>
                <w:color w:val="auto"/>
                <w:sz w:val="24"/>
                <w:szCs w:val="24"/>
                <w:u w:val="single"/>
              </w:rPr>
              <w:t>，主要用于建筑保温和隔音，生产规模为年生产5万m³</w:t>
            </w:r>
            <w:r>
              <w:rPr>
                <w:rFonts w:hint="eastAsia" w:hAnsi="宋体"/>
                <w:color w:val="auto"/>
                <w:sz w:val="24"/>
                <w:szCs w:val="24"/>
              </w:rPr>
              <w:t>，产品方案见下表</w:t>
            </w:r>
            <w:r>
              <w:rPr>
                <w:rFonts w:hint="eastAsia" w:hAnsi="宋体"/>
                <w:color w:val="auto"/>
                <w:sz w:val="24"/>
              </w:rPr>
              <w:t>。</w:t>
            </w:r>
          </w:p>
          <w:p>
            <w:pPr>
              <w:ind w:firstLine="3125" w:firstLineChars="1297"/>
              <w:rPr>
                <w:rFonts w:eastAsia="宋体"/>
                <w:color w:val="auto"/>
                <w:sz w:val="24"/>
              </w:rPr>
            </w:pPr>
            <w:r>
              <w:rPr>
                <w:rFonts w:hAnsi="宋体"/>
                <w:b/>
                <w:color w:val="auto"/>
                <w:sz w:val="24"/>
              </w:rPr>
              <w:t>表</w:t>
            </w:r>
            <w:r>
              <w:rPr>
                <w:rFonts w:hint="eastAsia" w:hAnsi="宋体"/>
                <w:b/>
                <w:color w:val="auto"/>
                <w:sz w:val="24"/>
              </w:rPr>
              <w:t>2-</w:t>
            </w:r>
            <w:r>
              <w:rPr>
                <w:rFonts w:hint="eastAsia"/>
                <w:b/>
                <w:color w:val="auto"/>
                <w:sz w:val="24"/>
              </w:rPr>
              <w:t>3项目</w:t>
            </w:r>
            <w:r>
              <w:rPr>
                <w:b/>
                <w:color w:val="auto"/>
                <w:sz w:val="24"/>
              </w:rPr>
              <w:t>主要</w:t>
            </w:r>
            <w:r>
              <w:rPr>
                <w:rFonts w:hint="eastAsia"/>
                <w:b/>
                <w:color w:val="auto"/>
                <w:sz w:val="24"/>
              </w:rPr>
              <w:t>产品方案</w:t>
            </w:r>
          </w:p>
          <w:tbl>
            <w:tblPr>
              <w:tblStyle w:val="19"/>
              <w:tblW w:w="850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808"/>
              <w:gridCol w:w="2267"/>
              <w:gridCol w:w="2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b/>
                      <w:bCs/>
                      <w:color w:val="auto"/>
                      <w:kern w:val="0"/>
                      <w:szCs w:val="21"/>
                    </w:rPr>
                  </w:pPr>
                  <w:r>
                    <w:rPr>
                      <w:b/>
                      <w:bCs/>
                      <w:color w:val="auto"/>
                      <w:kern w:val="0"/>
                      <w:szCs w:val="21"/>
                    </w:rPr>
                    <w:t>序号</w:t>
                  </w:r>
                </w:p>
              </w:tc>
              <w:tc>
                <w:tcPr>
                  <w:tcW w:w="2808" w:type="dxa"/>
                  <w:tcBorders>
                    <w:tl2br w:val="nil"/>
                    <w:tr2bl w:val="nil"/>
                  </w:tcBorders>
                  <w:noWrap/>
                  <w:vAlign w:val="center"/>
                </w:tcPr>
                <w:p>
                  <w:pPr>
                    <w:widowControl/>
                    <w:jc w:val="center"/>
                    <w:rPr>
                      <w:b/>
                      <w:bCs/>
                      <w:color w:val="auto"/>
                      <w:kern w:val="0"/>
                      <w:szCs w:val="21"/>
                    </w:rPr>
                  </w:pPr>
                  <w:r>
                    <w:rPr>
                      <w:b/>
                      <w:bCs/>
                      <w:color w:val="auto"/>
                      <w:kern w:val="0"/>
                      <w:szCs w:val="21"/>
                    </w:rPr>
                    <w:t>名称</w:t>
                  </w:r>
                </w:p>
              </w:tc>
              <w:tc>
                <w:tcPr>
                  <w:tcW w:w="2267" w:type="dxa"/>
                  <w:tcBorders>
                    <w:tl2br w:val="nil"/>
                    <w:tr2bl w:val="nil"/>
                  </w:tcBorders>
                  <w:noWrap/>
                  <w:vAlign w:val="center"/>
                </w:tcPr>
                <w:p>
                  <w:pPr>
                    <w:widowControl/>
                    <w:jc w:val="center"/>
                    <w:rPr>
                      <w:rFonts w:eastAsia="宋体"/>
                      <w:color w:val="auto"/>
                    </w:rPr>
                  </w:pPr>
                  <w:r>
                    <w:rPr>
                      <w:rFonts w:hint="eastAsia"/>
                      <w:b/>
                      <w:bCs/>
                      <w:color w:val="auto"/>
                      <w:kern w:val="0"/>
                      <w:szCs w:val="21"/>
                    </w:rPr>
                    <w:t>数量（m³/a）</w:t>
                  </w:r>
                </w:p>
              </w:tc>
              <w:tc>
                <w:tcPr>
                  <w:tcW w:w="2446" w:type="dxa"/>
                  <w:tcBorders>
                    <w:tl2br w:val="nil"/>
                    <w:tr2bl w:val="nil"/>
                  </w:tcBorders>
                  <w:noWrap/>
                  <w:vAlign w:val="center"/>
                </w:tcPr>
                <w:p>
                  <w:pPr>
                    <w:widowControl/>
                    <w:jc w:val="center"/>
                    <w:rPr>
                      <w:rFonts w:eastAsia="宋体"/>
                      <w:b/>
                      <w:bCs/>
                      <w:color w:val="auto"/>
                      <w:kern w:val="0"/>
                      <w:szCs w:val="21"/>
                    </w:rPr>
                  </w:pPr>
                  <w:r>
                    <w:rPr>
                      <w:rFonts w:hint="eastAsia"/>
                      <w:b/>
                      <w:bCs/>
                      <w:color w:val="auto"/>
                      <w:kern w:val="0"/>
                      <w:szCs w:val="21"/>
                    </w:rPr>
                    <w:t>存储位置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1" w:type="dxa"/>
                  <w:tcBorders>
                    <w:tl2br w:val="nil"/>
                    <w:tr2bl w:val="nil"/>
                  </w:tcBorders>
                  <w:noWrap/>
                  <w:vAlign w:val="center"/>
                </w:tcPr>
                <w:p>
                  <w:pPr>
                    <w:widowControl/>
                    <w:jc w:val="center"/>
                    <w:rPr>
                      <w:color w:val="auto"/>
                      <w:kern w:val="0"/>
                      <w:szCs w:val="21"/>
                      <w:u w:val="single"/>
                    </w:rPr>
                  </w:pPr>
                  <w:r>
                    <w:rPr>
                      <w:color w:val="auto"/>
                      <w:kern w:val="0"/>
                      <w:szCs w:val="21"/>
                      <w:u w:val="single"/>
                    </w:rPr>
                    <w:t>1</w:t>
                  </w:r>
                </w:p>
              </w:tc>
              <w:tc>
                <w:tcPr>
                  <w:tcW w:w="2808" w:type="dxa"/>
                  <w:tcBorders>
                    <w:tl2br w:val="nil"/>
                    <w:tr2bl w:val="nil"/>
                  </w:tcBorders>
                  <w:noWrap/>
                  <w:vAlign w:val="center"/>
                </w:tcPr>
                <w:p>
                  <w:pPr>
                    <w:widowControl/>
                    <w:jc w:val="center"/>
                    <w:textAlignment w:val="center"/>
                    <w:rPr>
                      <w:rFonts w:eastAsia="宋体"/>
                      <w:color w:val="auto"/>
                      <w:kern w:val="0"/>
                      <w:szCs w:val="21"/>
                      <w:u w:val="single"/>
                    </w:rPr>
                  </w:pPr>
                  <w:r>
                    <w:rPr>
                      <w:rFonts w:hint="eastAsia" w:ascii="宋体" w:hAnsi="宋体" w:eastAsia="宋体" w:cs="宋体"/>
                      <w:color w:val="auto"/>
                      <w:kern w:val="0"/>
                      <w:szCs w:val="21"/>
                      <w:u w:val="single"/>
                    </w:rPr>
                    <w:t>挤塑保温板</w:t>
                  </w:r>
                </w:p>
              </w:tc>
              <w:tc>
                <w:tcPr>
                  <w:tcW w:w="2267" w:type="dxa"/>
                  <w:tcBorders>
                    <w:tl2br w:val="nil"/>
                    <w:tr2bl w:val="nil"/>
                  </w:tcBorders>
                  <w:noWrap/>
                  <w:vAlign w:val="center"/>
                </w:tcPr>
                <w:p>
                  <w:pPr>
                    <w:widowControl/>
                    <w:jc w:val="center"/>
                    <w:rPr>
                      <w:rFonts w:eastAsia="宋体"/>
                      <w:color w:val="auto"/>
                      <w:u w:val="single"/>
                    </w:rPr>
                  </w:pPr>
                  <w:r>
                    <w:rPr>
                      <w:rFonts w:hint="eastAsia"/>
                      <w:color w:val="auto"/>
                      <w:u w:val="single"/>
                    </w:rPr>
                    <w:t>5万</w:t>
                  </w:r>
                  <w:r>
                    <w:rPr>
                      <w:rFonts w:hint="eastAsia"/>
                      <w:color w:val="auto"/>
                      <w:u w:val="single"/>
                      <w:lang w:val="en-US" w:eastAsia="zh-CN"/>
                    </w:rPr>
                    <w:t>m³</w:t>
                  </w:r>
                  <w:r>
                    <w:rPr>
                      <w:rFonts w:ascii="Times New Roman" w:hAnsi="Times New Roman" w:eastAsia="宋体"/>
                      <w:bCs/>
                      <w:color w:val="auto"/>
                      <w:u w:val="single"/>
                    </w:rPr>
                    <w:t>（</w:t>
                  </w:r>
                  <w:r>
                    <w:rPr>
                      <w:rFonts w:hint="eastAsia" w:ascii="Times New Roman" w:hAnsi="Times New Roman" w:eastAsia="宋体"/>
                      <w:bCs/>
                      <w:color w:val="auto"/>
                      <w:u w:val="single"/>
                      <w:lang w:val="en-US" w:eastAsia="zh-CN"/>
                    </w:rPr>
                    <w:t>1500</w:t>
                  </w:r>
                  <w:r>
                    <w:rPr>
                      <w:rFonts w:ascii="Times New Roman" w:hAnsi="Times New Roman" w:eastAsia="宋体"/>
                      <w:bCs/>
                      <w:color w:val="auto"/>
                      <w:u w:val="single"/>
                    </w:rPr>
                    <w:t>吨/年）</w:t>
                  </w:r>
                </w:p>
              </w:tc>
              <w:tc>
                <w:tcPr>
                  <w:tcW w:w="2446" w:type="dxa"/>
                  <w:tcBorders>
                    <w:tl2br w:val="nil"/>
                    <w:tr2bl w:val="nil"/>
                  </w:tcBorders>
                  <w:noWrap/>
                  <w:vAlign w:val="center"/>
                </w:tcPr>
                <w:p>
                  <w:pPr>
                    <w:widowControl/>
                    <w:jc w:val="both"/>
                    <w:rPr>
                      <w:rFonts w:hint="default" w:eastAsia="宋体"/>
                      <w:color w:val="auto"/>
                      <w:kern w:val="0"/>
                      <w:szCs w:val="21"/>
                      <w:u w:val="single"/>
                      <w:lang w:val="en-US" w:eastAsia="zh-CN"/>
                    </w:rPr>
                  </w:pPr>
                  <w:r>
                    <w:rPr>
                      <w:rFonts w:hint="eastAsia" w:eastAsia="宋体"/>
                      <w:color w:val="auto"/>
                      <w:kern w:val="0"/>
                      <w:szCs w:val="21"/>
                      <w:u w:val="single"/>
                    </w:rPr>
                    <w:t>车间内成品区</w:t>
                  </w:r>
                  <w:r>
                    <w:rPr>
                      <w:rFonts w:hint="eastAsia" w:eastAsia="宋体"/>
                      <w:color w:val="auto"/>
                      <w:kern w:val="0"/>
                      <w:szCs w:val="21"/>
                      <w:u w:val="single"/>
                      <w:lang w:eastAsia="zh-CN"/>
                    </w:rPr>
                    <w:t>，</w:t>
                  </w:r>
                  <w:r>
                    <w:rPr>
                      <w:rFonts w:hint="eastAsia" w:eastAsia="宋体"/>
                      <w:color w:val="auto"/>
                      <w:kern w:val="0"/>
                      <w:szCs w:val="21"/>
                      <w:u w:val="single"/>
                      <w:lang w:val="en-US" w:eastAsia="zh-CN"/>
                    </w:rPr>
                    <w:t>产品规格根据市场需要可调整</w:t>
                  </w:r>
                </w:p>
              </w:tc>
            </w:tr>
          </w:tbl>
          <w:p>
            <w:pPr>
              <w:spacing w:line="360" w:lineRule="auto"/>
              <w:rPr>
                <w:rFonts w:ascii="Times New Roman" w:hAnsi="Times New Roman" w:eastAsia="宋体"/>
                <w:b/>
                <w:color w:val="auto"/>
                <w:sz w:val="24"/>
                <w:szCs w:val="24"/>
              </w:rPr>
            </w:pPr>
            <w:r>
              <w:rPr>
                <w:rFonts w:ascii="Times New Roman" w:hAnsi="Times New Roman"/>
                <w:b/>
                <w:color w:val="auto"/>
                <w:sz w:val="24"/>
                <w:szCs w:val="20"/>
              </w:rPr>
              <w:t>2</w:t>
            </w:r>
            <w:r>
              <w:rPr>
                <w:rFonts w:ascii="Times New Roman" w:hAnsi="Times New Roman"/>
                <w:b/>
                <w:color w:val="auto"/>
                <w:sz w:val="24"/>
                <w:szCs w:val="24"/>
              </w:rPr>
              <w:t>.5主要原辅料</w:t>
            </w:r>
            <w:r>
              <w:rPr>
                <w:rFonts w:hint="eastAsia" w:ascii="Times New Roman" w:hAnsi="Times New Roman"/>
                <w:b/>
                <w:color w:val="auto"/>
                <w:sz w:val="24"/>
                <w:szCs w:val="24"/>
              </w:rPr>
              <w:t>及能源</w:t>
            </w:r>
          </w:p>
          <w:p>
            <w:pPr>
              <w:spacing w:line="360" w:lineRule="auto"/>
              <w:ind w:firstLine="480" w:firstLineChars="200"/>
              <w:rPr>
                <w:rFonts w:eastAsia="宋体"/>
                <w:color w:val="auto"/>
                <w:sz w:val="24"/>
                <w:szCs w:val="24"/>
              </w:rPr>
            </w:pPr>
            <w:r>
              <w:rPr>
                <w:rFonts w:hint="eastAsia"/>
                <w:color w:val="auto"/>
                <w:sz w:val="24"/>
                <w:szCs w:val="24"/>
              </w:rPr>
              <w:t>（1）主要原辅材料消耗</w:t>
            </w:r>
          </w:p>
          <w:p>
            <w:pPr>
              <w:spacing w:line="360" w:lineRule="auto"/>
              <w:ind w:firstLine="480" w:firstLineChars="200"/>
              <w:rPr>
                <w:color w:val="auto"/>
                <w:sz w:val="24"/>
              </w:rPr>
            </w:pPr>
            <w:r>
              <w:rPr>
                <w:rFonts w:hint="eastAsia"/>
                <w:color w:val="auto"/>
                <w:sz w:val="24"/>
                <w:szCs w:val="24"/>
              </w:rPr>
              <w:t>本项目生产所需的主要原辅材料消耗量及能源消耗见表2-4</w:t>
            </w:r>
            <w:r>
              <w:rPr>
                <w:rFonts w:hint="eastAsia"/>
                <w:color w:val="auto"/>
                <w:sz w:val="24"/>
              </w:rPr>
              <w:t>。</w:t>
            </w:r>
          </w:p>
          <w:p>
            <w:pPr>
              <w:jc w:val="center"/>
              <w:rPr>
                <w:rFonts w:hAnsi="宋体"/>
                <w:b/>
                <w:color w:val="auto"/>
                <w:sz w:val="24"/>
              </w:rPr>
            </w:pPr>
            <w:r>
              <w:rPr>
                <w:rFonts w:hAnsi="宋体"/>
                <w:b/>
                <w:color w:val="auto"/>
                <w:sz w:val="24"/>
              </w:rPr>
              <w:t>表</w:t>
            </w:r>
            <w:r>
              <w:rPr>
                <w:rFonts w:hint="eastAsia" w:hAnsi="宋体"/>
                <w:b/>
                <w:color w:val="auto"/>
                <w:sz w:val="24"/>
              </w:rPr>
              <w:t>2-4</w:t>
            </w:r>
            <w:r>
              <w:rPr>
                <w:rFonts w:hAnsi="宋体"/>
                <w:b/>
                <w:color w:val="auto"/>
                <w:sz w:val="24"/>
              </w:rPr>
              <w:t>主要原辅材料</w:t>
            </w:r>
            <w:r>
              <w:rPr>
                <w:rFonts w:hint="eastAsia" w:hAnsi="宋体"/>
                <w:b/>
                <w:color w:val="auto"/>
                <w:sz w:val="24"/>
              </w:rPr>
              <w:t>及能源</w:t>
            </w:r>
            <w:r>
              <w:rPr>
                <w:rFonts w:hAnsi="宋体"/>
                <w:b/>
                <w:color w:val="auto"/>
                <w:sz w:val="24"/>
              </w:rPr>
              <w:t>消耗表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37"/>
              <w:gridCol w:w="925"/>
              <w:gridCol w:w="1114"/>
              <w:gridCol w:w="2087"/>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9" w:hRule="atLeast"/>
                <w:jc w:val="center"/>
              </w:trPr>
              <w:tc>
                <w:tcPr>
                  <w:tcW w:w="714" w:type="dxa"/>
                  <w:tcBorders>
                    <w:tl2br w:val="nil"/>
                    <w:tr2bl w:val="nil"/>
                  </w:tcBorders>
                  <w:noWrap/>
                  <w:vAlign w:val="center"/>
                </w:tcPr>
                <w:p>
                  <w:pPr>
                    <w:adjustRightInd w:val="0"/>
                    <w:snapToGrid w:val="0"/>
                    <w:jc w:val="center"/>
                    <w:rPr>
                      <w:b/>
                      <w:bCs/>
                      <w:color w:val="auto"/>
                    </w:rPr>
                  </w:pPr>
                  <w:r>
                    <w:rPr>
                      <w:rFonts w:hAnsi="宋体"/>
                      <w:b/>
                      <w:bCs/>
                      <w:color w:val="auto"/>
                    </w:rPr>
                    <w:t>序号</w:t>
                  </w:r>
                </w:p>
              </w:tc>
              <w:tc>
                <w:tcPr>
                  <w:tcW w:w="1337" w:type="dxa"/>
                  <w:tcBorders>
                    <w:tl2br w:val="nil"/>
                    <w:tr2bl w:val="nil"/>
                  </w:tcBorders>
                  <w:noWrap/>
                  <w:vAlign w:val="center"/>
                </w:tcPr>
                <w:p>
                  <w:pPr>
                    <w:adjustRightInd w:val="0"/>
                    <w:snapToGrid w:val="0"/>
                    <w:jc w:val="center"/>
                    <w:rPr>
                      <w:b/>
                      <w:bCs/>
                      <w:color w:val="auto"/>
                    </w:rPr>
                  </w:pPr>
                  <w:r>
                    <w:rPr>
                      <w:rFonts w:hint="eastAsia" w:hAnsi="宋体"/>
                      <w:b/>
                      <w:bCs/>
                      <w:color w:val="auto"/>
                    </w:rPr>
                    <w:t>材料</w:t>
                  </w:r>
                  <w:r>
                    <w:rPr>
                      <w:rFonts w:hAnsi="宋体"/>
                      <w:b/>
                      <w:bCs/>
                      <w:color w:val="auto"/>
                    </w:rPr>
                    <w:t>名称</w:t>
                  </w:r>
                </w:p>
              </w:tc>
              <w:tc>
                <w:tcPr>
                  <w:tcW w:w="925" w:type="dxa"/>
                  <w:tcBorders>
                    <w:tl2br w:val="nil"/>
                    <w:tr2bl w:val="nil"/>
                  </w:tcBorders>
                  <w:noWrap/>
                  <w:vAlign w:val="center"/>
                </w:tcPr>
                <w:p>
                  <w:pPr>
                    <w:adjustRightInd w:val="0"/>
                    <w:snapToGrid w:val="0"/>
                    <w:jc w:val="center"/>
                    <w:rPr>
                      <w:b/>
                      <w:bCs/>
                      <w:color w:val="auto"/>
                    </w:rPr>
                  </w:pPr>
                  <w:r>
                    <w:rPr>
                      <w:rFonts w:hAnsi="宋体"/>
                      <w:b/>
                      <w:bCs/>
                      <w:color w:val="auto"/>
                    </w:rPr>
                    <w:t>单位</w:t>
                  </w:r>
                </w:p>
              </w:tc>
              <w:tc>
                <w:tcPr>
                  <w:tcW w:w="1114" w:type="dxa"/>
                  <w:tcBorders>
                    <w:tl2br w:val="nil"/>
                    <w:tr2bl w:val="nil"/>
                  </w:tcBorders>
                  <w:noWrap/>
                  <w:vAlign w:val="center"/>
                </w:tcPr>
                <w:p>
                  <w:pPr>
                    <w:adjustRightInd w:val="0"/>
                    <w:snapToGrid w:val="0"/>
                    <w:jc w:val="center"/>
                    <w:rPr>
                      <w:b/>
                      <w:bCs/>
                      <w:color w:val="auto"/>
                    </w:rPr>
                  </w:pPr>
                  <w:r>
                    <w:rPr>
                      <w:rFonts w:hint="eastAsia" w:hAnsi="宋体"/>
                      <w:b/>
                      <w:bCs/>
                      <w:color w:val="auto"/>
                    </w:rPr>
                    <w:t>年</w:t>
                  </w:r>
                  <w:r>
                    <w:rPr>
                      <w:rFonts w:hAnsi="宋体"/>
                      <w:b/>
                      <w:bCs/>
                      <w:color w:val="auto"/>
                    </w:rPr>
                    <w:t>消耗量</w:t>
                  </w:r>
                </w:p>
              </w:tc>
              <w:tc>
                <w:tcPr>
                  <w:tcW w:w="2087" w:type="dxa"/>
                  <w:tcBorders>
                    <w:tl2br w:val="nil"/>
                    <w:tr2bl w:val="nil"/>
                  </w:tcBorders>
                  <w:noWrap/>
                  <w:vAlign w:val="center"/>
                </w:tcPr>
                <w:p>
                  <w:pPr>
                    <w:adjustRightInd w:val="0"/>
                    <w:snapToGrid w:val="0"/>
                    <w:jc w:val="center"/>
                    <w:rPr>
                      <w:rFonts w:eastAsia="宋体"/>
                      <w:b/>
                      <w:bCs/>
                      <w:color w:val="auto"/>
                    </w:rPr>
                  </w:pPr>
                  <w:r>
                    <w:rPr>
                      <w:rFonts w:hint="eastAsia"/>
                      <w:b/>
                      <w:bCs/>
                      <w:color w:val="auto"/>
                    </w:rPr>
                    <w:t>一次性最大存储量</w:t>
                  </w:r>
                </w:p>
              </w:tc>
              <w:tc>
                <w:tcPr>
                  <w:tcW w:w="2334" w:type="dxa"/>
                  <w:tcBorders>
                    <w:tl2br w:val="nil"/>
                    <w:tr2bl w:val="nil"/>
                  </w:tcBorders>
                  <w:noWrap/>
                  <w:vAlign w:val="center"/>
                </w:tcPr>
                <w:p>
                  <w:pPr>
                    <w:adjustRightInd w:val="0"/>
                    <w:snapToGrid w:val="0"/>
                    <w:jc w:val="center"/>
                    <w:rPr>
                      <w:rFonts w:hAnsi="宋体"/>
                      <w:b/>
                      <w:bCs/>
                      <w:color w:val="auto"/>
                    </w:rPr>
                  </w:pPr>
                  <w:r>
                    <w:rPr>
                      <w:rFonts w:hAnsi="宋体"/>
                      <w:b/>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color w:val="auto"/>
                    </w:rPr>
                    <w:t>1</w:t>
                  </w:r>
                </w:p>
              </w:tc>
              <w:tc>
                <w:tcPr>
                  <w:tcW w:w="1337" w:type="dxa"/>
                  <w:tcBorders>
                    <w:tl2br w:val="nil"/>
                    <w:tr2bl w:val="nil"/>
                  </w:tcBorders>
                  <w:noWrap/>
                  <w:vAlign w:val="center"/>
                </w:tcPr>
                <w:p>
                  <w:pPr>
                    <w:adjustRightInd w:val="0"/>
                    <w:snapToGrid w:val="0"/>
                    <w:jc w:val="center"/>
                    <w:rPr>
                      <w:rFonts w:eastAsia="宋体"/>
                      <w:color w:val="auto"/>
                    </w:rPr>
                  </w:pPr>
                  <w:r>
                    <w:rPr>
                      <w:rFonts w:hint="eastAsia"/>
                      <w:color w:val="auto"/>
                    </w:rPr>
                    <w:t>PS塑料</w:t>
                  </w:r>
                </w:p>
              </w:tc>
              <w:tc>
                <w:tcPr>
                  <w:tcW w:w="925" w:type="dxa"/>
                  <w:tcBorders>
                    <w:tl2br w:val="nil"/>
                    <w:tr2bl w:val="nil"/>
                  </w:tcBorders>
                  <w:noWrap/>
                  <w:vAlign w:val="center"/>
                </w:tcPr>
                <w:p>
                  <w:pPr>
                    <w:adjustRightInd w:val="0"/>
                    <w:snapToGrid w:val="0"/>
                    <w:jc w:val="center"/>
                    <w:rPr>
                      <w:rFonts w:eastAsia="宋体"/>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rFonts w:hint="default" w:eastAsia="宋体"/>
                      <w:color w:val="auto"/>
                      <w:lang w:val="en-US" w:eastAsia="zh-CN"/>
                    </w:rPr>
                  </w:pPr>
                  <w:r>
                    <w:rPr>
                      <w:rFonts w:hint="eastAsia" w:eastAsia="宋体"/>
                      <w:color w:val="auto"/>
                      <w:u w:val="single"/>
                      <w:lang w:val="en-US" w:eastAsia="zh-CN"/>
                    </w:rPr>
                    <w:t>1500</w:t>
                  </w:r>
                </w:p>
              </w:tc>
              <w:tc>
                <w:tcPr>
                  <w:tcW w:w="2087" w:type="dxa"/>
                  <w:tcBorders>
                    <w:tl2br w:val="nil"/>
                    <w:tr2bl w:val="nil"/>
                  </w:tcBorders>
                  <w:noWrap/>
                  <w:vAlign w:val="center"/>
                </w:tcPr>
                <w:p>
                  <w:pPr>
                    <w:widowControl/>
                    <w:adjustRightInd w:val="0"/>
                    <w:snapToGrid w:val="0"/>
                    <w:jc w:val="center"/>
                    <w:rPr>
                      <w:rFonts w:eastAsia="宋体"/>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rFonts w:hint="eastAsia" w:eastAsiaTheme="minorEastAsia"/>
                      <w:color w:val="auto"/>
                      <w:kern w:val="0"/>
                      <w:szCs w:val="21"/>
                      <w:lang w:eastAsia="zh-CN"/>
                    </w:rPr>
                  </w:pPr>
                  <w:r>
                    <w:rPr>
                      <w:rFonts w:hint="eastAsia"/>
                      <w:color w:val="auto"/>
                      <w:kern w:val="0"/>
                      <w:szCs w:val="21"/>
                    </w:rPr>
                    <w:t>外购、新料</w:t>
                  </w:r>
                  <w:r>
                    <w:rPr>
                      <w:rFonts w:hint="eastAsia"/>
                      <w:color w:val="auto"/>
                      <w:kern w:val="0"/>
                      <w:szCs w:val="21"/>
                      <w:lang w:eastAsia="zh-CN"/>
                    </w:rPr>
                    <w:t>，</w:t>
                  </w:r>
                  <w:r>
                    <w:rPr>
                      <w:color w:val="auto"/>
                      <w:kern w:val="0"/>
                      <w:szCs w:val="21"/>
                    </w:rPr>
                    <w:t>25kg/袋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color w:val="auto"/>
                    </w:rPr>
                    <w:t>2</w:t>
                  </w:r>
                </w:p>
              </w:tc>
              <w:tc>
                <w:tcPr>
                  <w:tcW w:w="1337" w:type="dxa"/>
                  <w:tcBorders>
                    <w:tl2br w:val="nil"/>
                    <w:tr2bl w:val="nil"/>
                  </w:tcBorders>
                  <w:noWrap/>
                  <w:vAlign w:val="center"/>
                </w:tcPr>
                <w:p>
                  <w:pPr>
                    <w:adjustRightInd w:val="0"/>
                    <w:snapToGrid w:val="0"/>
                    <w:jc w:val="center"/>
                    <w:rPr>
                      <w:rFonts w:eastAsia="宋体"/>
                      <w:color w:val="auto"/>
                    </w:rPr>
                  </w:pPr>
                  <w:r>
                    <w:rPr>
                      <w:rFonts w:hint="eastAsia"/>
                      <w:color w:val="auto"/>
                    </w:rPr>
                    <w:t>色母粒</w:t>
                  </w:r>
                </w:p>
              </w:tc>
              <w:tc>
                <w:tcPr>
                  <w:tcW w:w="925" w:type="dxa"/>
                  <w:tcBorders>
                    <w:tl2br w:val="nil"/>
                    <w:tr2bl w:val="nil"/>
                  </w:tcBorders>
                  <w:noWrap/>
                  <w:vAlign w:val="center"/>
                </w:tcPr>
                <w:p>
                  <w:pPr>
                    <w:adjustRightInd w:val="0"/>
                    <w:snapToGrid w:val="0"/>
                    <w:jc w:val="center"/>
                    <w:rPr>
                      <w:rFonts w:eastAsia="宋体"/>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rFonts w:hint="default" w:eastAsia="宋体"/>
                      <w:color w:val="auto"/>
                      <w:lang w:val="en-US" w:eastAsia="zh-CN"/>
                    </w:rPr>
                  </w:pPr>
                  <w:r>
                    <w:rPr>
                      <w:rFonts w:hint="eastAsia" w:eastAsia="宋体"/>
                      <w:color w:val="auto"/>
                      <w:lang w:val="en-US" w:eastAsia="zh-CN"/>
                    </w:rPr>
                    <w:t>10</w:t>
                  </w:r>
                </w:p>
              </w:tc>
              <w:tc>
                <w:tcPr>
                  <w:tcW w:w="2087" w:type="dxa"/>
                  <w:tcBorders>
                    <w:tl2br w:val="nil"/>
                    <w:tr2bl w:val="nil"/>
                  </w:tcBorders>
                  <w:noWrap/>
                  <w:vAlign w:val="center"/>
                </w:tcPr>
                <w:p>
                  <w:pPr>
                    <w:widowControl/>
                    <w:adjustRightInd w:val="0"/>
                    <w:snapToGrid w:val="0"/>
                    <w:jc w:val="center"/>
                    <w:rPr>
                      <w:rFonts w:eastAsia="宋体"/>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rFonts w:eastAsia="宋体"/>
                      <w:color w:val="auto"/>
                      <w:kern w:val="0"/>
                      <w:szCs w:val="21"/>
                    </w:rPr>
                  </w:pPr>
                  <w:r>
                    <w:rPr>
                      <w:color w:val="auto"/>
                      <w:kern w:val="0"/>
                      <w:szCs w:val="21"/>
                    </w:rPr>
                    <w:t>颗粒状，25kg/袋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color w:val="auto"/>
                    </w:rPr>
                    <w:t>3</w:t>
                  </w:r>
                </w:p>
              </w:tc>
              <w:tc>
                <w:tcPr>
                  <w:tcW w:w="1337" w:type="dxa"/>
                  <w:tcBorders>
                    <w:tl2br w:val="nil"/>
                    <w:tr2bl w:val="nil"/>
                  </w:tcBorders>
                  <w:noWrap/>
                  <w:vAlign w:val="center"/>
                </w:tcPr>
                <w:p>
                  <w:pPr>
                    <w:adjustRightInd w:val="0"/>
                    <w:snapToGrid w:val="0"/>
                    <w:jc w:val="center"/>
                    <w:rPr>
                      <w:rFonts w:eastAsia="宋体"/>
                      <w:color w:val="auto"/>
                    </w:rPr>
                  </w:pPr>
                  <w:r>
                    <w:rPr>
                      <w:rFonts w:hint="eastAsia"/>
                      <w:color w:val="auto"/>
                    </w:rPr>
                    <w:t>阻燃剂</w:t>
                  </w:r>
                </w:p>
              </w:tc>
              <w:tc>
                <w:tcPr>
                  <w:tcW w:w="925" w:type="dxa"/>
                  <w:tcBorders>
                    <w:tl2br w:val="nil"/>
                    <w:tr2bl w:val="nil"/>
                  </w:tcBorders>
                  <w:noWrap/>
                  <w:vAlign w:val="center"/>
                </w:tcPr>
                <w:p>
                  <w:pPr>
                    <w:adjustRightInd w:val="0"/>
                    <w:snapToGrid w:val="0"/>
                    <w:jc w:val="center"/>
                    <w:rPr>
                      <w:rFonts w:eastAsia="宋体"/>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rFonts w:hint="eastAsia" w:eastAsia="宋体"/>
                      <w:color w:val="auto"/>
                      <w:lang w:eastAsia="zh-CN"/>
                    </w:rPr>
                  </w:pPr>
                  <w:r>
                    <w:rPr>
                      <w:rFonts w:hint="eastAsia" w:eastAsia="宋体"/>
                      <w:color w:val="auto"/>
                      <w:lang w:val="en-US" w:eastAsia="zh-CN"/>
                    </w:rPr>
                    <w:t>6</w:t>
                  </w:r>
                </w:p>
              </w:tc>
              <w:tc>
                <w:tcPr>
                  <w:tcW w:w="2087" w:type="dxa"/>
                  <w:tcBorders>
                    <w:tl2br w:val="nil"/>
                    <w:tr2bl w:val="nil"/>
                  </w:tcBorders>
                  <w:noWrap/>
                  <w:vAlign w:val="center"/>
                </w:tcPr>
                <w:p>
                  <w:pPr>
                    <w:adjustRightInd w:val="0"/>
                    <w:snapToGrid w:val="0"/>
                    <w:jc w:val="center"/>
                    <w:rPr>
                      <w:rFonts w:eastAsia="宋体"/>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rFonts w:eastAsia="宋体"/>
                      <w:color w:val="auto"/>
                      <w:kern w:val="0"/>
                      <w:szCs w:val="21"/>
                    </w:rPr>
                  </w:pPr>
                  <w:r>
                    <w:rPr>
                      <w:rFonts w:hint="eastAsia"/>
                      <w:color w:val="auto"/>
                      <w:kern w:val="0"/>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rFonts w:eastAsia="宋体"/>
                      <w:color w:val="auto"/>
                    </w:rPr>
                  </w:pPr>
                  <w:r>
                    <w:rPr>
                      <w:rFonts w:hint="eastAsia"/>
                      <w:color w:val="auto"/>
                    </w:rPr>
                    <w:t>4</w:t>
                  </w:r>
                </w:p>
              </w:tc>
              <w:tc>
                <w:tcPr>
                  <w:tcW w:w="1337" w:type="dxa"/>
                  <w:tcBorders>
                    <w:tl2br w:val="nil"/>
                    <w:tr2bl w:val="nil"/>
                  </w:tcBorders>
                  <w:noWrap/>
                  <w:vAlign w:val="center"/>
                </w:tcPr>
                <w:p>
                  <w:pPr>
                    <w:adjustRightInd w:val="0"/>
                    <w:snapToGrid w:val="0"/>
                    <w:jc w:val="center"/>
                    <w:rPr>
                      <w:color w:val="auto"/>
                    </w:rPr>
                  </w:pPr>
                  <w:r>
                    <w:rPr>
                      <w:rFonts w:hint="eastAsia"/>
                      <w:color w:val="auto"/>
                    </w:rPr>
                    <w:t>滑石粉</w:t>
                  </w:r>
                </w:p>
              </w:tc>
              <w:tc>
                <w:tcPr>
                  <w:tcW w:w="925" w:type="dxa"/>
                  <w:tcBorders>
                    <w:tl2br w:val="nil"/>
                    <w:tr2bl w:val="nil"/>
                  </w:tcBorders>
                  <w:noWrap/>
                  <w:vAlign w:val="center"/>
                </w:tcPr>
                <w:p>
                  <w:pPr>
                    <w:adjustRightInd w:val="0"/>
                    <w:snapToGrid w:val="0"/>
                    <w:jc w:val="center"/>
                    <w:rPr>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rFonts w:hint="eastAsia" w:eastAsiaTheme="minorEastAsia"/>
                      <w:color w:val="auto"/>
                      <w:lang w:eastAsia="zh-CN"/>
                    </w:rPr>
                  </w:pPr>
                  <w:r>
                    <w:rPr>
                      <w:rFonts w:hint="eastAsia"/>
                      <w:color w:val="auto"/>
                      <w:lang w:val="en-US" w:eastAsia="zh-CN"/>
                    </w:rPr>
                    <w:t>5</w:t>
                  </w:r>
                </w:p>
              </w:tc>
              <w:tc>
                <w:tcPr>
                  <w:tcW w:w="2087"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rFonts w:eastAsia="宋体"/>
                      <w:color w:val="auto"/>
                      <w:kern w:val="0"/>
                      <w:szCs w:val="21"/>
                    </w:rPr>
                  </w:pPr>
                  <w:r>
                    <w:rPr>
                      <w:rFonts w:hint="eastAsia"/>
                      <w:color w:val="auto"/>
                      <w:kern w:val="0"/>
                      <w:szCs w:val="21"/>
                    </w:rPr>
                    <w:t>粉末</w:t>
                  </w:r>
                  <w:r>
                    <w:rPr>
                      <w:color w:val="auto"/>
                      <w:kern w:val="0"/>
                      <w:szCs w:val="21"/>
                    </w:rPr>
                    <w:t>状，</w:t>
                  </w:r>
                  <w:r>
                    <w:rPr>
                      <w:rFonts w:hint="eastAsia"/>
                      <w:color w:val="auto"/>
                      <w:kern w:val="0"/>
                      <w:szCs w:val="21"/>
                    </w:rPr>
                    <w:t>100</w:t>
                  </w:r>
                  <w:r>
                    <w:rPr>
                      <w:color w:val="auto"/>
                      <w:kern w:val="0"/>
                      <w:szCs w:val="21"/>
                    </w:rPr>
                    <w:t>kg/袋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rFonts w:hint="eastAsia"/>
                      <w:color w:val="auto"/>
                    </w:rPr>
                    <w:t>5</w:t>
                  </w:r>
                </w:p>
              </w:tc>
              <w:tc>
                <w:tcPr>
                  <w:tcW w:w="1337" w:type="dxa"/>
                  <w:tcBorders>
                    <w:tl2br w:val="nil"/>
                    <w:tr2bl w:val="nil"/>
                  </w:tcBorders>
                  <w:noWrap/>
                  <w:vAlign w:val="center"/>
                </w:tcPr>
                <w:p>
                  <w:pPr>
                    <w:adjustRightInd w:val="0"/>
                    <w:snapToGrid w:val="0"/>
                    <w:jc w:val="center"/>
                    <w:rPr>
                      <w:color w:val="auto"/>
                    </w:rPr>
                  </w:pPr>
                  <w:r>
                    <w:rPr>
                      <w:rFonts w:hint="eastAsia"/>
                      <w:color w:val="auto"/>
                    </w:rPr>
                    <w:t>二氧化碳</w:t>
                  </w:r>
                </w:p>
              </w:tc>
              <w:tc>
                <w:tcPr>
                  <w:tcW w:w="925" w:type="dxa"/>
                  <w:tcBorders>
                    <w:tl2br w:val="nil"/>
                    <w:tr2bl w:val="nil"/>
                  </w:tcBorders>
                  <w:noWrap/>
                  <w:vAlign w:val="center"/>
                </w:tcPr>
                <w:p>
                  <w:pPr>
                    <w:adjustRightInd w:val="0"/>
                    <w:snapToGrid w:val="0"/>
                    <w:jc w:val="center"/>
                    <w:rPr>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rFonts w:hint="default" w:eastAsiaTheme="minorEastAsia"/>
                      <w:color w:val="auto"/>
                      <w:lang w:val="en-US" w:eastAsia="zh-CN"/>
                    </w:rPr>
                  </w:pPr>
                  <w:r>
                    <w:rPr>
                      <w:rFonts w:hint="eastAsia"/>
                      <w:color w:val="auto"/>
                      <w:lang w:val="en-US" w:eastAsia="zh-CN"/>
                    </w:rPr>
                    <w:t>80</w:t>
                  </w:r>
                </w:p>
              </w:tc>
              <w:tc>
                <w:tcPr>
                  <w:tcW w:w="2087" w:type="dxa"/>
                  <w:tcBorders>
                    <w:tl2br w:val="nil"/>
                    <w:tr2bl w:val="nil"/>
                  </w:tcBorders>
                  <w:noWrap/>
                  <w:vAlign w:val="center"/>
                </w:tcPr>
                <w:p>
                  <w:pPr>
                    <w:adjustRightInd w:val="0"/>
                    <w:snapToGrid w:val="0"/>
                    <w:jc w:val="center"/>
                    <w:rPr>
                      <w:rFonts w:hint="default" w:eastAsiaTheme="minorEastAsia"/>
                      <w:color w:val="auto"/>
                      <w:kern w:val="0"/>
                      <w:szCs w:val="21"/>
                      <w:lang w:val="en-US" w:eastAsia="zh-CN"/>
                    </w:rPr>
                  </w:pPr>
                  <w:r>
                    <w:rPr>
                      <w:rFonts w:hint="eastAsia"/>
                      <w:color w:val="auto"/>
                      <w:kern w:val="0"/>
                      <w:szCs w:val="21"/>
                      <w:lang w:val="en-US" w:eastAsia="zh-CN"/>
                    </w:rPr>
                    <w:t>2</w:t>
                  </w:r>
                </w:p>
              </w:tc>
              <w:tc>
                <w:tcPr>
                  <w:tcW w:w="2334"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u w:val="single"/>
                    </w:rPr>
                    <w:t>发泡剂，液态，钢瓶存储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rFonts w:hint="eastAsia"/>
                      <w:color w:val="auto"/>
                    </w:rPr>
                    <w:t>4</w:t>
                  </w:r>
                </w:p>
              </w:tc>
              <w:tc>
                <w:tcPr>
                  <w:tcW w:w="1337" w:type="dxa"/>
                  <w:tcBorders>
                    <w:tl2br w:val="nil"/>
                    <w:tr2bl w:val="nil"/>
                  </w:tcBorders>
                  <w:noWrap/>
                  <w:vAlign w:val="center"/>
                </w:tcPr>
                <w:p>
                  <w:pPr>
                    <w:adjustRightInd w:val="0"/>
                    <w:snapToGrid w:val="0"/>
                    <w:jc w:val="center"/>
                    <w:rPr>
                      <w:color w:val="auto"/>
                    </w:rPr>
                  </w:pPr>
                  <w:r>
                    <w:rPr>
                      <w:rFonts w:hint="eastAsia"/>
                      <w:color w:val="auto"/>
                    </w:rPr>
                    <w:t>水</w:t>
                  </w:r>
                </w:p>
              </w:tc>
              <w:tc>
                <w:tcPr>
                  <w:tcW w:w="925" w:type="dxa"/>
                  <w:tcBorders>
                    <w:tl2br w:val="nil"/>
                    <w:tr2bl w:val="nil"/>
                  </w:tcBorders>
                  <w:noWrap/>
                  <w:vAlign w:val="center"/>
                </w:tcPr>
                <w:p>
                  <w:pPr>
                    <w:adjustRightInd w:val="0"/>
                    <w:snapToGrid w:val="0"/>
                    <w:jc w:val="center"/>
                    <w:rPr>
                      <w:color w:val="auto"/>
                    </w:rPr>
                  </w:pPr>
                  <w:r>
                    <w:rPr>
                      <w:rFonts w:hint="eastAsia"/>
                      <w:color w:val="auto"/>
                    </w:rPr>
                    <w:t>t/a</w:t>
                  </w:r>
                </w:p>
              </w:tc>
              <w:tc>
                <w:tcPr>
                  <w:tcW w:w="1114" w:type="dxa"/>
                  <w:tcBorders>
                    <w:tl2br w:val="nil"/>
                    <w:tr2bl w:val="nil"/>
                  </w:tcBorders>
                  <w:noWrap/>
                  <w:vAlign w:val="center"/>
                </w:tcPr>
                <w:p>
                  <w:pPr>
                    <w:adjustRightInd w:val="0"/>
                    <w:snapToGrid w:val="0"/>
                    <w:jc w:val="center"/>
                    <w:rPr>
                      <w:color w:val="auto"/>
                    </w:rPr>
                  </w:pPr>
                  <w:r>
                    <w:rPr>
                      <w:rFonts w:hint="eastAsia"/>
                      <w:color w:val="auto"/>
                    </w:rPr>
                    <w:t>100</w:t>
                  </w:r>
                </w:p>
              </w:tc>
              <w:tc>
                <w:tcPr>
                  <w:tcW w:w="2087"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rPr>
                    <w:t>区域自来水管网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dxa"/>
                  <w:tcBorders>
                    <w:tl2br w:val="nil"/>
                    <w:tr2bl w:val="nil"/>
                  </w:tcBorders>
                  <w:noWrap/>
                  <w:vAlign w:val="center"/>
                </w:tcPr>
                <w:p>
                  <w:pPr>
                    <w:adjustRightInd w:val="0"/>
                    <w:snapToGrid w:val="0"/>
                    <w:jc w:val="center"/>
                    <w:rPr>
                      <w:color w:val="auto"/>
                    </w:rPr>
                  </w:pPr>
                  <w:r>
                    <w:rPr>
                      <w:rFonts w:hint="eastAsia"/>
                      <w:color w:val="auto"/>
                    </w:rPr>
                    <w:t>5</w:t>
                  </w:r>
                </w:p>
              </w:tc>
              <w:tc>
                <w:tcPr>
                  <w:tcW w:w="1337" w:type="dxa"/>
                  <w:tcBorders>
                    <w:tl2br w:val="nil"/>
                    <w:tr2bl w:val="nil"/>
                  </w:tcBorders>
                  <w:noWrap/>
                  <w:vAlign w:val="center"/>
                </w:tcPr>
                <w:p>
                  <w:pPr>
                    <w:adjustRightInd w:val="0"/>
                    <w:snapToGrid w:val="0"/>
                    <w:jc w:val="center"/>
                    <w:rPr>
                      <w:color w:val="auto"/>
                    </w:rPr>
                  </w:pPr>
                  <w:r>
                    <w:rPr>
                      <w:rFonts w:hint="eastAsia"/>
                      <w:color w:val="auto"/>
                    </w:rPr>
                    <w:t>电</w:t>
                  </w:r>
                </w:p>
              </w:tc>
              <w:tc>
                <w:tcPr>
                  <w:tcW w:w="925" w:type="dxa"/>
                  <w:tcBorders>
                    <w:tl2br w:val="nil"/>
                    <w:tr2bl w:val="nil"/>
                  </w:tcBorders>
                  <w:noWrap/>
                  <w:vAlign w:val="center"/>
                </w:tcPr>
                <w:p>
                  <w:pPr>
                    <w:adjustRightInd w:val="0"/>
                    <w:snapToGrid w:val="0"/>
                    <w:jc w:val="center"/>
                    <w:rPr>
                      <w:color w:val="auto"/>
                    </w:rPr>
                  </w:pPr>
                  <w:r>
                    <w:rPr>
                      <w:rFonts w:hint="eastAsia"/>
                      <w:color w:val="auto"/>
                    </w:rPr>
                    <w:t>万Kw.h</w:t>
                  </w:r>
                </w:p>
              </w:tc>
              <w:tc>
                <w:tcPr>
                  <w:tcW w:w="1114" w:type="dxa"/>
                  <w:tcBorders>
                    <w:tl2br w:val="nil"/>
                    <w:tr2bl w:val="nil"/>
                  </w:tcBorders>
                  <w:noWrap/>
                  <w:vAlign w:val="center"/>
                </w:tcPr>
                <w:p>
                  <w:pPr>
                    <w:adjustRightInd w:val="0"/>
                    <w:snapToGrid w:val="0"/>
                    <w:jc w:val="center"/>
                    <w:rPr>
                      <w:color w:val="auto"/>
                    </w:rPr>
                  </w:pPr>
                  <w:r>
                    <w:rPr>
                      <w:rFonts w:hint="eastAsia"/>
                      <w:color w:val="auto"/>
                    </w:rPr>
                    <w:t>20</w:t>
                  </w:r>
                </w:p>
              </w:tc>
              <w:tc>
                <w:tcPr>
                  <w:tcW w:w="2087"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rPr>
                    <w:t>/</w:t>
                  </w:r>
                </w:p>
              </w:tc>
              <w:tc>
                <w:tcPr>
                  <w:tcW w:w="2334" w:type="dxa"/>
                  <w:tcBorders>
                    <w:tl2br w:val="nil"/>
                    <w:tr2bl w:val="nil"/>
                  </w:tcBorders>
                  <w:noWrap/>
                  <w:vAlign w:val="center"/>
                </w:tcPr>
                <w:p>
                  <w:pPr>
                    <w:adjustRightInd w:val="0"/>
                    <w:snapToGrid w:val="0"/>
                    <w:jc w:val="center"/>
                    <w:rPr>
                      <w:color w:val="auto"/>
                      <w:kern w:val="0"/>
                      <w:szCs w:val="21"/>
                    </w:rPr>
                  </w:pPr>
                  <w:r>
                    <w:rPr>
                      <w:rFonts w:hint="eastAsia"/>
                      <w:color w:val="auto"/>
                      <w:kern w:val="0"/>
                      <w:szCs w:val="21"/>
                    </w:rPr>
                    <w:t>市政电网</w:t>
                  </w:r>
                </w:p>
              </w:tc>
            </w:tr>
          </w:tbl>
          <w:p>
            <w:pPr>
              <w:tabs>
                <w:tab w:val="left" w:pos="7304"/>
                <w:tab w:val="left" w:pos="7656"/>
                <w:tab w:val="left" w:pos="8272"/>
                <w:tab w:val="left" w:pos="8536"/>
              </w:tabs>
              <w:spacing w:line="360" w:lineRule="auto"/>
              <w:ind w:firstLine="555"/>
              <w:rPr>
                <w:rFonts w:hAnsi="宋体"/>
                <w:bCs/>
                <w:color w:val="auto"/>
                <w:sz w:val="24"/>
                <w:szCs w:val="24"/>
              </w:rPr>
            </w:pPr>
            <w:r>
              <w:rPr>
                <w:color w:val="auto"/>
                <w:sz w:val="24"/>
                <w:szCs w:val="24"/>
              </w:rPr>
              <w:t>（2）主要原辅材料理化性质</w:t>
            </w:r>
            <w:r>
              <w:rPr>
                <w:rFonts w:hint="eastAsia" w:hAnsi="宋体"/>
                <w:bCs/>
                <w:color w:val="auto"/>
                <w:sz w:val="24"/>
                <w:szCs w:val="24"/>
              </w:rPr>
              <w:t>：</w:t>
            </w:r>
          </w:p>
          <w:p>
            <w:pPr>
              <w:tabs>
                <w:tab w:val="left" w:pos="7304"/>
                <w:tab w:val="left" w:pos="7656"/>
                <w:tab w:val="left" w:pos="8272"/>
                <w:tab w:val="left" w:pos="8536"/>
              </w:tabs>
              <w:spacing w:line="360" w:lineRule="auto"/>
              <w:ind w:firstLine="555"/>
              <w:rPr>
                <w:rFonts w:ascii="Times New Roman" w:hAnsi="宋体" w:eastAsia="宋体" w:cs="Times New Roman"/>
                <w:bCs/>
                <w:color w:val="auto"/>
                <w:sz w:val="24"/>
                <w:szCs w:val="24"/>
              </w:rPr>
            </w:pPr>
            <w:r>
              <w:rPr>
                <w:rFonts w:hint="eastAsia" w:ascii="Times New Roman" w:hAnsi="宋体" w:eastAsia="宋体" w:cs="Times New Roman"/>
                <w:bCs/>
                <w:color w:val="auto"/>
                <w:sz w:val="24"/>
                <w:szCs w:val="24"/>
              </w:rPr>
              <w:t>PS塑料：分子式为C</w:t>
            </w:r>
            <w:r>
              <w:rPr>
                <w:rFonts w:hint="eastAsia" w:ascii="Times New Roman" w:hAnsi="宋体" w:eastAsia="宋体" w:cs="Times New Roman"/>
                <w:bCs/>
                <w:color w:val="auto"/>
                <w:sz w:val="24"/>
                <w:szCs w:val="24"/>
                <w:vertAlign w:val="subscript"/>
              </w:rPr>
              <w:t>8</w:t>
            </w:r>
            <w:r>
              <w:rPr>
                <w:rFonts w:hint="eastAsia" w:ascii="Times New Roman" w:hAnsi="宋体" w:eastAsia="宋体" w:cs="Times New Roman"/>
                <w:bCs/>
                <w:color w:val="auto"/>
                <w:sz w:val="24"/>
                <w:szCs w:val="24"/>
              </w:rPr>
              <w:t>H</w:t>
            </w:r>
            <w:r>
              <w:rPr>
                <w:rFonts w:hint="eastAsia" w:ascii="Times New Roman" w:hAnsi="宋体" w:eastAsia="宋体" w:cs="Times New Roman"/>
                <w:bCs/>
                <w:color w:val="auto"/>
                <w:sz w:val="24"/>
                <w:szCs w:val="24"/>
                <w:vertAlign w:val="subscript"/>
              </w:rPr>
              <w:t>8</w:t>
            </w:r>
            <w:r>
              <w:rPr>
                <w:rFonts w:hint="eastAsia" w:ascii="Times New Roman" w:hAnsi="宋体" w:eastAsia="宋体" w:cs="Times New Roman"/>
                <w:bCs/>
                <w:color w:val="auto"/>
                <w:sz w:val="24"/>
                <w:szCs w:val="24"/>
              </w:rPr>
              <w:t>，分子量104.1491，无色、无臭、无味而有光泽的透明固体。相对密度1.04-1.09，溶于芳香烃、氯代烃、脂肪族酮和酯等。热变形温度为70-95℃，长期使用温度为60-80℃，熔融温度240℃，降解温度300℃。聚苯乙烯的热导率较低，约为0.10-0.13W(m.K)，基本不随温度的变化而变化，是良好的绝热保温材料，聚苯乙烯泡沫是目前广泛应用的绝热材料之一，主要用于发泡成型，用作保温、隔热、防震、包装材料及漂浮制品。</w:t>
            </w:r>
          </w:p>
          <w:p>
            <w:pPr>
              <w:tabs>
                <w:tab w:val="left" w:pos="7304"/>
                <w:tab w:val="left" w:pos="7656"/>
                <w:tab w:val="left" w:pos="8272"/>
                <w:tab w:val="left" w:pos="8536"/>
              </w:tabs>
              <w:spacing w:line="360" w:lineRule="auto"/>
              <w:ind w:firstLine="555"/>
              <w:rPr>
                <w:rFonts w:hAnsi="宋体"/>
                <w:bCs/>
                <w:color w:val="auto"/>
                <w:sz w:val="24"/>
                <w:szCs w:val="24"/>
              </w:rPr>
            </w:pPr>
            <w:r>
              <w:rPr>
                <w:rFonts w:hint="eastAsia" w:hAnsi="宋体"/>
                <w:bCs/>
                <w:color w:val="auto"/>
                <w:sz w:val="24"/>
                <w:szCs w:val="24"/>
              </w:rPr>
              <w:t>阻燃剂：是以磷、氮为主要成分的无卤阻燃剂，白色粉末，由3部分组成，即酸源(脱水剂)、碳源(成炭剂)和气源(发泡剂)。磷质量分数&gt;16%，氮质量分数&gt;24%，水分&lt;0.3%，阻燃效率高，添加量小，与聚合物及树脂相容性好，在材料中不迁移、不析出，热稳定性好，易加工，加工温度控制在260℃以下。</w:t>
            </w:r>
          </w:p>
          <w:p>
            <w:pPr>
              <w:tabs>
                <w:tab w:val="left" w:pos="7304"/>
                <w:tab w:val="left" w:pos="7656"/>
                <w:tab w:val="left" w:pos="8272"/>
                <w:tab w:val="left" w:pos="8536"/>
              </w:tabs>
              <w:spacing w:line="360" w:lineRule="auto"/>
              <w:ind w:firstLine="555"/>
              <w:rPr>
                <w:rFonts w:hAnsi="宋体"/>
                <w:bCs/>
                <w:color w:val="auto"/>
                <w:sz w:val="24"/>
                <w:szCs w:val="24"/>
              </w:rPr>
            </w:pPr>
            <w:r>
              <w:rPr>
                <w:rFonts w:hint="eastAsia" w:hAnsi="宋体"/>
                <w:bCs/>
                <w:color w:val="auto"/>
                <w:sz w:val="24"/>
                <w:szCs w:val="24"/>
              </w:rPr>
              <w:t>滑石粉：主要成分是滑石含水的硅酸镁，分子式为Mg[Si</w:t>
            </w:r>
            <w:r>
              <w:rPr>
                <w:rFonts w:hint="eastAsia" w:hAnsi="宋体"/>
                <w:bCs/>
                <w:color w:val="auto"/>
                <w:sz w:val="24"/>
                <w:szCs w:val="24"/>
                <w:vertAlign w:val="subscript"/>
              </w:rPr>
              <w:t>4</w:t>
            </w:r>
            <w:r>
              <w:rPr>
                <w:rFonts w:hint="eastAsia" w:hAnsi="宋体"/>
                <w:bCs/>
                <w:color w:val="auto"/>
                <w:sz w:val="24"/>
                <w:szCs w:val="24"/>
              </w:rPr>
              <w:t>O</w:t>
            </w:r>
            <w:r>
              <w:rPr>
                <w:rFonts w:hint="eastAsia" w:hAnsi="宋体"/>
                <w:bCs/>
                <w:color w:val="auto"/>
                <w:sz w:val="24"/>
                <w:szCs w:val="24"/>
                <w:vertAlign w:val="subscript"/>
              </w:rPr>
              <w:t>10</w:t>
            </w:r>
            <w:r>
              <w:rPr>
                <w:rFonts w:hint="eastAsia" w:hAnsi="宋体"/>
                <w:bCs/>
                <w:color w:val="auto"/>
                <w:sz w:val="24"/>
                <w:szCs w:val="24"/>
              </w:rPr>
              <w:t>](OH)</w:t>
            </w:r>
            <w:r>
              <w:rPr>
                <w:rFonts w:hint="eastAsia" w:hAnsi="宋体"/>
                <w:bCs/>
                <w:color w:val="auto"/>
                <w:sz w:val="24"/>
                <w:szCs w:val="24"/>
                <w:vertAlign w:val="subscript"/>
              </w:rPr>
              <w:t>2</w:t>
            </w:r>
            <w:r>
              <w:rPr>
                <w:rFonts w:hint="eastAsia" w:hAnsi="宋体"/>
                <w:bCs/>
                <w:color w:val="auto"/>
                <w:sz w:val="24"/>
                <w:szCs w:val="24"/>
              </w:rPr>
              <w:t>。滑石属单斜晶系。晶体呈假六方或菱形的片状，偶见。通常成致密的块状、叶片状、放射状、纤维状集合体。无色透明或白色，但因含少量的杂质而呈现浅绿、浅黄、浅棕甚至浅红色；解理面上星珍珠光泽。硬度1，比重2.7~2.8</w:t>
            </w:r>
            <w:r>
              <w:rPr>
                <w:rFonts w:hAnsi="宋体"/>
                <w:bCs/>
                <w:color w:val="auto"/>
                <w:sz w:val="24"/>
                <w:szCs w:val="24"/>
              </w:rPr>
              <w:t>。</w:t>
            </w:r>
          </w:p>
          <w:p>
            <w:pPr>
              <w:tabs>
                <w:tab w:val="left" w:pos="7304"/>
                <w:tab w:val="left" w:pos="7656"/>
                <w:tab w:val="left" w:pos="8272"/>
                <w:tab w:val="left" w:pos="8536"/>
              </w:tabs>
              <w:spacing w:line="360" w:lineRule="auto"/>
              <w:ind w:firstLine="555"/>
              <w:rPr>
                <w:rFonts w:hAnsi="宋体"/>
                <w:bCs/>
                <w:color w:val="auto"/>
                <w:sz w:val="24"/>
                <w:szCs w:val="24"/>
              </w:rPr>
            </w:pPr>
            <w:r>
              <w:rPr>
                <w:rFonts w:hAnsi="宋体"/>
                <w:bCs/>
                <w:color w:val="auto"/>
                <w:sz w:val="24"/>
                <w:szCs w:val="24"/>
              </w:rPr>
              <w:t>色母粒：由高比例的颜料或添加剂与热塑性树脂，经良好分散而成的塑料着色剂，其所选用的树脂对着色剂具有良好润湿和分散作用，并且与被着色材料具有良好的相容性。即：颜料+载体+添加剂一色母粒。</w:t>
            </w:r>
          </w:p>
          <w:p>
            <w:pPr>
              <w:spacing w:line="360" w:lineRule="auto"/>
              <w:ind w:firstLine="480" w:firstLineChars="200"/>
              <w:rPr>
                <w:rFonts w:hAnsi="宋体"/>
                <w:bCs/>
                <w:color w:val="auto"/>
                <w:sz w:val="24"/>
                <w:szCs w:val="24"/>
              </w:rPr>
            </w:pPr>
            <w:r>
              <w:rPr>
                <w:rFonts w:hAnsi="宋体"/>
                <w:bCs/>
                <w:color w:val="auto"/>
                <w:sz w:val="24"/>
                <w:szCs w:val="24"/>
              </w:rPr>
              <w:t>二氧化碳：物理发泡剂，又称挥发性发泡剂，发泡过程仅是物理形态发生了变化，化学组成没有发生变化，这类发泡剂包括惰性压缩气体(在压力消除后体积膨胀，使熔成型过程中的塑料产生气泡而成泡沫塑料)，可压缩的气体主要品种有空气、氮气、氦气、氢气及二氧化碳等，他们无毒、惰性、不燃，对大多聚合物都具有穿透性，主要用于PO、PVC及PS等树脂中</w:t>
            </w:r>
            <w:r>
              <w:rPr>
                <w:rFonts w:hint="eastAsia" w:hAnsi="宋体"/>
                <w:bCs/>
                <w:color w:val="auto"/>
                <w:sz w:val="24"/>
                <w:szCs w:val="24"/>
              </w:rPr>
              <w:t>。</w:t>
            </w:r>
          </w:p>
          <w:p>
            <w:pPr>
              <w:spacing w:before="187" w:line="360" w:lineRule="auto"/>
              <w:rPr>
                <w:rFonts w:ascii="宋体" w:hAnsi="宋体" w:eastAsia="宋体"/>
                <w:b/>
                <w:bCs/>
                <w:color w:val="auto"/>
                <w:szCs w:val="21"/>
              </w:rPr>
            </w:pPr>
            <w:r>
              <w:rPr>
                <w:rFonts w:ascii="Times New Roman" w:hAnsi="Times New Roman" w:eastAsia="Times New Roman"/>
                <w:b/>
                <w:bCs/>
                <w:color w:val="auto"/>
                <w:szCs w:val="21"/>
              </w:rPr>
              <w:t>2.</w:t>
            </w:r>
            <w:r>
              <w:rPr>
                <w:rFonts w:hint="eastAsia" w:ascii="Times New Roman" w:hAnsi="Times New Roman" w:eastAsia="宋体"/>
                <w:b/>
                <w:bCs/>
                <w:color w:val="auto"/>
                <w:szCs w:val="21"/>
              </w:rPr>
              <w:t>6</w:t>
            </w:r>
            <w:r>
              <w:rPr>
                <w:rFonts w:ascii="宋体" w:hAnsi="宋体" w:eastAsia="宋体"/>
                <w:b/>
                <w:bCs/>
                <w:color w:val="auto"/>
                <w:szCs w:val="21"/>
              </w:rPr>
              <w:t>总平面布置</w:t>
            </w:r>
          </w:p>
          <w:p>
            <w:pPr>
              <w:spacing w:line="360" w:lineRule="auto"/>
              <w:ind w:firstLine="480" w:firstLineChars="200"/>
              <w:rPr>
                <w:rFonts w:ascii="宋体" w:hAnsi="宋体" w:eastAsia="宋体"/>
                <w:color w:val="auto"/>
                <w:szCs w:val="21"/>
              </w:rPr>
            </w:pPr>
            <w:r>
              <w:rPr>
                <w:rFonts w:hint="eastAsia" w:ascii="宋体" w:hAnsi="宋体" w:eastAsia="宋体"/>
                <w:color w:val="auto"/>
                <w:sz w:val="24"/>
                <w:szCs w:val="24"/>
                <w:u w:val="single"/>
              </w:rPr>
              <w:t>本项目选址于常德市津市高新技术产业开发区钰兴科技园，钰兴科技</w:t>
            </w:r>
            <w:r>
              <w:rPr>
                <w:rFonts w:hint="eastAsia" w:ascii="宋体" w:hAnsi="宋体" w:eastAsia="宋体"/>
                <w:color w:val="auto"/>
                <w:sz w:val="24"/>
                <w:szCs w:val="24"/>
                <w:u w:val="single"/>
                <w:lang w:val="en-US" w:eastAsia="zh-CN"/>
              </w:rPr>
              <w:t>园</w:t>
            </w:r>
            <w:r>
              <w:rPr>
                <w:rFonts w:hint="eastAsia" w:ascii="宋体" w:hAnsi="宋体" w:eastAsia="宋体"/>
                <w:color w:val="auto"/>
                <w:sz w:val="24"/>
                <w:szCs w:val="24"/>
                <w:u w:val="single"/>
              </w:rPr>
              <w:t>位于常德市津市市嘉山工业新区团湖大道右侧</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项目</w:t>
            </w:r>
            <w:r>
              <w:rPr>
                <w:rFonts w:hint="eastAsia" w:ascii="宋体" w:hAnsi="宋体" w:eastAsia="宋体"/>
                <w:color w:val="auto"/>
                <w:sz w:val="24"/>
                <w:szCs w:val="24"/>
                <w:u w:val="single"/>
                <w:lang w:val="en-US" w:eastAsia="zh-CN"/>
              </w:rPr>
              <w:t>位于钰兴园区的西北侧，</w:t>
            </w:r>
            <w:r>
              <w:rPr>
                <w:rFonts w:hint="eastAsia" w:ascii="宋体" w:hAnsi="宋体" w:eastAsia="宋体"/>
                <w:color w:val="auto"/>
                <w:sz w:val="24"/>
                <w:szCs w:val="24"/>
                <w:u w:val="single"/>
              </w:rPr>
              <w:t>地理位置图见附图</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lang w:val="en-US" w:eastAsia="zh-CN"/>
              </w:rPr>
              <w:t>项目</w:t>
            </w:r>
            <w:r>
              <w:rPr>
                <w:rFonts w:hint="eastAsia" w:ascii="宋体" w:hAnsi="宋体" w:eastAsia="宋体"/>
                <w:color w:val="auto"/>
                <w:sz w:val="24"/>
                <w:szCs w:val="24"/>
                <w:u w:val="single"/>
              </w:rPr>
              <w:t>厂区主要分为办公区和生产车间</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lang w:val="en-US" w:eastAsia="zh-CN"/>
              </w:rPr>
              <w:t>生产区北侧西到东主要布置料仓和成品库，南侧东到西主要布置混料-挤塑-切割机-压花机-回料机，</w:t>
            </w:r>
            <w:r>
              <w:rPr>
                <w:rFonts w:hint="eastAsia" w:ascii="宋体" w:hAnsi="宋体" w:eastAsia="宋体"/>
                <w:color w:val="auto"/>
                <w:sz w:val="24"/>
                <w:szCs w:val="24"/>
                <w:u w:val="single"/>
              </w:rPr>
              <w:t>平面布局示意图详见附图</w:t>
            </w:r>
            <w:r>
              <w:rPr>
                <w:rFonts w:hint="eastAsia" w:ascii="宋体" w:hAnsi="宋体" w:eastAsia="宋体"/>
                <w:color w:val="auto"/>
                <w:sz w:val="24"/>
                <w:szCs w:val="24"/>
                <w:u w:val="single"/>
                <w:lang w:val="en-US" w:eastAsia="zh-CN"/>
              </w:rPr>
              <w:t>3</w:t>
            </w:r>
            <w:r>
              <w:rPr>
                <w:rFonts w:ascii="宋体" w:hAnsi="宋体" w:eastAsia="宋体"/>
                <w:color w:val="auto"/>
                <w:szCs w:val="21"/>
              </w:rPr>
              <w:t>。</w:t>
            </w:r>
          </w:p>
          <w:p>
            <w:pPr>
              <w:spacing w:line="360" w:lineRule="auto"/>
              <w:rPr>
                <w:rFonts w:ascii="宋体" w:hAnsi="宋体" w:eastAsia="宋体"/>
                <w:b/>
                <w:bCs/>
                <w:color w:val="auto"/>
                <w:szCs w:val="21"/>
              </w:rPr>
            </w:pPr>
            <w:r>
              <w:rPr>
                <w:rFonts w:ascii="Times New Roman" w:hAnsi="Times New Roman" w:eastAsia="Times New Roman"/>
                <w:b/>
                <w:bCs/>
                <w:color w:val="auto"/>
                <w:szCs w:val="21"/>
              </w:rPr>
              <w:t>2.</w:t>
            </w:r>
            <w:r>
              <w:rPr>
                <w:rFonts w:hint="eastAsia" w:ascii="Times New Roman" w:hAnsi="Times New Roman" w:eastAsia="宋体"/>
                <w:b/>
                <w:bCs/>
                <w:color w:val="auto"/>
                <w:szCs w:val="21"/>
              </w:rPr>
              <w:t>7</w:t>
            </w:r>
            <w:r>
              <w:rPr>
                <w:rFonts w:ascii="宋体" w:hAnsi="宋体" w:eastAsia="宋体"/>
                <w:b/>
                <w:bCs/>
                <w:color w:val="auto"/>
                <w:szCs w:val="21"/>
              </w:rPr>
              <w:t>公用工程</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（1）给排水</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项目用水主要为员工生活用水、冷却用水</w:t>
            </w:r>
            <w:r>
              <w:rPr>
                <w:rFonts w:hint="eastAsia" w:ascii="Times New Roman" w:hAnsi="Times New Roman" w:eastAsia="宋体"/>
                <w:color w:val="auto"/>
                <w:sz w:val="24"/>
                <w:szCs w:val="24"/>
                <w:lang w:val="en-US" w:eastAsia="zh-CN"/>
              </w:rPr>
              <w:t>和喷淋水</w:t>
            </w:r>
            <w:r>
              <w:rPr>
                <w:rFonts w:hint="eastAsia" w:ascii="Times New Roman" w:hAnsi="Times New Roman" w:eastAsia="Times New Roman"/>
                <w:color w:val="auto"/>
                <w:sz w:val="24"/>
                <w:szCs w:val="24"/>
              </w:rPr>
              <w:t>，供水来自当地供水管网，水质和水量均符合本项目用水要求。</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查阅湖南省地方标准《用水定额》（DB43/T388-2020）并结合项目实际，本项目有10人在厂内食宿，生活用水食宿按145L/人·d，折合项目生活用水总量为1.45m</w:t>
            </w:r>
            <w:r>
              <w:rPr>
                <w:rFonts w:hint="eastAsia" w:ascii="Times New Roman" w:hAnsi="Times New Roman" w:eastAsia="Times New Roman"/>
                <w:color w:val="auto"/>
                <w:sz w:val="24"/>
                <w:szCs w:val="24"/>
                <w:vertAlign w:val="superscript"/>
              </w:rPr>
              <w:t>3</w:t>
            </w:r>
            <w:r>
              <w:rPr>
                <w:rFonts w:hint="eastAsia" w:ascii="Times New Roman" w:hAnsi="Times New Roman" w:eastAsia="Times New Roman"/>
                <w:color w:val="auto"/>
                <w:sz w:val="24"/>
                <w:szCs w:val="24"/>
              </w:rPr>
              <w:t>/d，即348t/a。</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生活污水排放量按用水量的80%计算，折合1.16m</w:t>
            </w:r>
            <w:r>
              <w:rPr>
                <w:rFonts w:hint="eastAsia" w:ascii="Times New Roman" w:hAnsi="Times New Roman" w:eastAsia="Times New Roman"/>
                <w:color w:val="auto"/>
                <w:sz w:val="24"/>
                <w:szCs w:val="24"/>
                <w:vertAlign w:val="superscript"/>
              </w:rPr>
              <w:t>3</w:t>
            </w:r>
            <w:r>
              <w:rPr>
                <w:rFonts w:hint="eastAsia" w:ascii="Times New Roman" w:hAnsi="Times New Roman" w:eastAsia="Times New Roman"/>
                <w:color w:val="auto"/>
                <w:sz w:val="24"/>
                <w:szCs w:val="24"/>
              </w:rPr>
              <w:t>/d，即278.4t/a，经三级化粪池预处理后进入经济开发区污水管网，汇入津市工业污水处理厂处理。</w:t>
            </w:r>
          </w:p>
          <w:p>
            <w:pPr>
              <w:spacing w:line="360" w:lineRule="auto"/>
              <w:ind w:firstLine="480" w:firstLineChars="200"/>
              <w:rPr>
                <w:rFonts w:hint="eastAsia" w:ascii="Times New Roman" w:hAnsi="Times New Roman" w:eastAsia="Times New Roman"/>
                <w:color w:val="auto"/>
                <w:sz w:val="24"/>
                <w:szCs w:val="24"/>
                <w:u w:val="single"/>
              </w:rPr>
            </w:pPr>
            <w:r>
              <w:rPr>
                <w:rFonts w:hint="eastAsia" w:ascii="Times New Roman" w:hAnsi="Times New Roman" w:eastAsia="宋体"/>
                <w:color w:val="auto"/>
                <w:sz w:val="24"/>
                <w:szCs w:val="24"/>
                <w:u w:val="single"/>
                <w:lang w:val="en-US" w:eastAsia="zh-CN"/>
              </w:rPr>
              <w:t>企业设置了储水池，容积为40m</w:t>
            </w:r>
            <w:r>
              <w:rPr>
                <w:rFonts w:hint="eastAsia" w:ascii="Times New Roman" w:hAnsi="Times New Roman" w:eastAsia="宋体"/>
                <w:color w:val="auto"/>
                <w:sz w:val="24"/>
                <w:szCs w:val="24"/>
                <w:u w:val="single"/>
                <w:vertAlign w:val="superscript"/>
                <w:lang w:val="en-US" w:eastAsia="zh-CN"/>
              </w:rPr>
              <w:t>3</w:t>
            </w:r>
            <w:r>
              <w:rPr>
                <w:rFonts w:hint="eastAsia" w:ascii="Times New Roman" w:hAnsi="Times New Roman" w:eastAsia="宋体"/>
                <w:color w:val="auto"/>
                <w:sz w:val="24"/>
                <w:szCs w:val="24"/>
                <w:u w:val="single"/>
                <w:lang w:val="en-US" w:eastAsia="zh-CN"/>
              </w:rPr>
              <w:t>，企业生产过程中使用水的节点为冷却水和喷淋水，冷却水和喷淋水</w:t>
            </w:r>
            <w:r>
              <w:rPr>
                <w:rFonts w:hint="eastAsia" w:ascii="Times New Roman" w:hAnsi="Times New Roman" w:eastAsia="Times New Roman"/>
                <w:color w:val="auto"/>
                <w:sz w:val="24"/>
                <w:szCs w:val="24"/>
                <w:u w:val="single"/>
              </w:rPr>
              <w:t>全部循环使用，不外排，</w:t>
            </w:r>
            <w:r>
              <w:rPr>
                <w:rFonts w:hint="eastAsia" w:ascii="Times New Roman" w:hAnsi="Times New Roman" w:eastAsia="宋体"/>
                <w:color w:val="auto"/>
                <w:sz w:val="24"/>
                <w:szCs w:val="24"/>
                <w:u w:val="single"/>
                <w:lang w:val="en-US" w:eastAsia="zh-CN"/>
              </w:rPr>
              <w:t>因考虑到冷却过程和喷淋过程水量蒸发，需</w:t>
            </w:r>
            <w:r>
              <w:rPr>
                <w:rFonts w:hint="eastAsia" w:ascii="Times New Roman" w:hAnsi="Times New Roman" w:eastAsia="Times New Roman"/>
                <w:color w:val="auto"/>
                <w:sz w:val="24"/>
                <w:szCs w:val="24"/>
                <w:u w:val="single"/>
              </w:rPr>
              <w:t>定期补充新鲜水，根据业主提供的资料，</w:t>
            </w:r>
            <w:r>
              <w:rPr>
                <w:rFonts w:hint="eastAsia" w:ascii="Times New Roman" w:hAnsi="Times New Roman" w:eastAsia="宋体"/>
                <w:color w:val="auto"/>
                <w:sz w:val="24"/>
                <w:szCs w:val="24"/>
                <w:u w:val="single"/>
                <w:lang w:val="en-US" w:eastAsia="zh-CN"/>
              </w:rPr>
              <w:t>冷却水的使用量为16</w:t>
            </w:r>
            <w:r>
              <w:rPr>
                <w:rFonts w:hint="eastAsia" w:ascii="Times New Roman" w:hAnsi="Times New Roman" w:eastAsia="Times New Roman"/>
                <w:color w:val="auto"/>
                <w:sz w:val="24"/>
                <w:szCs w:val="24"/>
                <w:u w:val="single"/>
              </w:rPr>
              <w:t>t/d</w:t>
            </w:r>
            <w:r>
              <w:rPr>
                <w:rFonts w:hint="eastAsia" w:ascii="Times New Roman" w:hAnsi="Times New Roman" w:eastAsia="宋体"/>
                <w:color w:val="auto"/>
                <w:sz w:val="24"/>
                <w:szCs w:val="24"/>
                <w:u w:val="single"/>
                <w:lang w:eastAsia="zh-CN"/>
              </w:rPr>
              <w:t>，</w:t>
            </w:r>
            <w:r>
              <w:rPr>
                <w:rFonts w:hint="eastAsia" w:ascii="Times New Roman" w:hAnsi="Times New Roman" w:eastAsia="宋体"/>
                <w:color w:val="auto"/>
                <w:sz w:val="24"/>
                <w:szCs w:val="24"/>
                <w:u w:val="single"/>
                <w:lang w:val="en-US" w:eastAsia="zh-CN"/>
              </w:rPr>
              <w:t>冷却水的蒸发量为0.8</w:t>
            </w:r>
            <w:r>
              <w:rPr>
                <w:rFonts w:hint="eastAsia" w:ascii="Times New Roman" w:hAnsi="Times New Roman" w:eastAsia="Times New Roman"/>
                <w:color w:val="auto"/>
                <w:sz w:val="24"/>
                <w:szCs w:val="24"/>
                <w:u w:val="single"/>
              </w:rPr>
              <w:t>t/d</w:t>
            </w:r>
            <w:r>
              <w:rPr>
                <w:rFonts w:hint="eastAsia" w:ascii="Times New Roman" w:hAnsi="Times New Roman" w:eastAsia="宋体"/>
                <w:color w:val="auto"/>
                <w:sz w:val="24"/>
                <w:szCs w:val="24"/>
                <w:u w:val="single"/>
                <w:lang w:eastAsia="zh-CN"/>
              </w:rPr>
              <w:t>，</w:t>
            </w:r>
            <w:r>
              <w:rPr>
                <w:rFonts w:hint="eastAsia" w:ascii="Times New Roman" w:hAnsi="Times New Roman" w:eastAsia="宋体"/>
                <w:color w:val="auto"/>
                <w:sz w:val="24"/>
                <w:szCs w:val="24"/>
                <w:u w:val="single"/>
                <w:lang w:val="en-US" w:eastAsia="zh-CN"/>
              </w:rPr>
              <w:t>则</w:t>
            </w:r>
            <w:r>
              <w:rPr>
                <w:rFonts w:hint="eastAsia" w:ascii="Times New Roman" w:hAnsi="Times New Roman" w:eastAsia="Times New Roman"/>
                <w:color w:val="auto"/>
                <w:sz w:val="24"/>
                <w:szCs w:val="24"/>
                <w:u w:val="single"/>
              </w:rPr>
              <w:t>新鲜水补充量为</w:t>
            </w:r>
            <w:r>
              <w:rPr>
                <w:rFonts w:hint="eastAsia" w:ascii="Times New Roman" w:hAnsi="Times New Roman" w:eastAsia="宋体"/>
                <w:color w:val="auto"/>
                <w:sz w:val="24"/>
                <w:szCs w:val="24"/>
                <w:u w:val="single"/>
                <w:lang w:val="en-US" w:eastAsia="zh-CN"/>
              </w:rPr>
              <w:t>0.8</w:t>
            </w:r>
            <w:r>
              <w:rPr>
                <w:rFonts w:hint="eastAsia" w:ascii="Times New Roman" w:hAnsi="Times New Roman" w:eastAsia="Times New Roman"/>
                <w:color w:val="auto"/>
                <w:sz w:val="24"/>
                <w:szCs w:val="24"/>
                <w:u w:val="single"/>
              </w:rPr>
              <w:t>t/d，年使用时间为240天，合</w:t>
            </w:r>
            <w:r>
              <w:rPr>
                <w:rFonts w:hint="eastAsia" w:ascii="Times New Roman" w:hAnsi="Times New Roman" w:eastAsia="宋体"/>
                <w:color w:val="auto"/>
                <w:sz w:val="24"/>
                <w:szCs w:val="24"/>
                <w:u w:val="single"/>
                <w:lang w:val="en-US" w:eastAsia="zh-CN"/>
              </w:rPr>
              <w:t>192</w:t>
            </w:r>
            <w:r>
              <w:rPr>
                <w:rFonts w:hint="eastAsia" w:ascii="Times New Roman" w:hAnsi="Times New Roman" w:eastAsia="Times New Roman"/>
                <w:color w:val="auto"/>
                <w:sz w:val="24"/>
                <w:szCs w:val="24"/>
                <w:u w:val="single"/>
              </w:rPr>
              <w:t>t/a</w:t>
            </w:r>
            <w:r>
              <w:rPr>
                <w:rFonts w:hint="eastAsia" w:ascii="Times New Roman" w:hAnsi="Times New Roman" w:eastAsia="宋体"/>
                <w:color w:val="auto"/>
                <w:sz w:val="24"/>
                <w:szCs w:val="24"/>
                <w:u w:val="single"/>
                <w:lang w:eastAsia="zh-CN"/>
              </w:rPr>
              <w:t>；</w:t>
            </w:r>
            <w:r>
              <w:rPr>
                <w:rFonts w:hint="eastAsia" w:ascii="Times New Roman" w:hAnsi="Times New Roman" w:eastAsia="宋体"/>
                <w:color w:val="auto"/>
                <w:sz w:val="24"/>
                <w:szCs w:val="24"/>
                <w:u w:val="single"/>
                <w:lang w:val="en-US" w:eastAsia="zh-CN"/>
              </w:rPr>
              <w:t>喷淋水的使用量为4</w:t>
            </w:r>
            <w:r>
              <w:rPr>
                <w:rFonts w:hint="eastAsia" w:ascii="Times New Roman" w:hAnsi="Times New Roman" w:eastAsia="Times New Roman"/>
                <w:color w:val="auto"/>
                <w:sz w:val="24"/>
                <w:szCs w:val="24"/>
                <w:u w:val="single"/>
              </w:rPr>
              <w:t>t/d</w:t>
            </w:r>
            <w:r>
              <w:rPr>
                <w:rFonts w:hint="eastAsia" w:ascii="Times New Roman" w:hAnsi="Times New Roman" w:eastAsia="宋体"/>
                <w:color w:val="auto"/>
                <w:sz w:val="24"/>
                <w:szCs w:val="24"/>
                <w:u w:val="single"/>
                <w:lang w:eastAsia="zh-CN"/>
              </w:rPr>
              <w:t>，</w:t>
            </w:r>
            <w:r>
              <w:rPr>
                <w:rFonts w:hint="eastAsia" w:ascii="Times New Roman" w:hAnsi="Times New Roman" w:eastAsia="宋体"/>
                <w:color w:val="auto"/>
                <w:sz w:val="24"/>
                <w:szCs w:val="24"/>
                <w:u w:val="single"/>
                <w:lang w:val="en-US" w:eastAsia="zh-CN"/>
              </w:rPr>
              <w:t>喷淋水的蒸发量为0.2</w:t>
            </w:r>
            <w:r>
              <w:rPr>
                <w:rFonts w:hint="eastAsia" w:ascii="Times New Roman" w:hAnsi="Times New Roman" w:eastAsia="Times New Roman"/>
                <w:color w:val="auto"/>
                <w:sz w:val="24"/>
                <w:szCs w:val="24"/>
                <w:u w:val="single"/>
              </w:rPr>
              <w:t>t/d</w:t>
            </w:r>
            <w:r>
              <w:rPr>
                <w:rFonts w:hint="eastAsia" w:ascii="Times New Roman" w:hAnsi="Times New Roman" w:eastAsia="宋体"/>
                <w:color w:val="auto"/>
                <w:sz w:val="24"/>
                <w:szCs w:val="24"/>
                <w:u w:val="single"/>
                <w:lang w:eastAsia="zh-CN"/>
              </w:rPr>
              <w:t>，</w:t>
            </w:r>
            <w:r>
              <w:rPr>
                <w:rFonts w:hint="eastAsia" w:ascii="Times New Roman" w:hAnsi="Times New Roman" w:eastAsia="宋体"/>
                <w:color w:val="auto"/>
                <w:sz w:val="24"/>
                <w:szCs w:val="24"/>
                <w:u w:val="single"/>
                <w:lang w:val="en-US" w:eastAsia="zh-CN"/>
              </w:rPr>
              <w:t>则</w:t>
            </w:r>
            <w:r>
              <w:rPr>
                <w:rFonts w:hint="eastAsia" w:ascii="Times New Roman" w:hAnsi="Times New Roman" w:eastAsia="Times New Roman"/>
                <w:color w:val="auto"/>
                <w:sz w:val="24"/>
                <w:szCs w:val="24"/>
                <w:u w:val="single"/>
              </w:rPr>
              <w:t>新鲜水补充量为</w:t>
            </w:r>
            <w:r>
              <w:rPr>
                <w:rFonts w:hint="eastAsia" w:ascii="Times New Roman" w:hAnsi="Times New Roman" w:eastAsia="宋体"/>
                <w:color w:val="auto"/>
                <w:sz w:val="24"/>
                <w:szCs w:val="24"/>
                <w:u w:val="single"/>
                <w:lang w:val="en-US" w:eastAsia="zh-CN"/>
              </w:rPr>
              <w:t>0.2</w:t>
            </w:r>
            <w:r>
              <w:rPr>
                <w:rFonts w:hint="eastAsia" w:ascii="Times New Roman" w:hAnsi="Times New Roman" w:eastAsia="Times New Roman"/>
                <w:color w:val="auto"/>
                <w:sz w:val="24"/>
                <w:szCs w:val="24"/>
                <w:u w:val="single"/>
              </w:rPr>
              <w:t>t/d，年使用时间为240天，合</w:t>
            </w:r>
            <w:r>
              <w:rPr>
                <w:rFonts w:hint="eastAsia" w:ascii="Times New Roman" w:hAnsi="Times New Roman" w:eastAsia="宋体"/>
                <w:color w:val="auto"/>
                <w:sz w:val="24"/>
                <w:szCs w:val="24"/>
                <w:u w:val="single"/>
                <w:lang w:val="en-US" w:eastAsia="zh-CN"/>
              </w:rPr>
              <w:t>48</w:t>
            </w:r>
            <w:r>
              <w:rPr>
                <w:rFonts w:hint="eastAsia" w:ascii="Times New Roman" w:hAnsi="Times New Roman" w:eastAsia="Times New Roman"/>
                <w:color w:val="auto"/>
                <w:sz w:val="24"/>
                <w:szCs w:val="24"/>
                <w:u w:val="single"/>
              </w:rPr>
              <w:t>t/a。</w:t>
            </w:r>
          </w:p>
          <w:p>
            <w:pPr>
              <w:bidi w:val="0"/>
            </w:pPr>
            <w:r>
              <w:drawing>
                <wp:inline distT="0" distB="0" distL="114300" distR="114300">
                  <wp:extent cx="5353685" cy="324485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53685" cy="3244850"/>
                          </a:xfrm>
                          <a:prstGeom prst="rect">
                            <a:avLst/>
                          </a:prstGeom>
                          <a:noFill/>
                          <a:ln>
                            <a:noFill/>
                          </a:ln>
                        </pic:spPr>
                      </pic:pic>
                    </a:graphicData>
                  </a:graphic>
                </wp:inline>
              </w:drawing>
            </w:r>
          </w:p>
          <w:p>
            <w:pPr>
              <w:spacing w:line="360" w:lineRule="auto"/>
              <w:ind w:firstLine="422" w:firstLineChars="200"/>
              <w:jc w:val="center"/>
              <w:rPr>
                <w:rFonts w:hint="default" w:ascii="Times New Roman" w:hAnsi="Times New Roman" w:eastAsia="宋体"/>
                <w:b/>
                <w:bCs/>
                <w:color w:val="auto"/>
                <w:szCs w:val="21"/>
                <w:u w:val="single"/>
                <w:lang w:val="en-US" w:eastAsia="zh-CN"/>
              </w:rPr>
            </w:pPr>
            <w:r>
              <w:rPr>
                <w:rFonts w:ascii="宋体" w:hAnsi="宋体" w:eastAsia="宋体"/>
                <w:b/>
                <w:bCs/>
                <w:color w:val="auto"/>
                <w:szCs w:val="21"/>
                <w:u w:val="single"/>
              </w:rPr>
              <w:t>图2-</w:t>
            </w:r>
            <w:r>
              <w:rPr>
                <w:rFonts w:hint="eastAsia" w:ascii="Times New Roman" w:hAnsi="Times New Roman" w:eastAsia="宋体"/>
                <w:b/>
                <w:bCs/>
                <w:color w:val="auto"/>
                <w:szCs w:val="21"/>
                <w:u w:val="single"/>
              </w:rPr>
              <w:t>1</w:t>
            </w:r>
            <w:r>
              <w:rPr>
                <w:rFonts w:hint="eastAsia" w:ascii="Times New Roman" w:hAnsi="Times New Roman" w:eastAsia="Times New Roman"/>
                <w:b/>
                <w:bCs/>
                <w:color w:val="auto"/>
                <w:szCs w:val="21"/>
                <w:u w:val="single"/>
              </w:rPr>
              <w:t>水平衡分析</w:t>
            </w:r>
            <w:r>
              <w:rPr>
                <w:rFonts w:hint="eastAsia" w:ascii="Times New Roman" w:hAnsi="Times New Roman" w:eastAsia="宋体"/>
                <w:b/>
                <w:bCs/>
                <w:color w:val="auto"/>
                <w:szCs w:val="21"/>
                <w:u w:val="single"/>
                <w:lang w:val="en-US" w:eastAsia="zh-CN"/>
              </w:rPr>
              <w:t>图（单位</w:t>
            </w:r>
            <w:r>
              <w:rPr>
                <w:rFonts w:hint="eastAsia" w:ascii="Times New Roman" w:hAnsi="Times New Roman" w:eastAsia="Times New Roman"/>
                <w:color w:val="auto"/>
                <w:sz w:val="24"/>
                <w:szCs w:val="24"/>
                <w:u w:val="single"/>
              </w:rPr>
              <w:t>t/d</w:t>
            </w:r>
            <w:r>
              <w:rPr>
                <w:rFonts w:hint="eastAsia" w:ascii="Times New Roman" w:hAnsi="Times New Roman" w:eastAsia="宋体"/>
                <w:b/>
                <w:bCs/>
                <w:color w:val="auto"/>
                <w:szCs w:val="21"/>
                <w:u w:val="single"/>
                <w:lang w:val="en-US" w:eastAsia="zh-CN"/>
              </w:rPr>
              <w:t>）</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项目区内雨水经厂区内专用雨水管网和沟渠收集后由厂区西北角雨水总排口排放。</w:t>
            </w:r>
          </w:p>
          <w:p>
            <w:pPr>
              <w:spacing w:line="360" w:lineRule="auto"/>
              <w:ind w:firstLine="480" w:firstLineChars="20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（2）能源消耗</w:t>
            </w:r>
          </w:p>
          <w:p>
            <w:pPr>
              <w:spacing w:line="360" w:lineRule="auto"/>
              <w:ind w:firstLine="480" w:firstLineChars="200"/>
              <w:rPr>
                <w:rFonts w:ascii="Times New Roman" w:hAnsi="Times New Roman" w:eastAsia="Times New Roman"/>
                <w:color w:val="auto"/>
                <w:szCs w:val="21"/>
              </w:rPr>
            </w:pPr>
            <w:r>
              <w:rPr>
                <w:rFonts w:hint="eastAsia" w:ascii="Times New Roman" w:hAnsi="Times New Roman" w:eastAsia="Times New Roman"/>
                <w:color w:val="auto"/>
                <w:sz w:val="24"/>
                <w:szCs w:val="24"/>
              </w:rPr>
              <w:t>项目主要以电能为生产生活能源，由国家电网公司统一供配</w:t>
            </w:r>
            <w:r>
              <w:rPr>
                <w:rFonts w:ascii="Times New Roman" w:hAnsi="Times New Roman" w:eastAsia="Times New Roman"/>
                <w:color w:val="auto"/>
                <w:szCs w:val="21"/>
              </w:rPr>
              <w:t>。</w:t>
            </w:r>
          </w:p>
          <w:p>
            <w:pPr>
              <w:spacing w:line="360" w:lineRule="auto"/>
              <w:rPr>
                <w:rFonts w:ascii="宋体" w:hAnsi="宋体" w:eastAsia="宋体"/>
                <w:b/>
                <w:bCs/>
                <w:color w:val="auto"/>
                <w:szCs w:val="21"/>
              </w:rPr>
            </w:pPr>
            <w:r>
              <w:rPr>
                <w:rFonts w:ascii="Times New Roman" w:hAnsi="Times New Roman" w:eastAsia="Times New Roman"/>
                <w:b/>
                <w:bCs/>
                <w:color w:val="auto"/>
                <w:szCs w:val="21"/>
              </w:rPr>
              <w:t>2.</w:t>
            </w:r>
            <w:r>
              <w:rPr>
                <w:rFonts w:hint="eastAsia" w:ascii="Times New Roman" w:hAnsi="Times New Roman" w:eastAsia="宋体"/>
                <w:b/>
                <w:bCs/>
                <w:color w:val="auto"/>
                <w:szCs w:val="21"/>
              </w:rPr>
              <w:t>8</w:t>
            </w:r>
            <w:r>
              <w:rPr>
                <w:rFonts w:ascii="宋体" w:hAnsi="宋体" w:eastAsia="宋体"/>
                <w:b/>
                <w:bCs/>
                <w:color w:val="auto"/>
                <w:szCs w:val="21"/>
              </w:rPr>
              <w:t>工作制度及劳动定员</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劳动定员：本项目共有员工10人，10人在厂内食宿。</w:t>
            </w:r>
          </w:p>
          <w:p>
            <w:pPr>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工作制度：全年工作240天，每天两班制，每班工作8小时</w:t>
            </w:r>
            <w:r>
              <w:rPr>
                <w:rFonts w:ascii="宋体" w:hAnsi="宋体" w:eastAsia="宋体"/>
                <w:color w:val="auto"/>
                <w:szCs w:val="21"/>
              </w:rPr>
              <w:t>。</w:t>
            </w:r>
          </w:p>
          <w:p>
            <w:pPr>
              <w:spacing w:line="360" w:lineRule="auto"/>
              <w:rPr>
                <w:rFonts w:ascii="宋体" w:hAnsi="宋体" w:eastAsia="宋体"/>
                <w:b/>
                <w:bCs/>
                <w:color w:val="auto"/>
                <w:szCs w:val="21"/>
              </w:rPr>
            </w:pPr>
            <w:r>
              <w:rPr>
                <w:rFonts w:ascii="Times New Roman" w:hAnsi="Times New Roman" w:eastAsia="Times New Roman"/>
                <w:b/>
                <w:bCs/>
                <w:color w:val="auto"/>
                <w:szCs w:val="21"/>
              </w:rPr>
              <w:t>2.</w:t>
            </w:r>
            <w:r>
              <w:rPr>
                <w:rFonts w:hint="eastAsia" w:ascii="Times New Roman" w:hAnsi="Times New Roman" w:eastAsia="宋体"/>
                <w:b/>
                <w:bCs/>
                <w:color w:val="auto"/>
                <w:szCs w:val="21"/>
              </w:rPr>
              <w:t>9</w:t>
            </w:r>
            <w:r>
              <w:rPr>
                <w:rFonts w:ascii="宋体" w:hAnsi="宋体" w:eastAsia="宋体"/>
                <w:b/>
                <w:bCs/>
                <w:color w:val="auto"/>
                <w:szCs w:val="21"/>
              </w:rPr>
              <w:t>建设周期</w:t>
            </w:r>
          </w:p>
          <w:p>
            <w:pPr>
              <w:spacing w:line="360" w:lineRule="auto"/>
              <w:ind w:firstLine="480" w:firstLineChars="200"/>
              <w:rPr>
                <w:rFonts w:ascii="宋体" w:hAnsi="宋体" w:eastAsia="宋体"/>
                <w:color w:val="auto"/>
                <w:szCs w:val="21"/>
              </w:rPr>
            </w:pPr>
            <w:r>
              <w:rPr>
                <w:rFonts w:ascii="宋体" w:hAnsi="宋体" w:eastAsia="宋体"/>
                <w:color w:val="auto"/>
                <w:sz w:val="24"/>
                <w:szCs w:val="24"/>
              </w:rPr>
              <w:t>本项目于20</w:t>
            </w:r>
            <w:r>
              <w:rPr>
                <w:rFonts w:hint="eastAsia" w:ascii="宋体" w:hAnsi="宋体" w:eastAsia="宋体"/>
                <w:color w:val="auto"/>
                <w:sz w:val="24"/>
                <w:szCs w:val="24"/>
              </w:rPr>
              <w:t>21</w:t>
            </w:r>
            <w:r>
              <w:rPr>
                <w:rFonts w:ascii="宋体" w:hAnsi="宋体" w:eastAsia="宋体"/>
                <w:color w:val="auto"/>
                <w:sz w:val="24"/>
                <w:szCs w:val="24"/>
              </w:rPr>
              <w:t>年规划建设，</w:t>
            </w:r>
            <w:r>
              <w:rPr>
                <w:rFonts w:hint="eastAsia" w:ascii="宋体" w:hAnsi="宋体" w:eastAsia="宋体"/>
                <w:color w:val="auto"/>
                <w:sz w:val="24"/>
                <w:szCs w:val="24"/>
              </w:rPr>
              <w:t>计划</w:t>
            </w:r>
            <w:r>
              <w:rPr>
                <w:rFonts w:ascii="宋体" w:hAnsi="宋体" w:eastAsia="宋体"/>
                <w:color w:val="auto"/>
                <w:sz w:val="24"/>
                <w:szCs w:val="24"/>
              </w:rPr>
              <w:t>202</w:t>
            </w:r>
            <w:r>
              <w:rPr>
                <w:rFonts w:hint="eastAsia" w:ascii="宋体" w:hAnsi="宋体" w:eastAsia="宋体"/>
                <w:color w:val="auto"/>
                <w:sz w:val="24"/>
                <w:szCs w:val="24"/>
              </w:rPr>
              <w:t>1</w:t>
            </w:r>
            <w:r>
              <w:rPr>
                <w:rFonts w:ascii="宋体" w:hAnsi="宋体" w:eastAsia="宋体"/>
                <w:color w:val="auto"/>
                <w:sz w:val="24"/>
                <w:szCs w:val="24"/>
              </w:rPr>
              <w:t>年</w:t>
            </w:r>
            <w:r>
              <w:rPr>
                <w:rFonts w:hint="eastAsia" w:ascii="宋体" w:hAnsi="宋体" w:eastAsia="宋体"/>
                <w:color w:val="auto"/>
                <w:sz w:val="24"/>
                <w:szCs w:val="24"/>
                <w:lang w:val="en-US" w:eastAsia="zh-CN"/>
              </w:rPr>
              <w:t>9</w:t>
            </w:r>
            <w:r>
              <w:rPr>
                <w:rFonts w:ascii="宋体" w:hAnsi="宋体" w:eastAsia="宋体"/>
                <w:color w:val="auto"/>
                <w:sz w:val="24"/>
                <w:szCs w:val="24"/>
              </w:rPr>
              <w:t>月动工，202</w:t>
            </w:r>
            <w:r>
              <w:rPr>
                <w:rFonts w:hint="eastAsia" w:ascii="宋体" w:hAnsi="宋体" w:eastAsia="宋体"/>
                <w:color w:val="auto"/>
                <w:sz w:val="24"/>
                <w:szCs w:val="24"/>
              </w:rPr>
              <w:t>1</w:t>
            </w:r>
            <w:r>
              <w:rPr>
                <w:rFonts w:ascii="宋体" w:hAnsi="宋体" w:eastAsia="宋体"/>
                <w:color w:val="auto"/>
                <w:sz w:val="24"/>
                <w:szCs w:val="24"/>
              </w:rPr>
              <w:t>年</w:t>
            </w:r>
            <w:r>
              <w:rPr>
                <w:rFonts w:hint="eastAsia" w:ascii="宋体" w:hAnsi="宋体" w:eastAsia="宋体"/>
                <w:color w:val="auto"/>
                <w:sz w:val="24"/>
                <w:szCs w:val="24"/>
                <w:lang w:val="en-US" w:eastAsia="zh-CN"/>
              </w:rPr>
              <w:t>10</w:t>
            </w:r>
            <w:r>
              <w:rPr>
                <w:rFonts w:ascii="宋体" w:hAnsi="宋体" w:eastAsia="宋体"/>
                <w:color w:val="auto"/>
                <w:sz w:val="24"/>
                <w:szCs w:val="24"/>
              </w:rPr>
              <w:t>月完工</w:t>
            </w:r>
            <w:r>
              <w:rPr>
                <w:rFonts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0" w:hRule="atLeast"/>
        </w:trPr>
        <w:tc>
          <w:tcPr>
            <w:tcW w:w="419"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工艺流程和产排污环节</w:t>
            </w:r>
          </w:p>
        </w:tc>
        <w:tc>
          <w:tcPr>
            <w:tcW w:w="8551" w:type="dxa"/>
            <w:tcBorders>
              <w:top w:val="single" w:color="000000" w:sz="8" w:space="0"/>
              <w:left w:val="single" w:color="000000" w:sz="8" w:space="0"/>
              <w:bottom w:val="single" w:color="000000" w:sz="8" w:space="0"/>
              <w:right w:val="single" w:color="000000" w:sz="8" w:space="0"/>
            </w:tcBorders>
          </w:tcPr>
          <w:p>
            <w:pPr>
              <w:spacing w:line="360" w:lineRule="auto"/>
              <w:rPr>
                <w:rFonts w:ascii="Times New Roman" w:hAnsi="Times New Roman" w:eastAsia="Times New Roman"/>
                <w:b/>
                <w:bCs/>
                <w:color w:val="auto"/>
                <w:szCs w:val="21"/>
              </w:rPr>
            </w:pPr>
            <w:r>
              <w:rPr>
                <w:rFonts w:hint="eastAsia" w:ascii="Times New Roman" w:hAnsi="Times New Roman" w:eastAsia="Times New Roman"/>
                <w:b/>
                <w:bCs/>
                <w:color w:val="auto"/>
                <w:szCs w:val="21"/>
              </w:rPr>
              <w:t>工艺流程及产污环节见下图</w:t>
            </w:r>
          </w:p>
          <w:p>
            <w:pPr>
              <w:spacing w:line="360" w:lineRule="auto"/>
              <w:jc w:val="center"/>
              <w:rPr>
                <w:color w:val="auto"/>
              </w:rPr>
            </w:pPr>
            <w:r>
              <w:drawing>
                <wp:inline distT="0" distB="0" distL="114300" distR="114300">
                  <wp:extent cx="4307205" cy="4448175"/>
                  <wp:effectExtent l="0" t="0" r="5715"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307205" cy="4448175"/>
                          </a:xfrm>
                          <a:prstGeom prst="rect">
                            <a:avLst/>
                          </a:prstGeom>
                          <a:noFill/>
                          <a:ln>
                            <a:noFill/>
                          </a:ln>
                        </pic:spPr>
                      </pic:pic>
                    </a:graphicData>
                  </a:graphic>
                </wp:inline>
              </w:drawing>
            </w:r>
          </w:p>
          <w:p>
            <w:pPr>
              <w:spacing w:line="360" w:lineRule="auto"/>
              <w:ind w:firstLine="422" w:firstLineChars="200"/>
              <w:jc w:val="center"/>
              <w:rPr>
                <w:rFonts w:ascii="Times New Roman" w:hAnsi="Times New Roman" w:eastAsia="Times New Roman"/>
                <w:b/>
                <w:bCs/>
                <w:color w:val="auto"/>
                <w:szCs w:val="21"/>
              </w:rPr>
            </w:pPr>
            <w:r>
              <w:rPr>
                <w:rFonts w:ascii="宋体" w:hAnsi="宋体" w:eastAsia="宋体"/>
                <w:b/>
                <w:bCs/>
                <w:color w:val="auto"/>
                <w:szCs w:val="21"/>
              </w:rPr>
              <w:t>图2-</w:t>
            </w:r>
            <w:r>
              <w:rPr>
                <w:rFonts w:hint="eastAsia" w:ascii="Times New Roman" w:hAnsi="Times New Roman" w:eastAsia="宋体"/>
                <w:b/>
                <w:bCs/>
                <w:color w:val="auto"/>
                <w:szCs w:val="21"/>
                <w:lang w:val="en-US" w:eastAsia="zh-CN"/>
              </w:rPr>
              <w:t>2</w:t>
            </w:r>
            <w:r>
              <w:rPr>
                <w:rFonts w:hint="eastAsia" w:ascii="Times New Roman" w:hAnsi="Times New Roman" w:eastAsia="Times New Roman"/>
                <w:b/>
                <w:bCs/>
                <w:color w:val="auto"/>
                <w:szCs w:val="21"/>
              </w:rPr>
              <w:t>生产工艺及产污环节流程图</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（1）</w:t>
            </w:r>
            <w:r>
              <w:rPr>
                <w:rFonts w:hint="eastAsia" w:ascii="宋体" w:hAnsi="宋体" w:eastAsia="宋体"/>
                <w:color w:val="auto"/>
                <w:sz w:val="24"/>
                <w:szCs w:val="24"/>
                <w:u w:val="single"/>
                <w:lang w:val="en-US" w:eastAsia="zh-CN"/>
              </w:rPr>
              <w:t>搅拌、</w:t>
            </w:r>
            <w:r>
              <w:rPr>
                <w:rFonts w:hint="eastAsia" w:ascii="宋体" w:hAnsi="宋体" w:eastAsia="宋体"/>
                <w:color w:val="auto"/>
                <w:sz w:val="24"/>
                <w:szCs w:val="24"/>
                <w:u w:val="single"/>
              </w:rPr>
              <w:t>配料：本项目使用的原料主要有PS塑料、阻燃剂和色母粒，其中色母粒根据产品的颜色选择，三种原料按一定的比例在密闭混料罐中进行配料，由于原料均为粒状物料，且搅拌过程在密闭系统中，故搅拌时仅有设备运行噪声（N1）产生。</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2）熔融：配好的料在旋转着的螺杆的作用下，通过机简内壁和螺杆表面的磨擦作用，由机简外的加热圈（以电作为能源）对机简进行加热，使塑料在沿料筒里前进时温度逐渐升高，加热温度约为200℃，颗粒转变成熔融的状态。此过程会产生噪声N</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u w:val="single"/>
              </w:rPr>
              <w:t>、有机废气G</w:t>
            </w:r>
            <w:r>
              <w:rPr>
                <w:rFonts w:hint="eastAsia" w:ascii="宋体" w:hAnsi="宋体" w:eastAsia="宋体"/>
                <w:color w:val="auto"/>
                <w:sz w:val="24"/>
                <w:szCs w:val="24"/>
                <w:u w:val="single"/>
                <w:lang w:val="en-US" w:eastAsia="zh-CN"/>
              </w:rPr>
              <w:t>1</w:t>
            </w:r>
            <w:r>
              <w:rPr>
                <w:rFonts w:hint="eastAsia" w:ascii="宋体" w:hAnsi="宋体" w:eastAsia="宋体"/>
                <w:color w:val="auto"/>
                <w:sz w:val="24"/>
                <w:szCs w:val="24"/>
                <w:u w:val="single"/>
              </w:rPr>
              <w:t>。</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（3）发泡：在原材料处于熔融状态后，再与之泵入发泡剂（二氧化碳</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lang w:val="en-US" w:eastAsia="zh-CN"/>
              </w:rPr>
              <w:t>液态</w:t>
            </w:r>
            <w:r>
              <w:rPr>
                <w:rFonts w:hint="eastAsia" w:ascii="宋体" w:hAnsi="宋体" w:eastAsia="宋体"/>
                <w:color w:val="auto"/>
                <w:sz w:val="24"/>
                <w:szCs w:val="24"/>
                <w:u w:val="single"/>
              </w:rPr>
              <w:t>），混合后被连续不断的输送到螺旋杆前方，通过二氧化碳</w:t>
            </w:r>
            <w:r>
              <w:rPr>
                <w:rFonts w:hint="eastAsia" w:ascii="宋体" w:hAnsi="宋体" w:eastAsia="宋体"/>
                <w:color w:val="auto"/>
                <w:sz w:val="24"/>
                <w:szCs w:val="24"/>
                <w:u w:val="single"/>
                <w:lang w:val="en-US" w:eastAsia="zh-CN"/>
              </w:rPr>
              <w:t>液体</w:t>
            </w:r>
            <w:r>
              <w:rPr>
                <w:rFonts w:hint="eastAsia" w:ascii="宋体" w:hAnsi="宋体" w:eastAsia="宋体"/>
                <w:color w:val="auto"/>
                <w:sz w:val="24"/>
                <w:szCs w:val="24"/>
                <w:u w:val="single"/>
              </w:rPr>
              <w:t>对塑料均匀填充，在冷却后二氧化碳</w:t>
            </w:r>
            <w:r>
              <w:rPr>
                <w:rFonts w:hint="eastAsia" w:ascii="宋体" w:hAnsi="宋体" w:eastAsia="宋体"/>
                <w:color w:val="auto"/>
                <w:sz w:val="24"/>
                <w:szCs w:val="24"/>
                <w:u w:val="single"/>
                <w:lang w:val="en-US" w:eastAsia="zh-CN"/>
              </w:rPr>
              <w:t>部分封存于产品内部，部分</w:t>
            </w:r>
            <w:r>
              <w:rPr>
                <w:rFonts w:hint="eastAsia" w:ascii="宋体" w:hAnsi="宋体" w:eastAsia="宋体"/>
                <w:color w:val="auto"/>
                <w:sz w:val="24"/>
                <w:szCs w:val="24"/>
                <w:u w:val="single"/>
              </w:rPr>
              <w:t>以气体方式挥发，使得塑料成为孔状物质，达到物理发泡的目的，本项目发泡剂为瓶装二氧化碳，此过程会产生噪声N</w:t>
            </w:r>
            <w:r>
              <w:rPr>
                <w:rFonts w:hint="eastAsia" w:ascii="宋体" w:hAnsi="宋体" w:eastAsia="宋体"/>
                <w:color w:val="auto"/>
                <w:sz w:val="24"/>
                <w:szCs w:val="24"/>
                <w:u w:val="single"/>
                <w:lang w:val="en-US" w:eastAsia="zh-CN"/>
              </w:rPr>
              <w:t>3</w:t>
            </w:r>
            <w:r>
              <w:rPr>
                <w:rFonts w:hint="eastAsia" w:ascii="宋体" w:hAnsi="宋体" w:eastAsia="宋体"/>
                <w:color w:val="auto"/>
                <w:sz w:val="24"/>
                <w:szCs w:val="24"/>
                <w:u w:val="single"/>
              </w:rPr>
              <w:t>、有机废气G</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u w:val="single"/>
              </w:rPr>
              <w:t>。</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（4）挤塑：在发泡剂和原料混合均匀后，在加压的作用下，通过挤塑模具而使之成为截面与出口模形状相仿的连续体。此过程会产生噪声N</w:t>
            </w:r>
            <w:r>
              <w:rPr>
                <w:rFonts w:hint="eastAsia" w:ascii="宋体" w:hAnsi="宋体" w:eastAsia="宋体"/>
                <w:color w:val="auto"/>
                <w:sz w:val="24"/>
                <w:szCs w:val="24"/>
                <w:u w:val="single"/>
                <w:lang w:val="en-US" w:eastAsia="zh-CN"/>
              </w:rPr>
              <w:t>4</w:t>
            </w:r>
            <w:r>
              <w:rPr>
                <w:rFonts w:hint="eastAsia" w:ascii="宋体" w:hAnsi="宋体" w:eastAsia="宋体"/>
                <w:color w:val="auto"/>
                <w:sz w:val="24"/>
                <w:szCs w:val="24"/>
                <w:u w:val="single"/>
              </w:rPr>
              <w:t>、有机废G</w:t>
            </w:r>
            <w:r>
              <w:rPr>
                <w:rFonts w:hint="eastAsia" w:ascii="宋体" w:hAnsi="宋体" w:eastAsia="宋体"/>
                <w:color w:val="auto"/>
                <w:sz w:val="24"/>
                <w:szCs w:val="24"/>
                <w:u w:val="single"/>
                <w:lang w:val="en-US" w:eastAsia="zh-CN"/>
              </w:rPr>
              <w:t>3</w:t>
            </w:r>
            <w:r>
              <w:rPr>
                <w:rFonts w:hint="eastAsia" w:ascii="宋体" w:hAnsi="宋体" w:eastAsia="宋体"/>
                <w:color w:val="auto"/>
                <w:sz w:val="24"/>
                <w:szCs w:val="24"/>
                <w:u w:val="single"/>
              </w:rPr>
              <w:t>。</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（5）冷却：将定型好的半成品进行冷却，通过管道进行间接冷却，使得物料降至常温，稳定成型。</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（6）压花：将成型的半成品经压花机压花后得到纹理。此过程会产生噪声N</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u w:val="single"/>
              </w:rPr>
              <w:t>。</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（7）切割：通过横向切割对半成品进行切割，制成所需的宽度和厚度。此过程会产生噪声N</w:t>
            </w:r>
            <w:r>
              <w:rPr>
                <w:rFonts w:hint="eastAsia" w:ascii="宋体" w:hAnsi="宋体" w:eastAsia="宋体"/>
                <w:color w:val="auto"/>
                <w:sz w:val="24"/>
                <w:szCs w:val="24"/>
                <w:u w:val="single"/>
                <w:lang w:val="en-US" w:eastAsia="zh-CN"/>
              </w:rPr>
              <w:t>6</w:t>
            </w:r>
            <w:r>
              <w:rPr>
                <w:rFonts w:hint="eastAsia" w:ascii="宋体" w:hAnsi="宋体" w:eastAsia="宋体"/>
                <w:color w:val="auto"/>
                <w:sz w:val="24"/>
                <w:szCs w:val="24"/>
                <w:u w:val="single"/>
              </w:rPr>
              <w:t>、粉尘G</w:t>
            </w:r>
            <w:r>
              <w:rPr>
                <w:rFonts w:hint="eastAsia" w:ascii="宋体" w:hAnsi="宋体" w:eastAsia="宋体"/>
                <w:color w:val="auto"/>
                <w:sz w:val="24"/>
                <w:szCs w:val="24"/>
                <w:u w:val="single"/>
                <w:lang w:val="en-US" w:eastAsia="zh-CN"/>
              </w:rPr>
              <w:t>4</w:t>
            </w:r>
            <w:r>
              <w:rPr>
                <w:rFonts w:hint="eastAsia" w:ascii="宋体" w:hAnsi="宋体" w:eastAsia="宋体"/>
                <w:color w:val="auto"/>
                <w:sz w:val="24"/>
                <w:szCs w:val="24"/>
                <w:u w:val="single"/>
              </w:rPr>
              <w:t>、边角料S1。切割下来的边角料S1收集后经回料机破碎后回用于配料工序，此过程会产生噪声N</w:t>
            </w:r>
            <w:r>
              <w:rPr>
                <w:rFonts w:hint="eastAsia" w:ascii="宋体" w:hAnsi="宋体" w:eastAsia="宋体"/>
                <w:color w:val="auto"/>
                <w:sz w:val="24"/>
                <w:szCs w:val="24"/>
                <w:u w:val="single"/>
                <w:lang w:val="en-US" w:eastAsia="zh-CN"/>
              </w:rPr>
              <w:t>7</w:t>
            </w:r>
            <w:r>
              <w:rPr>
                <w:rFonts w:hint="eastAsia" w:ascii="宋体" w:hAnsi="宋体" w:eastAsia="宋体"/>
                <w:color w:val="auto"/>
                <w:sz w:val="24"/>
                <w:szCs w:val="24"/>
                <w:u w:val="single"/>
              </w:rPr>
              <w:t>、粉尘G</w:t>
            </w:r>
            <w:r>
              <w:rPr>
                <w:rFonts w:hint="eastAsia" w:ascii="宋体" w:hAnsi="宋体" w:eastAsia="宋体"/>
                <w:color w:val="auto"/>
                <w:sz w:val="24"/>
                <w:szCs w:val="24"/>
                <w:u w:val="single"/>
                <w:lang w:val="en-US" w:eastAsia="zh-CN"/>
              </w:rPr>
              <w:t>5</w:t>
            </w:r>
            <w:r>
              <w:rPr>
                <w:rFonts w:hint="eastAsia" w:ascii="宋体" w:hAnsi="宋体" w:eastAsia="宋体"/>
                <w:color w:val="auto"/>
                <w:sz w:val="24"/>
                <w:szCs w:val="24"/>
                <w:u w:val="single"/>
              </w:rPr>
              <w:t>。</w:t>
            </w:r>
          </w:p>
          <w:p>
            <w:pPr>
              <w:spacing w:line="360" w:lineRule="auto"/>
              <w:ind w:firstLine="480" w:firstLineChars="200"/>
              <w:rPr>
                <w:rFonts w:hint="eastAsia" w:ascii="宋体" w:hAnsi="宋体" w:eastAsia="宋体"/>
                <w:color w:val="auto"/>
                <w:szCs w:val="21"/>
              </w:rPr>
            </w:pPr>
            <w:r>
              <w:rPr>
                <w:rFonts w:hint="eastAsia" w:ascii="宋体" w:hAnsi="宋体" w:eastAsia="宋体"/>
                <w:color w:val="auto"/>
                <w:sz w:val="24"/>
                <w:szCs w:val="24"/>
                <w:u w:val="single"/>
              </w:rPr>
              <w:t>（8）包装入库：将成品挤塑保温板用塑料人工包装后入库待售</w:t>
            </w:r>
            <w:r>
              <w:rPr>
                <w:rFonts w:hint="eastAsia" w:ascii="宋体" w:hAnsi="宋体" w:eastAsia="宋体"/>
                <w:color w:val="auto"/>
                <w:szCs w:val="21"/>
              </w:rPr>
              <w:t>。</w:t>
            </w:r>
          </w:p>
          <w:p>
            <w:pPr>
              <w:jc w:val="left"/>
              <w:rPr>
                <w:rFonts w:hint="eastAsia" w:ascii="宋体" w:hAnsi="宋体" w:eastAsia="宋体"/>
                <w:b/>
                <w:bCs/>
                <w:color w:val="auto"/>
                <w:sz w:val="24"/>
                <w:szCs w:val="24"/>
                <w:u w:val="single"/>
                <w:lang w:val="en-US" w:eastAsia="zh-CN"/>
              </w:rPr>
            </w:pPr>
            <w:r>
              <w:rPr>
                <w:rFonts w:hint="eastAsia" w:ascii="宋体" w:hAnsi="宋体" w:eastAsia="宋体"/>
                <w:b/>
                <w:bCs/>
                <w:color w:val="auto"/>
                <w:sz w:val="24"/>
                <w:szCs w:val="24"/>
                <w:u w:val="single"/>
                <w:lang w:val="en-US" w:eastAsia="zh-CN"/>
              </w:rPr>
              <w:t>产污工序分析：</w:t>
            </w:r>
          </w:p>
          <w:p>
            <w:pPr>
              <w:spacing w:line="360" w:lineRule="auto"/>
              <w:jc w:val="center"/>
              <w:rPr>
                <w:b/>
              </w:rPr>
            </w:pPr>
            <w:r>
              <w:rPr>
                <w:rFonts w:hint="eastAsia"/>
                <w:b/>
              </w:rPr>
              <w:t>表2-5  项目污染物产生情况一览表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40"/>
              <w:gridCol w:w="893"/>
              <w:gridCol w:w="223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jc w:val="center"/>
                    <w:rPr>
                      <w:b/>
                    </w:rPr>
                  </w:pPr>
                  <w:r>
                    <w:rPr>
                      <w:rFonts w:hint="eastAsia"/>
                      <w:b/>
                    </w:rPr>
                    <w:t>污染物类型</w:t>
                  </w:r>
                </w:p>
              </w:tc>
              <w:tc>
                <w:tcPr>
                  <w:tcW w:w="1640" w:type="dxa"/>
                  <w:vAlign w:val="center"/>
                </w:tcPr>
                <w:p>
                  <w:pPr>
                    <w:jc w:val="center"/>
                    <w:rPr>
                      <w:b/>
                    </w:rPr>
                  </w:pPr>
                  <w:r>
                    <w:rPr>
                      <w:rFonts w:hint="eastAsia"/>
                      <w:b/>
                    </w:rPr>
                    <w:t>产生工序</w:t>
                  </w:r>
                </w:p>
              </w:tc>
              <w:tc>
                <w:tcPr>
                  <w:tcW w:w="893" w:type="dxa"/>
                  <w:vAlign w:val="center"/>
                </w:tcPr>
                <w:p>
                  <w:pPr>
                    <w:jc w:val="center"/>
                    <w:rPr>
                      <w:b/>
                    </w:rPr>
                  </w:pPr>
                  <w:r>
                    <w:rPr>
                      <w:rFonts w:hint="eastAsia"/>
                      <w:b/>
                    </w:rPr>
                    <w:t>代号</w:t>
                  </w:r>
                </w:p>
              </w:tc>
              <w:tc>
                <w:tcPr>
                  <w:tcW w:w="2235" w:type="dxa"/>
                  <w:vAlign w:val="center"/>
                </w:tcPr>
                <w:p>
                  <w:pPr>
                    <w:jc w:val="center"/>
                    <w:rPr>
                      <w:b/>
                    </w:rPr>
                  </w:pPr>
                  <w:r>
                    <w:rPr>
                      <w:rFonts w:hint="eastAsia"/>
                      <w:b/>
                    </w:rPr>
                    <w:t>污染物名称</w:t>
                  </w:r>
                </w:p>
              </w:tc>
              <w:tc>
                <w:tcPr>
                  <w:tcW w:w="2730" w:type="dxa"/>
                  <w:vAlign w:val="center"/>
                </w:tcPr>
                <w:p>
                  <w:pPr>
                    <w:jc w:val="center"/>
                    <w:rPr>
                      <w:b/>
                    </w:rPr>
                  </w:pPr>
                  <w:r>
                    <w:rPr>
                      <w:rFonts w:hint="eastAsia"/>
                      <w:b/>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restart"/>
                  <w:vAlign w:val="center"/>
                </w:tcPr>
                <w:p>
                  <w:pPr>
                    <w:jc w:val="center"/>
                  </w:pPr>
                  <w:r>
                    <w:rPr>
                      <w:rFonts w:hint="eastAsia"/>
                    </w:rPr>
                    <w:t>废气</w:t>
                  </w:r>
                </w:p>
              </w:tc>
              <w:tc>
                <w:tcPr>
                  <w:tcW w:w="1640" w:type="dxa"/>
                  <w:vAlign w:val="center"/>
                </w:tcPr>
                <w:p>
                  <w:pPr>
                    <w:jc w:val="center"/>
                    <w:rPr>
                      <w:rFonts w:hint="eastAsia" w:eastAsiaTheme="minorEastAsia"/>
                      <w:lang w:eastAsia="zh-CN"/>
                    </w:rPr>
                  </w:pPr>
                  <w:r>
                    <w:rPr>
                      <w:rFonts w:hint="eastAsia"/>
                    </w:rPr>
                    <w:t>熔融</w:t>
                  </w:r>
                </w:p>
              </w:tc>
              <w:tc>
                <w:tcPr>
                  <w:tcW w:w="893" w:type="dxa"/>
                  <w:vAlign w:val="center"/>
                </w:tcPr>
                <w:p>
                  <w:pPr>
                    <w:jc w:val="center"/>
                  </w:pPr>
                  <w:r>
                    <w:rPr>
                      <w:rFonts w:hint="eastAsia"/>
                    </w:rPr>
                    <w:t>G</w:t>
                  </w:r>
                  <w:r>
                    <w:rPr>
                      <w:rFonts w:hint="eastAsia"/>
                      <w:lang w:val="en-US" w:eastAsia="zh-CN"/>
                    </w:rPr>
                    <w:t>1</w:t>
                  </w:r>
                </w:p>
              </w:tc>
              <w:tc>
                <w:tcPr>
                  <w:tcW w:w="2235" w:type="dxa"/>
                  <w:vAlign w:val="center"/>
                </w:tcPr>
                <w:p>
                  <w:pPr>
                    <w:jc w:val="center"/>
                    <w:rPr>
                      <w:rFonts w:hint="default" w:eastAsiaTheme="minorEastAsia"/>
                      <w:lang w:val="en-US" w:eastAsia="zh-CN"/>
                    </w:rPr>
                  </w:pPr>
                  <w:r>
                    <w:rPr>
                      <w:rFonts w:hint="eastAsia"/>
                    </w:rPr>
                    <w:t>熔融</w:t>
                  </w:r>
                  <w:r>
                    <w:rPr>
                      <w:rFonts w:hint="eastAsia"/>
                      <w:lang w:val="en-US" w:eastAsia="zh-CN"/>
                    </w:rPr>
                    <w:t>废气</w:t>
                  </w:r>
                </w:p>
              </w:tc>
              <w:tc>
                <w:tcPr>
                  <w:tcW w:w="2730" w:type="dxa"/>
                  <w:vAlign w:val="center"/>
                </w:tcPr>
                <w:p>
                  <w:pPr>
                    <w:jc w:val="center"/>
                    <w:rPr>
                      <w:rFonts w:hint="default" w:eastAsiaTheme="minorEastAsia"/>
                      <w:lang w:val="en-US" w:eastAsia="zh-CN"/>
                    </w:rPr>
                  </w:pPr>
                  <w:r>
                    <w:rPr>
                      <w:rFonts w:hint="eastAsia"/>
                      <w:lang w:val="en-US" w:eastAsia="zh-CN"/>
                    </w:rPr>
                    <w:t>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pPr>
                  <w:r>
                    <w:rPr>
                      <w:rFonts w:hint="eastAsia" w:ascii="宋体" w:hAnsi="宋体" w:eastAsia="宋体"/>
                      <w:color w:val="auto"/>
                      <w:sz w:val="24"/>
                      <w:szCs w:val="24"/>
                      <w:u w:val="single"/>
                    </w:rPr>
                    <w:t>发泡</w:t>
                  </w:r>
                </w:p>
              </w:tc>
              <w:tc>
                <w:tcPr>
                  <w:tcW w:w="893" w:type="dxa"/>
                  <w:vAlign w:val="center"/>
                </w:tcPr>
                <w:p>
                  <w:pPr>
                    <w:jc w:val="center"/>
                    <w:rPr>
                      <w:rFonts w:hint="eastAsia" w:eastAsiaTheme="minorEastAsia"/>
                      <w:lang w:eastAsia="zh-CN"/>
                    </w:rPr>
                  </w:pPr>
                  <w:r>
                    <w:rPr>
                      <w:rFonts w:hint="eastAsia"/>
                      <w:lang w:val="en-US" w:eastAsia="zh-CN"/>
                    </w:rPr>
                    <w:t>G2</w:t>
                  </w:r>
                </w:p>
              </w:tc>
              <w:tc>
                <w:tcPr>
                  <w:tcW w:w="2235" w:type="dxa"/>
                  <w:vAlign w:val="center"/>
                </w:tcPr>
                <w:p>
                  <w:pPr>
                    <w:jc w:val="center"/>
                  </w:pPr>
                  <w:r>
                    <w:rPr>
                      <w:rFonts w:hint="eastAsia"/>
                      <w:lang w:val="en-US" w:eastAsia="zh-CN"/>
                    </w:rPr>
                    <w:t>发泡废气</w:t>
                  </w:r>
                </w:p>
              </w:tc>
              <w:tc>
                <w:tcPr>
                  <w:tcW w:w="2730" w:type="dxa"/>
                  <w:vAlign w:val="center"/>
                </w:tcPr>
                <w:p>
                  <w:pPr>
                    <w:jc w:val="center"/>
                  </w:pPr>
                  <w:r>
                    <w:rPr>
                      <w:rFonts w:hint="eastAsia"/>
                      <w:lang w:val="en-US" w:eastAsia="zh-CN"/>
                    </w:rPr>
                    <w:t>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pPr>
                  <w:r>
                    <w:rPr>
                      <w:rFonts w:hint="eastAsia" w:ascii="宋体" w:hAnsi="宋体" w:eastAsia="宋体"/>
                      <w:color w:val="auto"/>
                      <w:sz w:val="24"/>
                      <w:szCs w:val="24"/>
                      <w:u w:val="single"/>
                    </w:rPr>
                    <w:t>挤塑</w:t>
                  </w:r>
                </w:p>
              </w:tc>
              <w:tc>
                <w:tcPr>
                  <w:tcW w:w="893" w:type="dxa"/>
                  <w:vAlign w:val="center"/>
                </w:tcPr>
                <w:p>
                  <w:pPr>
                    <w:jc w:val="center"/>
                    <w:rPr>
                      <w:rFonts w:hint="default" w:eastAsiaTheme="minorEastAsia"/>
                      <w:lang w:val="en-US" w:eastAsia="zh-CN"/>
                    </w:rPr>
                  </w:pPr>
                  <w:r>
                    <w:rPr>
                      <w:rFonts w:hint="eastAsia"/>
                      <w:lang w:val="en-US" w:eastAsia="zh-CN"/>
                    </w:rPr>
                    <w:t>G3</w:t>
                  </w:r>
                </w:p>
              </w:tc>
              <w:tc>
                <w:tcPr>
                  <w:tcW w:w="2235" w:type="dxa"/>
                  <w:vAlign w:val="center"/>
                </w:tcPr>
                <w:p>
                  <w:pPr>
                    <w:jc w:val="center"/>
                    <w:rPr>
                      <w:rFonts w:hint="default" w:eastAsiaTheme="minorEastAsia"/>
                      <w:lang w:val="en-US" w:eastAsia="zh-CN"/>
                    </w:rPr>
                  </w:pPr>
                  <w:r>
                    <w:rPr>
                      <w:rFonts w:hint="eastAsia" w:ascii="宋体" w:hAnsi="宋体" w:eastAsia="宋体"/>
                      <w:color w:val="auto"/>
                      <w:sz w:val="24"/>
                      <w:szCs w:val="24"/>
                      <w:u w:val="single"/>
                    </w:rPr>
                    <w:t>挤塑</w:t>
                  </w:r>
                  <w:r>
                    <w:rPr>
                      <w:rFonts w:hint="eastAsia" w:ascii="宋体" w:hAnsi="宋体" w:eastAsia="宋体"/>
                      <w:color w:val="auto"/>
                      <w:sz w:val="24"/>
                      <w:szCs w:val="24"/>
                      <w:u w:val="single"/>
                      <w:lang w:val="en-US" w:eastAsia="zh-CN"/>
                    </w:rPr>
                    <w:t>废气</w:t>
                  </w:r>
                </w:p>
              </w:tc>
              <w:tc>
                <w:tcPr>
                  <w:tcW w:w="2730" w:type="dxa"/>
                  <w:vAlign w:val="center"/>
                </w:tcPr>
                <w:p>
                  <w:pPr>
                    <w:jc w:val="center"/>
                    <w:rPr>
                      <w:rFonts w:hint="default" w:eastAsiaTheme="minorEastAsia"/>
                      <w:lang w:val="en-US" w:eastAsia="zh-CN"/>
                    </w:rPr>
                  </w:pPr>
                  <w:r>
                    <w:rPr>
                      <w:rFonts w:hint="eastAsia"/>
                      <w:lang w:val="en-US" w:eastAsia="zh-CN"/>
                    </w:rPr>
                    <w:t>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23" w:type="dxa"/>
                  <w:vMerge w:val="continue"/>
                  <w:vAlign w:val="center"/>
                </w:tcPr>
                <w:p>
                  <w:pPr>
                    <w:jc w:val="center"/>
                  </w:pPr>
                </w:p>
              </w:tc>
              <w:tc>
                <w:tcPr>
                  <w:tcW w:w="1640" w:type="dxa"/>
                  <w:vAlign w:val="center"/>
                </w:tcPr>
                <w:p>
                  <w:pPr>
                    <w:jc w:val="center"/>
                  </w:pPr>
                  <w:r>
                    <w:rPr>
                      <w:rFonts w:hint="eastAsia"/>
                      <w:lang w:val="en-US" w:eastAsia="zh-CN"/>
                    </w:rPr>
                    <w:t>切割</w:t>
                  </w:r>
                </w:p>
              </w:tc>
              <w:tc>
                <w:tcPr>
                  <w:tcW w:w="893" w:type="dxa"/>
                  <w:vAlign w:val="center"/>
                </w:tcPr>
                <w:p>
                  <w:pPr>
                    <w:jc w:val="center"/>
                    <w:rPr>
                      <w:rFonts w:hint="default" w:eastAsiaTheme="minorEastAsia"/>
                      <w:lang w:val="en-US" w:eastAsia="zh-CN"/>
                    </w:rPr>
                  </w:pPr>
                  <w:r>
                    <w:rPr>
                      <w:rFonts w:hint="eastAsia"/>
                      <w:lang w:val="en-US" w:eastAsia="zh-CN"/>
                    </w:rPr>
                    <w:t>G4</w:t>
                  </w:r>
                </w:p>
              </w:tc>
              <w:tc>
                <w:tcPr>
                  <w:tcW w:w="2235" w:type="dxa"/>
                  <w:vAlign w:val="center"/>
                </w:tcPr>
                <w:p>
                  <w:pPr>
                    <w:jc w:val="center"/>
                    <w:rPr>
                      <w:rFonts w:hint="eastAsia" w:eastAsia="宋体"/>
                      <w:lang w:val="en-US" w:eastAsia="zh-CN"/>
                    </w:rPr>
                  </w:pPr>
                  <w:r>
                    <w:rPr>
                      <w:rFonts w:hint="eastAsia"/>
                      <w:lang w:val="en-US" w:eastAsia="zh-CN"/>
                    </w:rPr>
                    <w:t>切割废气</w:t>
                  </w:r>
                </w:p>
              </w:tc>
              <w:tc>
                <w:tcPr>
                  <w:tcW w:w="2730" w:type="dxa"/>
                  <w:vAlign w:val="center"/>
                </w:tcPr>
                <w:p>
                  <w:pPr>
                    <w:jc w:val="cente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rPr>
                      <w:rFonts w:hint="eastAsia" w:eastAsiaTheme="minorEastAsia"/>
                      <w:lang w:val="en-US" w:eastAsia="zh-CN"/>
                    </w:rPr>
                  </w:pPr>
                  <w:r>
                    <w:rPr>
                      <w:rFonts w:hint="eastAsia"/>
                      <w:lang w:val="en-US" w:eastAsia="zh-CN"/>
                    </w:rPr>
                    <w:t>破碎</w:t>
                  </w:r>
                </w:p>
              </w:tc>
              <w:tc>
                <w:tcPr>
                  <w:tcW w:w="893" w:type="dxa"/>
                  <w:vAlign w:val="center"/>
                </w:tcPr>
                <w:p>
                  <w:pPr>
                    <w:jc w:val="center"/>
                    <w:rPr>
                      <w:rFonts w:hint="default" w:eastAsiaTheme="minorEastAsia"/>
                      <w:lang w:val="en-US" w:eastAsia="zh-CN"/>
                    </w:rPr>
                  </w:pPr>
                  <w:r>
                    <w:rPr>
                      <w:rFonts w:hint="eastAsia"/>
                    </w:rPr>
                    <w:t>G</w:t>
                  </w:r>
                  <w:r>
                    <w:rPr>
                      <w:rFonts w:hint="eastAsia"/>
                      <w:lang w:val="en-US" w:eastAsia="zh-CN"/>
                    </w:rPr>
                    <w:t>5</w:t>
                  </w:r>
                </w:p>
              </w:tc>
              <w:tc>
                <w:tcPr>
                  <w:tcW w:w="2235" w:type="dxa"/>
                  <w:vAlign w:val="center"/>
                </w:tcPr>
                <w:p>
                  <w:pPr>
                    <w:jc w:val="center"/>
                    <w:rPr>
                      <w:rFonts w:hint="default" w:eastAsiaTheme="minorEastAsia"/>
                      <w:lang w:val="en-US" w:eastAsia="zh-CN"/>
                    </w:rPr>
                  </w:pPr>
                  <w:r>
                    <w:rPr>
                      <w:rFonts w:hint="eastAsia"/>
                      <w:lang w:val="en-US" w:eastAsia="zh-CN"/>
                    </w:rPr>
                    <w:t>破碎废气</w:t>
                  </w:r>
                </w:p>
              </w:tc>
              <w:tc>
                <w:tcPr>
                  <w:tcW w:w="2730" w:type="dxa"/>
                  <w:vAlign w:val="center"/>
                </w:tcPr>
                <w:p>
                  <w:pPr>
                    <w:jc w:val="center"/>
                    <w:rPr>
                      <w:rFonts w:hint="eastAsia" w:eastAsiaTheme="minorEastAsia"/>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jc w:val="center"/>
                  </w:pPr>
                  <w:r>
                    <w:rPr>
                      <w:rFonts w:hint="eastAsia"/>
                    </w:rPr>
                    <w:t>废水</w:t>
                  </w:r>
                </w:p>
              </w:tc>
              <w:tc>
                <w:tcPr>
                  <w:tcW w:w="1640" w:type="dxa"/>
                  <w:vAlign w:val="center"/>
                </w:tcPr>
                <w:p>
                  <w:pPr>
                    <w:jc w:val="center"/>
                    <w:rPr>
                      <w:u w:val="single"/>
                    </w:rPr>
                  </w:pPr>
                  <w:r>
                    <w:rPr>
                      <w:rFonts w:hint="eastAsia"/>
                    </w:rPr>
                    <w:t>员工</w:t>
                  </w:r>
                </w:p>
              </w:tc>
              <w:tc>
                <w:tcPr>
                  <w:tcW w:w="893" w:type="dxa"/>
                  <w:vAlign w:val="center"/>
                </w:tcPr>
                <w:p>
                  <w:pPr>
                    <w:jc w:val="center"/>
                    <w:rPr>
                      <w:rFonts w:hint="eastAsia" w:eastAsiaTheme="minorEastAsia"/>
                      <w:u w:val="single"/>
                      <w:lang w:eastAsia="zh-CN"/>
                    </w:rPr>
                  </w:pPr>
                  <w:r>
                    <w:rPr>
                      <w:rFonts w:hint="eastAsia"/>
                    </w:rPr>
                    <w:t>W</w:t>
                  </w:r>
                  <w:r>
                    <w:rPr>
                      <w:rFonts w:hint="eastAsia"/>
                      <w:lang w:val="en-US" w:eastAsia="zh-CN"/>
                    </w:rPr>
                    <w:t>1</w:t>
                  </w:r>
                </w:p>
              </w:tc>
              <w:tc>
                <w:tcPr>
                  <w:tcW w:w="2235" w:type="dxa"/>
                  <w:vAlign w:val="center"/>
                </w:tcPr>
                <w:p>
                  <w:pPr>
                    <w:jc w:val="center"/>
                    <w:rPr>
                      <w:u w:val="single"/>
                    </w:rPr>
                  </w:pPr>
                  <w:r>
                    <w:rPr>
                      <w:rFonts w:hint="eastAsia"/>
                    </w:rPr>
                    <w:t>生活污水</w:t>
                  </w:r>
                </w:p>
              </w:tc>
              <w:tc>
                <w:tcPr>
                  <w:tcW w:w="2730" w:type="dxa"/>
                  <w:vAlign w:val="center"/>
                </w:tcPr>
                <w:p>
                  <w:pPr>
                    <w:jc w:val="center"/>
                    <w:rPr>
                      <w:u w:val="single"/>
                    </w:rPr>
                  </w:pPr>
                  <w:r>
                    <w:rPr>
                      <w:rFonts w:hint="eastAsia"/>
                    </w:rPr>
                    <w:t>COD</w:t>
                  </w:r>
                  <w:r>
                    <w:rPr>
                      <w:rFonts w:hint="eastAsia"/>
                      <w:vertAlign w:val="subscript"/>
                    </w:rPr>
                    <w:t>Cr</w:t>
                  </w:r>
                  <w:r>
                    <w:rPr>
                      <w:rFonts w:hint="eastAsia"/>
                    </w:rPr>
                    <w:t>、BOD</w:t>
                  </w:r>
                  <w:r>
                    <w:rPr>
                      <w:rFonts w:hint="eastAsia"/>
                      <w:vertAlign w:val="subscript"/>
                    </w:rPr>
                    <w:t>5</w:t>
                  </w:r>
                  <w:r>
                    <w:rPr>
                      <w:rFonts w:hint="eastAsia"/>
                    </w:rPr>
                    <w:t>、NH</w:t>
                  </w:r>
                  <w:r>
                    <w:rPr>
                      <w:rFonts w:hint="eastAsia"/>
                      <w:vertAlign w:val="subscript"/>
                    </w:rPr>
                    <w:t>3</w:t>
                  </w:r>
                  <w:r>
                    <w:rPr>
                      <w:rFonts w:hint="eastAsia"/>
                    </w:rPr>
                    <w:t>-N等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restart"/>
                  <w:vAlign w:val="center"/>
                </w:tcPr>
                <w:p>
                  <w:pPr>
                    <w:jc w:val="center"/>
                  </w:pPr>
                  <w:r>
                    <w:rPr>
                      <w:rFonts w:hint="eastAsia"/>
                    </w:rPr>
                    <w:t>固废</w:t>
                  </w:r>
                </w:p>
              </w:tc>
              <w:tc>
                <w:tcPr>
                  <w:tcW w:w="1640" w:type="dxa"/>
                  <w:vAlign w:val="center"/>
                </w:tcPr>
                <w:p>
                  <w:pPr>
                    <w:jc w:val="center"/>
                    <w:rPr>
                      <w:rFonts w:hint="default" w:eastAsiaTheme="minorEastAsia"/>
                      <w:lang w:val="en-US" w:eastAsia="zh-CN"/>
                    </w:rPr>
                  </w:pPr>
                  <w:r>
                    <w:rPr>
                      <w:rFonts w:hint="eastAsia"/>
                      <w:lang w:val="en-US" w:eastAsia="zh-CN"/>
                    </w:rPr>
                    <w:t>边角料</w:t>
                  </w:r>
                </w:p>
              </w:tc>
              <w:tc>
                <w:tcPr>
                  <w:tcW w:w="893" w:type="dxa"/>
                  <w:vAlign w:val="center"/>
                </w:tcPr>
                <w:p>
                  <w:pPr>
                    <w:jc w:val="center"/>
                  </w:pPr>
                  <w:r>
                    <w:rPr>
                      <w:rFonts w:hint="eastAsia"/>
                    </w:rPr>
                    <w:t>S1</w:t>
                  </w:r>
                </w:p>
              </w:tc>
              <w:tc>
                <w:tcPr>
                  <w:tcW w:w="2235" w:type="dxa"/>
                  <w:vAlign w:val="center"/>
                </w:tcPr>
                <w:p>
                  <w:pPr>
                    <w:jc w:val="center"/>
                    <w:rPr>
                      <w:rFonts w:hint="eastAsia" w:eastAsiaTheme="minorEastAsia"/>
                      <w:lang w:eastAsia="zh-CN"/>
                    </w:rPr>
                  </w:pPr>
                  <w:r>
                    <w:rPr>
                      <w:rFonts w:hint="eastAsia"/>
                      <w:lang w:val="en-US" w:eastAsia="zh-CN"/>
                    </w:rPr>
                    <w:t>边角料</w:t>
                  </w:r>
                </w:p>
              </w:tc>
              <w:tc>
                <w:tcPr>
                  <w:tcW w:w="2730" w:type="dxa"/>
                  <w:vAlign w:val="center"/>
                </w:tcPr>
                <w:p>
                  <w:pPr>
                    <w:jc w:val="center"/>
                  </w:pPr>
                  <w:r>
                    <w:rPr>
                      <w:rFonts w:hint="eastAsia"/>
                      <w:lang w:val="en-US" w:eastAsia="zh-CN"/>
                    </w:rPr>
                    <w:t>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rPr>
                      <w:rFonts w:hint="default" w:eastAsiaTheme="minorEastAsia"/>
                      <w:lang w:val="en-US" w:eastAsia="zh-CN"/>
                    </w:rPr>
                  </w:pPr>
                  <w:r>
                    <w:rPr>
                      <w:rFonts w:hint="eastAsia"/>
                      <w:lang w:val="en-US" w:eastAsia="zh-CN"/>
                    </w:rPr>
                    <w:t>布袋废气处理</w:t>
                  </w:r>
                </w:p>
              </w:tc>
              <w:tc>
                <w:tcPr>
                  <w:tcW w:w="893" w:type="dxa"/>
                  <w:vAlign w:val="center"/>
                </w:tcPr>
                <w:p>
                  <w:pPr>
                    <w:jc w:val="center"/>
                  </w:pPr>
                  <w:r>
                    <w:rPr>
                      <w:rFonts w:hint="eastAsia"/>
                    </w:rPr>
                    <w:t>S2</w:t>
                  </w:r>
                </w:p>
              </w:tc>
              <w:tc>
                <w:tcPr>
                  <w:tcW w:w="2235" w:type="dxa"/>
                  <w:vAlign w:val="center"/>
                </w:tcPr>
                <w:p>
                  <w:pPr>
                    <w:jc w:val="center"/>
                    <w:rPr>
                      <w:rFonts w:hint="default" w:eastAsiaTheme="minorEastAsia"/>
                      <w:lang w:val="en-US" w:eastAsia="zh-CN"/>
                    </w:rPr>
                  </w:pPr>
                  <w:r>
                    <w:rPr>
                      <w:rFonts w:hint="eastAsia"/>
                      <w:lang w:val="en-US" w:eastAsia="zh-CN"/>
                    </w:rPr>
                    <w:t>除尘器粉尘</w:t>
                  </w:r>
                </w:p>
              </w:tc>
              <w:tc>
                <w:tcPr>
                  <w:tcW w:w="2730" w:type="dxa"/>
                  <w:vAlign w:val="center"/>
                </w:tcPr>
                <w:p>
                  <w:pPr>
                    <w:jc w:val="center"/>
                    <w:rPr>
                      <w:rFonts w:hint="eastAsia" w:eastAsiaTheme="minorEastAsia"/>
                      <w:lang w:eastAsia="zh-CN"/>
                    </w:rPr>
                  </w:pPr>
                  <w:r>
                    <w:rPr>
                      <w:rFonts w:hint="eastAsia"/>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rPr>
                      <w:rFonts w:hint="default" w:eastAsiaTheme="minorEastAsia"/>
                      <w:lang w:val="en-US" w:eastAsia="zh-CN"/>
                    </w:rPr>
                  </w:pPr>
                  <w:r>
                    <w:rPr>
                      <w:rFonts w:hint="eastAsia"/>
                      <w:lang w:val="en-US" w:eastAsia="zh-CN"/>
                    </w:rPr>
                    <w:t>活性炭吸附</w:t>
                  </w:r>
                </w:p>
              </w:tc>
              <w:tc>
                <w:tcPr>
                  <w:tcW w:w="893" w:type="dxa"/>
                  <w:vAlign w:val="center"/>
                </w:tcPr>
                <w:p>
                  <w:pPr>
                    <w:jc w:val="center"/>
                  </w:pPr>
                  <w:r>
                    <w:rPr>
                      <w:rFonts w:hint="eastAsia"/>
                    </w:rPr>
                    <w:t>S3</w:t>
                  </w:r>
                </w:p>
              </w:tc>
              <w:tc>
                <w:tcPr>
                  <w:tcW w:w="2235" w:type="dxa"/>
                  <w:vAlign w:val="center"/>
                </w:tcPr>
                <w:p>
                  <w:pPr>
                    <w:jc w:val="center"/>
                    <w:rPr>
                      <w:rFonts w:hint="default" w:eastAsiaTheme="minorEastAsia"/>
                      <w:lang w:val="en-US" w:eastAsia="zh-CN"/>
                    </w:rPr>
                  </w:pPr>
                  <w:r>
                    <w:rPr>
                      <w:rFonts w:hint="eastAsia"/>
                      <w:lang w:val="en-US" w:eastAsia="zh-CN"/>
                    </w:rPr>
                    <w:t>废活性炭</w:t>
                  </w:r>
                </w:p>
              </w:tc>
              <w:tc>
                <w:tcPr>
                  <w:tcW w:w="2730" w:type="dxa"/>
                  <w:vAlign w:val="center"/>
                </w:tcPr>
                <w:p>
                  <w:pPr>
                    <w:jc w:val="center"/>
                    <w:rPr>
                      <w:rFonts w:hint="default" w:eastAsiaTheme="minorEastAsia"/>
                      <w:lang w:val="en-US" w:eastAsia="zh-CN"/>
                    </w:rPr>
                  </w:pPr>
                  <w:r>
                    <w:rPr>
                      <w:rFonts w:hint="eastAsia"/>
                      <w:lang w:val="en-US" w:eastAsia="zh-CN"/>
                    </w:rPr>
                    <w:t>废活性炭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pPr>
                  <w:r>
                    <w:rPr>
                      <w:rFonts w:hint="eastAsia"/>
                    </w:rPr>
                    <w:t>员工生活</w:t>
                  </w:r>
                </w:p>
              </w:tc>
              <w:tc>
                <w:tcPr>
                  <w:tcW w:w="893" w:type="dxa"/>
                  <w:vAlign w:val="center"/>
                </w:tcPr>
                <w:p>
                  <w:pPr>
                    <w:jc w:val="center"/>
                  </w:pPr>
                  <w:r>
                    <w:rPr>
                      <w:rFonts w:hint="eastAsia"/>
                    </w:rPr>
                    <w:t>S4</w:t>
                  </w:r>
                </w:p>
              </w:tc>
              <w:tc>
                <w:tcPr>
                  <w:tcW w:w="2235" w:type="dxa"/>
                  <w:vAlign w:val="center"/>
                </w:tcPr>
                <w:p>
                  <w:pPr>
                    <w:jc w:val="center"/>
                  </w:pPr>
                  <w:r>
                    <w:rPr>
                      <w:rFonts w:hint="eastAsia"/>
                    </w:rPr>
                    <w:t>生活垃圾</w:t>
                  </w:r>
                </w:p>
              </w:tc>
              <w:tc>
                <w:tcPr>
                  <w:tcW w:w="2730" w:type="dxa"/>
                  <w:vAlign w:val="center"/>
                </w:tcPr>
                <w:p>
                  <w:pPr>
                    <w:jc w:val="center"/>
                  </w:pPr>
                  <w:r>
                    <w:rPr>
                      <w:rFonts w:hint="eastAsia"/>
                    </w:rPr>
                    <w:t>塑料、有机质等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pPr>
                    <w:jc w:val="center"/>
                  </w:pPr>
                </w:p>
              </w:tc>
              <w:tc>
                <w:tcPr>
                  <w:tcW w:w="1640" w:type="dxa"/>
                  <w:vAlign w:val="center"/>
                </w:tcPr>
                <w:p>
                  <w:pPr>
                    <w:jc w:val="center"/>
                    <w:rPr>
                      <w:rFonts w:hint="default" w:eastAsiaTheme="minorEastAsia"/>
                      <w:u w:val="single"/>
                      <w:lang w:val="en-US" w:eastAsia="zh-CN"/>
                    </w:rPr>
                  </w:pPr>
                  <w:r>
                    <w:rPr>
                      <w:rFonts w:hint="eastAsia"/>
                      <w:u w:val="single"/>
                      <w:lang w:val="en-US" w:eastAsia="zh-CN"/>
                    </w:rPr>
                    <w:t>废旧灯管</w:t>
                  </w:r>
                </w:p>
              </w:tc>
              <w:tc>
                <w:tcPr>
                  <w:tcW w:w="893" w:type="dxa"/>
                  <w:vAlign w:val="center"/>
                </w:tcPr>
                <w:p>
                  <w:pPr>
                    <w:jc w:val="center"/>
                    <w:rPr>
                      <w:rFonts w:hint="default" w:eastAsiaTheme="minorEastAsia"/>
                      <w:u w:val="single"/>
                      <w:lang w:val="en-US" w:eastAsia="zh-CN"/>
                    </w:rPr>
                  </w:pPr>
                  <w:r>
                    <w:rPr>
                      <w:rFonts w:hint="eastAsia"/>
                      <w:u w:val="single"/>
                      <w:lang w:val="en-US" w:eastAsia="zh-CN"/>
                    </w:rPr>
                    <w:t>S5</w:t>
                  </w:r>
                </w:p>
              </w:tc>
              <w:tc>
                <w:tcPr>
                  <w:tcW w:w="2235" w:type="dxa"/>
                  <w:vAlign w:val="center"/>
                </w:tcPr>
                <w:p>
                  <w:pPr>
                    <w:jc w:val="center"/>
                    <w:rPr>
                      <w:rFonts w:hint="default" w:eastAsiaTheme="minorEastAsia"/>
                      <w:u w:val="single"/>
                      <w:lang w:val="en-US" w:eastAsia="zh-CN"/>
                    </w:rPr>
                  </w:pPr>
                  <w:r>
                    <w:rPr>
                      <w:rFonts w:hint="eastAsia"/>
                      <w:u w:val="single"/>
                      <w:lang w:val="en-US" w:eastAsia="zh-CN"/>
                    </w:rPr>
                    <w:t>废旧灯管</w:t>
                  </w:r>
                </w:p>
              </w:tc>
              <w:tc>
                <w:tcPr>
                  <w:tcW w:w="2730" w:type="dxa"/>
                  <w:vAlign w:val="center"/>
                </w:tcPr>
                <w:p>
                  <w:pPr>
                    <w:jc w:val="center"/>
                    <w:rPr>
                      <w:rFonts w:hint="default" w:eastAsiaTheme="minorEastAsia"/>
                      <w:u w:val="single"/>
                      <w:lang w:val="en-US" w:eastAsia="zh-CN"/>
                    </w:rPr>
                  </w:pPr>
                  <w:r>
                    <w:rPr>
                      <w:rFonts w:hint="eastAsia"/>
                      <w:u w:val="single"/>
                      <w:lang w:val="en-US" w:eastAsia="zh-CN"/>
                    </w:rPr>
                    <w:t>光氧催化后报废灯管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jc w:val="center"/>
                  </w:pPr>
                  <w:r>
                    <w:rPr>
                      <w:rFonts w:hint="eastAsia"/>
                    </w:rPr>
                    <w:t>噪声</w:t>
                  </w:r>
                </w:p>
              </w:tc>
              <w:tc>
                <w:tcPr>
                  <w:tcW w:w="1640" w:type="dxa"/>
                  <w:vAlign w:val="center"/>
                </w:tcPr>
                <w:p>
                  <w:pPr>
                    <w:jc w:val="center"/>
                  </w:pPr>
                  <w:r>
                    <w:rPr>
                      <w:rFonts w:hint="eastAsia"/>
                    </w:rPr>
                    <w:t>生产过程</w:t>
                  </w:r>
                </w:p>
              </w:tc>
              <w:tc>
                <w:tcPr>
                  <w:tcW w:w="893" w:type="dxa"/>
                  <w:vAlign w:val="center"/>
                </w:tcPr>
                <w:p>
                  <w:pPr>
                    <w:jc w:val="center"/>
                  </w:pPr>
                  <w:r>
                    <w:rPr>
                      <w:rFonts w:hint="eastAsia"/>
                    </w:rPr>
                    <w:t>N</w:t>
                  </w:r>
                </w:p>
              </w:tc>
              <w:tc>
                <w:tcPr>
                  <w:tcW w:w="4965" w:type="dxa"/>
                  <w:gridSpan w:val="2"/>
                  <w:vAlign w:val="center"/>
                </w:tcPr>
                <w:p>
                  <w:pPr>
                    <w:jc w:val="center"/>
                  </w:pPr>
                  <w:r>
                    <w:rPr>
                      <w:rFonts w:hint="eastAsia"/>
                      <w:lang w:val="en-US" w:eastAsia="zh-CN"/>
                    </w:rPr>
                    <w:t>混料</w:t>
                  </w:r>
                  <w:r>
                    <w:rPr>
                      <w:rFonts w:hint="eastAsia"/>
                    </w:rPr>
                    <w:t>、</w:t>
                  </w:r>
                  <w:r>
                    <w:rPr>
                      <w:rFonts w:hint="eastAsia"/>
                      <w:lang w:val="en-US" w:eastAsia="zh-CN"/>
                    </w:rPr>
                    <w:t>切割</w:t>
                  </w:r>
                  <w:r>
                    <w:rPr>
                      <w:rFonts w:hint="eastAsia"/>
                    </w:rPr>
                    <w:t>、破碎过程产生的噪声</w:t>
                  </w:r>
                </w:p>
              </w:tc>
            </w:tr>
          </w:tbl>
          <w:p>
            <w:pPr>
              <w:spacing w:line="360" w:lineRule="auto"/>
              <w:rPr>
                <w:rFonts w:ascii="宋体" w:hAnsi="宋体" w:eastAsia="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12" w:hRule="atLeast"/>
        </w:trPr>
        <w:tc>
          <w:tcPr>
            <w:tcW w:w="419"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szCs w:val="21"/>
              </w:rPr>
            </w:pPr>
          </w:p>
          <w:p>
            <w:pPr>
              <w:spacing w:line="360" w:lineRule="auto"/>
              <w:jc w:val="center"/>
              <w:rPr>
                <w:rFonts w:ascii="宋体" w:hAnsi="宋体" w:eastAsia="宋体"/>
                <w:color w:val="auto"/>
                <w:szCs w:val="21"/>
              </w:rPr>
            </w:pPr>
            <w:r>
              <w:rPr>
                <w:rFonts w:ascii="宋体" w:hAnsi="宋体" w:eastAsia="宋体"/>
                <w:color w:val="auto"/>
                <w:szCs w:val="21"/>
              </w:rPr>
              <w:t>原有环境污染问题</w:t>
            </w:r>
          </w:p>
        </w:tc>
        <w:tc>
          <w:tcPr>
            <w:tcW w:w="8551" w:type="dxa"/>
            <w:tcBorders>
              <w:top w:val="single" w:color="000000" w:sz="8" w:space="0"/>
              <w:left w:val="single" w:color="000000" w:sz="8" w:space="0"/>
              <w:bottom w:val="single" w:color="000000" w:sz="8" w:space="0"/>
              <w:right w:val="single" w:color="000000" w:sz="8" w:space="0"/>
            </w:tcBorders>
          </w:tcPr>
          <w:p>
            <w:pPr>
              <w:snapToGrid w:val="0"/>
              <w:spacing w:line="360" w:lineRule="auto"/>
              <w:ind w:firstLine="480" w:firstLineChars="200"/>
              <w:rPr>
                <w:rFonts w:hint="eastAsia" w:ascii="宋体" w:hAnsi="宋体" w:eastAsia="宋体"/>
                <w:color w:val="auto"/>
                <w:sz w:val="24"/>
                <w:szCs w:val="24"/>
                <w:u w:val="single"/>
              </w:rPr>
            </w:pPr>
            <w:r>
              <w:rPr>
                <w:rFonts w:hint="eastAsia" w:ascii="宋体" w:hAnsi="宋体" w:eastAsia="宋体"/>
                <w:color w:val="auto"/>
                <w:sz w:val="24"/>
                <w:szCs w:val="24"/>
                <w:u w:val="single"/>
              </w:rPr>
              <w:t>本项目为新建项目，租用湖南钰兴科技设备有限公司现有闲置的厂房和办公用房。</w:t>
            </w:r>
          </w:p>
          <w:p>
            <w:pPr>
              <w:snapToGrid w:val="0"/>
              <w:spacing w:line="360" w:lineRule="auto"/>
              <w:ind w:firstLine="480" w:firstLineChars="200"/>
              <w:rPr>
                <w:rFonts w:hint="eastAsia" w:ascii="宋体" w:hAnsi="宋体" w:eastAsia="宋体"/>
                <w:color w:val="auto"/>
                <w:sz w:val="24"/>
                <w:szCs w:val="24"/>
                <w:u w:val="single"/>
                <w:lang w:eastAsia="zh-CN"/>
              </w:rPr>
            </w:pPr>
            <w:r>
              <w:rPr>
                <w:rFonts w:hint="eastAsia" w:ascii="宋体" w:hAnsi="宋体" w:eastAsia="宋体"/>
                <w:color w:val="auto"/>
                <w:sz w:val="24"/>
                <w:szCs w:val="24"/>
                <w:u w:val="single"/>
              </w:rPr>
              <w:t>湖南钰兴科技设备有限公司成立于20</w:t>
            </w:r>
            <w:r>
              <w:rPr>
                <w:rFonts w:hint="eastAsia" w:ascii="宋体" w:hAnsi="宋体" w:eastAsia="宋体"/>
                <w:color w:val="auto"/>
                <w:sz w:val="24"/>
                <w:szCs w:val="24"/>
                <w:u w:val="single"/>
                <w:lang w:val="en-US" w:eastAsia="zh-CN"/>
              </w:rPr>
              <w:t>13</w:t>
            </w:r>
            <w:r>
              <w:rPr>
                <w:rFonts w:hint="eastAsia" w:ascii="宋体" w:hAnsi="宋体" w:eastAsia="宋体"/>
                <w:color w:val="auto"/>
                <w:sz w:val="24"/>
                <w:szCs w:val="24"/>
                <w:u w:val="single"/>
              </w:rPr>
              <w:t>年，主要经营范围是研发、维修、生产、销售机电设备、通用机械、纺织设备及配件</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湖南钰兴科技设备有限公司</w:t>
            </w:r>
            <w:r>
              <w:rPr>
                <w:rFonts w:hint="eastAsia" w:ascii="宋体" w:hAnsi="宋体" w:eastAsia="宋体"/>
                <w:color w:val="auto"/>
                <w:sz w:val="24"/>
                <w:szCs w:val="24"/>
                <w:u w:val="single"/>
                <w:lang w:eastAsia="zh-CN"/>
              </w:rPr>
              <w:t>已做环评</w:t>
            </w:r>
            <w:r>
              <w:rPr>
                <w:rFonts w:hint="eastAsia" w:ascii="宋体" w:hAnsi="宋体" w:eastAsia="宋体"/>
                <w:color w:val="auto"/>
                <w:sz w:val="24"/>
                <w:szCs w:val="24"/>
                <w:u w:val="single"/>
                <w:lang w:val="en-US" w:eastAsia="zh-CN"/>
              </w:rPr>
              <w:t>和验收</w:t>
            </w:r>
            <w:r>
              <w:rPr>
                <w:rFonts w:hint="eastAsia" w:ascii="宋体" w:hAnsi="宋体" w:eastAsia="宋体"/>
                <w:color w:val="auto"/>
                <w:sz w:val="24"/>
                <w:szCs w:val="24"/>
                <w:u w:val="single"/>
                <w:lang w:eastAsia="zh-CN"/>
              </w:rPr>
              <w:t>，环评批复批文号津环评【2015】8号、</w:t>
            </w:r>
            <w:r>
              <w:rPr>
                <w:rFonts w:hint="eastAsia" w:ascii="宋体" w:hAnsi="宋体" w:eastAsia="宋体"/>
                <w:color w:val="auto"/>
                <w:sz w:val="24"/>
                <w:szCs w:val="24"/>
                <w:u w:val="single"/>
                <w:lang w:val="en-US" w:eastAsia="zh-CN"/>
              </w:rPr>
              <w:t>2016年4月进行了验收，验收监测报告文号SAL 环监验字【2016】第101号，无其他制约环境因素</w:t>
            </w:r>
            <w:r>
              <w:rPr>
                <w:rFonts w:hint="eastAsia" w:ascii="宋体" w:hAnsi="宋体" w:eastAsia="宋体"/>
                <w:color w:val="auto"/>
                <w:sz w:val="24"/>
                <w:szCs w:val="24"/>
                <w:u w:val="single"/>
                <w:lang w:eastAsia="zh-CN"/>
              </w:rPr>
              <w:t>。</w:t>
            </w:r>
          </w:p>
          <w:p>
            <w:pPr>
              <w:snapToGrid w:val="0"/>
              <w:spacing w:line="360" w:lineRule="auto"/>
              <w:ind w:firstLine="480" w:firstLineChars="200"/>
              <w:rPr>
                <w:rFonts w:ascii="宋体" w:hAnsi="宋体" w:eastAsia="宋体"/>
                <w:color w:val="auto"/>
              </w:rPr>
            </w:pPr>
            <w:r>
              <w:rPr>
                <w:rFonts w:hint="eastAsia" w:ascii="宋体" w:hAnsi="宋体" w:eastAsia="宋体"/>
                <w:color w:val="auto"/>
                <w:sz w:val="24"/>
                <w:szCs w:val="24"/>
                <w:u w:val="single"/>
              </w:rPr>
              <w:t>经调查，目前车间内部闲置，无原料和产品堆存，无遗留环境问题</w:t>
            </w:r>
            <w:r>
              <w:rPr>
                <w:rFonts w:ascii="宋体" w:hAnsi="宋体" w:eastAsia="宋体"/>
                <w:color w:val="auto"/>
                <w:szCs w:val="21"/>
              </w:rPr>
              <w:t>。</w:t>
            </w:r>
          </w:p>
        </w:tc>
      </w:tr>
    </w:tbl>
    <w:p>
      <w:pPr>
        <w:snapToGrid w:val="0"/>
        <w:jc w:val="left"/>
        <w:rPr>
          <w:rFonts w:ascii="微软雅黑" w:hAnsi="微软雅黑" w:eastAsia="微软雅黑"/>
          <w:color w:val="000000"/>
          <w:szCs w:val="21"/>
        </w:rPr>
      </w:pPr>
    </w:p>
    <w:p>
      <w:pPr>
        <w:rPr>
          <w:rFonts w:ascii="黑体" w:hAnsi="黑体" w:eastAsia="黑体"/>
          <w:color w:val="000000"/>
          <w:sz w:val="30"/>
          <w:szCs w:val="30"/>
        </w:rPr>
      </w:pPr>
      <w:r>
        <w:rPr>
          <w:rFonts w:ascii="黑体" w:hAnsi="黑体" w:eastAsia="黑体"/>
          <w:color w:val="000000"/>
          <w:sz w:val="30"/>
          <w:szCs w:val="30"/>
        </w:rPr>
        <w:br w:type="page"/>
      </w:r>
    </w:p>
    <w:p>
      <w:pPr>
        <w:pStyle w:val="15"/>
        <w:spacing w:line="360" w:lineRule="auto"/>
        <w:ind w:firstLine="600" w:firstLineChars="200"/>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lang w:val="en-US" w:eastAsia="zh-CN"/>
        </w:rPr>
        <w:t>三、区域环境质量现状、环境保护目标及评价标准</w:t>
      </w:r>
    </w:p>
    <w:tbl>
      <w:tblPr>
        <w:tblStyle w:val="20"/>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76"/>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91" w:hRule="atLeast"/>
        </w:trPr>
        <w:tc>
          <w:tcPr>
            <w:tcW w:w="57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kern w:val="0"/>
                <w:szCs w:val="21"/>
              </w:rPr>
            </w:pPr>
            <w:r>
              <w:rPr>
                <w:rFonts w:ascii="宋体" w:hAnsi="宋体" w:eastAsia="宋体"/>
                <w:color w:val="auto"/>
                <w:kern w:val="0"/>
                <w:szCs w:val="21"/>
              </w:rPr>
              <w:t>区域</w:t>
            </w:r>
          </w:p>
          <w:p>
            <w:pPr>
              <w:spacing w:line="360" w:lineRule="auto"/>
              <w:jc w:val="center"/>
              <w:rPr>
                <w:rFonts w:ascii="宋体" w:hAnsi="宋体" w:eastAsia="宋体"/>
                <w:color w:val="auto"/>
                <w:kern w:val="0"/>
                <w:szCs w:val="21"/>
              </w:rPr>
            </w:pPr>
            <w:r>
              <w:rPr>
                <w:rFonts w:ascii="宋体" w:hAnsi="宋体" w:eastAsia="宋体"/>
                <w:color w:val="auto"/>
                <w:kern w:val="0"/>
                <w:szCs w:val="21"/>
              </w:rPr>
              <w:t>环境</w:t>
            </w:r>
          </w:p>
          <w:p>
            <w:pPr>
              <w:spacing w:line="360" w:lineRule="auto"/>
              <w:jc w:val="center"/>
              <w:rPr>
                <w:rFonts w:ascii="宋体" w:hAnsi="宋体" w:eastAsia="宋体"/>
                <w:color w:val="auto"/>
                <w:kern w:val="0"/>
                <w:szCs w:val="21"/>
              </w:rPr>
            </w:pPr>
            <w:r>
              <w:rPr>
                <w:rFonts w:ascii="宋体" w:hAnsi="宋体" w:eastAsia="宋体"/>
                <w:color w:val="auto"/>
                <w:kern w:val="0"/>
                <w:szCs w:val="21"/>
              </w:rPr>
              <w:t>质量</w:t>
            </w:r>
          </w:p>
          <w:p>
            <w:pPr>
              <w:spacing w:line="360" w:lineRule="auto"/>
              <w:jc w:val="center"/>
              <w:rPr>
                <w:rFonts w:ascii="宋体" w:hAnsi="宋体" w:eastAsia="宋体"/>
                <w:color w:val="auto"/>
                <w:kern w:val="0"/>
                <w:szCs w:val="21"/>
              </w:rPr>
            </w:pPr>
            <w:r>
              <w:rPr>
                <w:rFonts w:ascii="宋体" w:hAnsi="宋体" w:eastAsia="宋体"/>
                <w:color w:val="auto"/>
                <w:kern w:val="0"/>
                <w:szCs w:val="21"/>
              </w:rPr>
              <w:t>现状</w:t>
            </w:r>
          </w:p>
        </w:tc>
        <w:tc>
          <w:tcPr>
            <w:tcW w:w="840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3.1空气环境质量现状</w:t>
            </w:r>
          </w:p>
          <w:p>
            <w:pPr>
              <w:spacing w:line="360" w:lineRule="auto"/>
              <w:jc w:val="left"/>
              <w:rPr>
                <w:rFonts w:ascii="Times New Roman" w:hAnsi="Times New Roman" w:eastAsia="Times New Roman"/>
                <w:b/>
                <w:bCs/>
                <w:color w:val="auto"/>
                <w:szCs w:val="21"/>
              </w:rPr>
            </w:pPr>
            <w:r>
              <w:rPr>
                <w:rFonts w:ascii="Times New Roman" w:hAnsi="Times New Roman" w:eastAsia="Times New Roman"/>
                <w:b/>
                <w:bCs/>
                <w:color w:val="auto"/>
                <w:szCs w:val="21"/>
              </w:rPr>
              <w:t>1、基本污染物环境质量现状及达标区判定</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根据《环境影响评价技术导则—大气环境》（HJ2.2-2018），项目所在区域达标判定，优先采用国家或地方生态环境主管部门公开发布的评价基准年环境质量公告或环境质量报告中的数据或结论，本次环评收集了《常德市生态环境局关于2020年12月全市环境质量状况的通报》。</w:t>
            </w:r>
          </w:p>
          <w:p>
            <w:pPr>
              <w:spacing w:line="360" w:lineRule="auto"/>
              <w:ind w:firstLine="480" w:firstLineChars="200"/>
              <w:rPr>
                <w:color w:val="auto"/>
                <w:sz w:val="24"/>
              </w:rPr>
            </w:pPr>
            <w:r>
              <w:rPr>
                <w:rFonts w:hint="eastAsia" w:ascii="宋体" w:hAnsi="宋体" w:eastAsia="宋体"/>
                <w:color w:val="auto"/>
                <w:sz w:val="24"/>
                <w:szCs w:val="24"/>
              </w:rPr>
              <w:t>环境空气现状监测结果统计及评价结果见表3-1</w:t>
            </w:r>
            <w:r>
              <w:rPr>
                <w:color w:val="auto"/>
                <w:sz w:val="24"/>
              </w:rPr>
              <w:t>。</w:t>
            </w:r>
          </w:p>
          <w:p>
            <w:pPr>
              <w:snapToGrid w:val="0"/>
              <w:spacing w:line="360" w:lineRule="auto"/>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rPr>
              <w:t>3-1</w:t>
            </w:r>
            <w:r>
              <w:rPr>
                <w:rFonts w:hint="eastAsia" w:ascii="Times New Roman" w:hAnsi="Times New Roman"/>
                <w:b/>
                <w:color w:val="auto"/>
                <w:szCs w:val="21"/>
                <w:lang w:val="en-US" w:eastAsia="zh-CN"/>
              </w:rPr>
              <w:t xml:space="preserve"> </w:t>
            </w:r>
            <w:r>
              <w:rPr>
                <w:rFonts w:hint="eastAsia" w:ascii="Times New Roman" w:hAnsi="Times New Roman"/>
                <w:b/>
                <w:color w:val="auto"/>
                <w:szCs w:val="21"/>
              </w:rPr>
              <w:t>2020年度津市市区域空气质量现状评价表单位：</w:t>
            </w:r>
            <w:r>
              <w:rPr>
                <w:rFonts w:ascii="Times New Roman" w:hAnsi="Times New Roman"/>
                <w:b/>
                <w:color w:val="auto"/>
                <w:sz w:val="22"/>
              </w:rPr>
              <w:t>ug/m</w:t>
            </w:r>
            <w:r>
              <w:rPr>
                <w:rFonts w:ascii="Times New Roman" w:hAnsi="Times New Roman"/>
                <w:b/>
                <w:color w:val="auto"/>
                <w:sz w:val="22"/>
                <w:vertAlign w:val="superscript"/>
              </w:rPr>
              <w:t>3</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928"/>
              <w:gridCol w:w="1138"/>
              <w:gridCol w:w="986"/>
              <w:gridCol w:w="1081"/>
              <w:gridCol w:w="9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0" w:type="pct"/>
                  <w:vMerge w:val="restart"/>
                  <w:noWrap/>
                  <w:vAlign w:val="center"/>
                </w:tcPr>
                <w:p>
                  <w:pPr>
                    <w:jc w:val="center"/>
                    <w:rPr>
                      <w:rFonts w:ascii="Times New Roman" w:hAnsi="Times New Roman"/>
                      <w:b/>
                      <w:bCs/>
                      <w:color w:val="auto"/>
                    </w:rPr>
                  </w:pPr>
                  <w:r>
                    <w:rPr>
                      <w:rFonts w:ascii="Times New Roman" w:hAnsi="Times New Roman"/>
                      <w:b/>
                      <w:bCs/>
                      <w:color w:val="auto"/>
                    </w:rPr>
                    <w:t>污染物</w:t>
                  </w:r>
                </w:p>
              </w:tc>
              <w:tc>
                <w:tcPr>
                  <w:tcW w:w="1163" w:type="pct"/>
                  <w:vMerge w:val="restart"/>
                  <w:noWrap/>
                  <w:vAlign w:val="center"/>
                </w:tcPr>
                <w:p>
                  <w:pPr>
                    <w:jc w:val="center"/>
                    <w:rPr>
                      <w:rFonts w:ascii="Times New Roman" w:hAnsi="Times New Roman"/>
                      <w:b/>
                      <w:bCs/>
                      <w:color w:val="auto"/>
                    </w:rPr>
                  </w:pPr>
                  <w:r>
                    <w:rPr>
                      <w:rFonts w:ascii="Times New Roman" w:hAnsi="Times New Roman"/>
                      <w:b/>
                      <w:bCs/>
                      <w:color w:val="auto"/>
                    </w:rPr>
                    <w:t>年评价指标</w:t>
                  </w:r>
                </w:p>
              </w:tc>
              <w:tc>
                <w:tcPr>
                  <w:tcW w:w="687" w:type="pct"/>
                  <w:vMerge w:val="restart"/>
                  <w:noWrap/>
                  <w:vAlign w:val="center"/>
                </w:tcPr>
                <w:p>
                  <w:pPr>
                    <w:jc w:val="center"/>
                    <w:rPr>
                      <w:rFonts w:ascii="Times New Roman" w:hAnsi="Times New Roman"/>
                      <w:b/>
                      <w:bCs/>
                      <w:color w:val="auto"/>
                    </w:rPr>
                  </w:pPr>
                  <w:r>
                    <w:rPr>
                      <w:rFonts w:ascii="Times New Roman" w:hAnsi="Times New Roman"/>
                      <w:b/>
                      <w:bCs/>
                      <w:color w:val="auto"/>
                    </w:rPr>
                    <w:t>评价标准</w:t>
                  </w:r>
                </w:p>
              </w:tc>
              <w:tc>
                <w:tcPr>
                  <w:tcW w:w="596" w:type="pct"/>
                  <w:vMerge w:val="restart"/>
                  <w:noWrap/>
                  <w:vAlign w:val="center"/>
                </w:tcPr>
                <w:p>
                  <w:pPr>
                    <w:jc w:val="center"/>
                    <w:rPr>
                      <w:rFonts w:ascii="Times New Roman" w:hAnsi="Times New Roman"/>
                      <w:b/>
                      <w:bCs/>
                      <w:color w:val="auto"/>
                    </w:rPr>
                  </w:pPr>
                  <w:r>
                    <w:rPr>
                      <w:rFonts w:ascii="Times New Roman" w:hAnsi="Times New Roman"/>
                      <w:b/>
                      <w:bCs/>
                      <w:color w:val="auto"/>
                    </w:rPr>
                    <w:t>现状浓度</w:t>
                  </w:r>
                </w:p>
              </w:tc>
              <w:tc>
                <w:tcPr>
                  <w:tcW w:w="653" w:type="pct"/>
                  <w:vMerge w:val="restart"/>
                  <w:noWrap/>
                  <w:vAlign w:val="center"/>
                </w:tcPr>
                <w:p>
                  <w:pPr>
                    <w:jc w:val="center"/>
                    <w:rPr>
                      <w:rFonts w:ascii="Times New Roman" w:hAnsi="Times New Roman"/>
                      <w:b/>
                      <w:bCs/>
                      <w:color w:val="auto"/>
                    </w:rPr>
                  </w:pPr>
                  <w:r>
                    <w:rPr>
                      <w:rFonts w:ascii="Times New Roman" w:hAnsi="Times New Roman"/>
                      <w:b/>
                      <w:bCs/>
                      <w:color w:val="auto"/>
                    </w:rPr>
                    <w:t>最大浓度占标率/%</w:t>
                  </w:r>
                </w:p>
              </w:tc>
              <w:tc>
                <w:tcPr>
                  <w:tcW w:w="554" w:type="pct"/>
                  <w:vMerge w:val="restart"/>
                  <w:noWrap/>
                  <w:vAlign w:val="center"/>
                </w:tcPr>
                <w:p>
                  <w:pPr>
                    <w:jc w:val="center"/>
                    <w:rPr>
                      <w:rFonts w:ascii="Times New Roman" w:hAnsi="Times New Roman"/>
                      <w:b/>
                      <w:bCs/>
                      <w:color w:val="auto"/>
                    </w:rPr>
                  </w:pPr>
                  <w:r>
                    <w:rPr>
                      <w:rFonts w:ascii="Times New Roman" w:hAnsi="Times New Roman"/>
                      <w:b/>
                      <w:bCs/>
                      <w:color w:val="auto"/>
                    </w:rPr>
                    <w:t>超标</w:t>
                  </w:r>
                  <w:r>
                    <w:rPr>
                      <w:rFonts w:hint="eastAsia" w:ascii="Times New Roman" w:hAnsi="Times New Roman"/>
                      <w:b/>
                      <w:bCs/>
                      <w:color w:val="auto"/>
                    </w:rPr>
                    <w:t>倍</w:t>
                  </w:r>
                  <w:r>
                    <w:rPr>
                      <w:rFonts w:ascii="Times New Roman" w:hAnsi="Times New Roman"/>
                      <w:b/>
                      <w:bCs/>
                      <w:color w:val="auto"/>
                    </w:rPr>
                    <w:t>率/%</w:t>
                  </w:r>
                </w:p>
              </w:tc>
              <w:tc>
                <w:tcPr>
                  <w:tcW w:w="644" w:type="pct"/>
                  <w:vMerge w:val="restart"/>
                  <w:noWrap/>
                  <w:vAlign w:val="center"/>
                </w:tcPr>
                <w:p>
                  <w:pPr>
                    <w:jc w:val="center"/>
                    <w:rPr>
                      <w:rFonts w:ascii="Times New Roman" w:hAnsi="Times New Roman"/>
                      <w:b/>
                      <w:bCs/>
                      <w:color w:val="auto"/>
                    </w:rPr>
                  </w:pPr>
                  <w:r>
                    <w:rPr>
                      <w:rFonts w:ascii="Times New Roman" w:hAnsi="Times New Roman"/>
                      <w:b/>
                      <w:bCs/>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pct"/>
                  <w:vMerge w:val="continue"/>
                  <w:noWrap/>
                  <w:vAlign w:val="center"/>
                </w:tcPr>
                <w:p>
                  <w:pPr>
                    <w:jc w:val="center"/>
                    <w:rPr>
                      <w:rFonts w:ascii="Times New Roman" w:hAnsi="Times New Roman"/>
                      <w:color w:val="auto"/>
                    </w:rPr>
                  </w:pPr>
                </w:p>
              </w:tc>
              <w:tc>
                <w:tcPr>
                  <w:tcW w:w="1163" w:type="pct"/>
                  <w:vMerge w:val="continue"/>
                  <w:noWrap/>
                  <w:vAlign w:val="center"/>
                </w:tcPr>
                <w:p>
                  <w:pPr>
                    <w:jc w:val="center"/>
                    <w:rPr>
                      <w:rFonts w:ascii="Times New Roman" w:hAnsi="Times New Roman"/>
                      <w:color w:val="auto"/>
                    </w:rPr>
                  </w:pPr>
                </w:p>
              </w:tc>
              <w:tc>
                <w:tcPr>
                  <w:tcW w:w="687" w:type="pct"/>
                  <w:vMerge w:val="continue"/>
                  <w:noWrap/>
                  <w:vAlign w:val="center"/>
                </w:tcPr>
                <w:p>
                  <w:pPr>
                    <w:jc w:val="center"/>
                    <w:rPr>
                      <w:rFonts w:ascii="Times New Roman" w:hAnsi="Times New Roman"/>
                      <w:color w:val="auto"/>
                    </w:rPr>
                  </w:pPr>
                </w:p>
              </w:tc>
              <w:tc>
                <w:tcPr>
                  <w:tcW w:w="596" w:type="pct"/>
                  <w:vMerge w:val="continue"/>
                  <w:noWrap/>
                  <w:vAlign w:val="center"/>
                </w:tcPr>
                <w:p>
                  <w:pPr>
                    <w:jc w:val="center"/>
                    <w:rPr>
                      <w:rFonts w:ascii="Times New Roman" w:hAnsi="Times New Roman"/>
                      <w:color w:val="auto"/>
                    </w:rPr>
                  </w:pPr>
                </w:p>
              </w:tc>
              <w:tc>
                <w:tcPr>
                  <w:tcW w:w="653" w:type="pct"/>
                  <w:vMerge w:val="continue"/>
                  <w:noWrap/>
                  <w:vAlign w:val="center"/>
                </w:tcPr>
                <w:p>
                  <w:pPr>
                    <w:jc w:val="center"/>
                    <w:rPr>
                      <w:rFonts w:ascii="Times New Roman" w:hAnsi="Times New Roman"/>
                      <w:color w:val="auto"/>
                    </w:rPr>
                  </w:pPr>
                </w:p>
              </w:tc>
              <w:tc>
                <w:tcPr>
                  <w:tcW w:w="554" w:type="pct"/>
                  <w:vMerge w:val="continue"/>
                  <w:noWrap/>
                  <w:vAlign w:val="center"/>
                </w:tcPr>
                <w:p>
                  <w:pPr>
                    <w:jc w:val="center"/>
                    <w:rPr>
                      <w:rFonts w:ascii="Times New Roman" w:hAnsi="Times New Roman"/>
                      <w:color w:val="auto"/>
                    </w:rPr>
                  </w:pPr>
                </w:p>
              </w:tc>
              <w:tc>
                <w:tcPr>
                  <w:tcW w:w="644" w:type="pct"/>
                  <w:vMerge w:val="continue"/>
                  <w:noWrap/>
                  <w:vAlign w:val="center"/>
                </w:tcPr>
                <w:p>
                  <w:pPr>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163" w:type="pct"/>
                  <w:noWrap/>
                  <w:vAlign w:val="center"/>
                </w:tcPr>
                <w:p>
                  <w:pPr>
                    <w:pStyle w:val="10"/>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60</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5</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8.33</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163"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40</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163"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70</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49</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70</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CO</w:t>
                  </w:r>
                </w:p>
              </w:tc>
              <w:tc>
                <w:tcPr>
                  <w:tcW w:w="1163" w:type="pct"/>
                  <w:noWrap/>
                  <w:vAlign w:val="center"/>
                </w:tcPr>
                <w:p>
                  <w:pPr>
                    <w:pStyle w:val="10"/>
                    <w:spacing w:line="240" w:lineRule="auto"/>
                    <w:ind w:firstLine="0" w:firstLineChars="0"/>
                    <w:jc w:val="center"/>
                    <w:rPr>
                      <w:rFonts w:ascii="Times New Roman" w:hAnsi="Times New Roman"/>
                      <w:color w:val="auto"/>
                      <w:szCs w:val="21"/>
                    </w:rPr>
                  </w:pPr>
                  <w:r>
                    <w:rPr>
                      <w:color w:val="auto"/>
                      <w:sz w:val="21"/>
                      <w:szCs w:val="21"/>
                    </w:rPr>
                    <w:t>百分位数日平均质量浓度</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163" w:type="pct"/>
                  <w:noWrap/>
                  <w:vAlign w:val="center"/>
                </w:tcPr>
                <w:p>
                  <w:pPr>
                    <w:pStyle w:val="10"/>
                    <w:spacing w:line="240" w:lineRule="auto"/>
                    <w:ind w:firstLine="0" w:firstLineChars="0"/>
                    <w:jc w:val="center"/>
                    <w:rPr>
                      <w:rFonts w:ascii="Times New Roman" w:hAnsi="Times New Roman"/>
                      <w:color w:val="auto"/>
                      <w:szCs w:val="21"/>
                    </w:rPr>
                  </w:pPr>
                  <w:r>
                    <w:rPr>
                      <w:color w:val="auto"/>
                      <w:sz w:val="21"/>
                      <w:szCs w:val="21"/>
                    </w:rPr>
                    <w:t>8h平均质量浓度（日均值）</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160</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108</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67.5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0" w:type="pct"/>
                  <w:noWrap/>
                  <w:vAlign w:val="center"/>
                </w:tcPr>
                <w:p>
                  <w:pPr>
                    <w:pStyle w:val="10"/>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163" w:type="pct"/>
                  <w:noWrap/>
                  <w:vAlign w:val="center"/>
                </w:tcPr>
                <w:p>
                  <w:pPr>
                    <w:pStyle w:val="10"/>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35</w:t>
                  </w:r>
                </w:p>
              </w:tc>
              <w:tc>
                <w:tcPr>
                  <w:tcW w:w="596"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30</w:t>
                  </w:r>
                </w:p>
              </w:tc>
              <w:tc>
                <w:tcPr>
                  <w:tcW w:w="653" w:type="pct"/>
                  <w:noWrap/>
                  <w:vAlign w:val="center"/>
                </w:tcPr>
                <w:p>
                  <w:pPr>
                    <w:pStyle w:val="10"/>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85.71</w:t>
                  </w:r>
                </w:p>
              </w:tc>
              <w:tc>
                <w:tcPr>
                  <w:tcW w:w="554" w:type="pct"/>
                  <w:noWrap/>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hint="eastAsia" w:ascii="Times New Roman" w:hAnsi="Times New Roman"/>
                      <w:color w:val="auto"/>
                      <w:szCs w:val="21"/>
                    </w:rPr>
                    <w:t>达标</w:t>
                  </w:r>
                </w:p>
              </w:tc>
            </w:tr>
          </w:tbl>
          <w:p>
            <w:pPr>
              <w:spacing w:line="360" w:lineRule="auto"/>
              <w:ind w:firstLine="480"/>
              <w:rPr>
                <w:rFonts w:ascii="Times New Roman" w:hAnsi="Times New Roman"/>
                <w:color w:val="auto"/>
                <w:sz w:val="24"/>
                <w:szCs w:val="24"/>
                <w:u w:val="single"/>
              </w:rPr>
            </w:pPr>
            <w:r>
              <w:rPr>
                <w:rFonts w:ascii="Times New Roman" w:hAnsi="Times New Roman"/>
                <w:color w:val="auto"/>
                <w:sz w:val="24"/>
                <w:szCs w:val="24"/>
                <w:u w:val="single"/>
              </w:rPr>
              <w:t>*1.根据《环境空气质量评价技术规范（试行）》(HJ633-2013)，CO取城市日均值百分之95位数；臭氧取城市日最大8小时平均百分之90位数</w:t>
            </w:r>
          </w:p>
          <w:p>
            <w:pPr>
              <w:spacing w:line="360" w:lineRule="auto"/>
              <w:ind w:firstLine="480" w:firstLineChars="200"/>
              <w:rPr>
                <w:rFonts w:ascii="宋体" w:hAnsi="宋体" w:eastAsia="宋体"/>
                <w:color w:val="auto"/>
                <w:sz w:val="24"/>
                <w:szCs w:val="24"/>
                <w:u w:val="single"/>
              </w:rPr>
            </w:pPr>
            <w:r>
              <w:rPr>
                <w:rFonts w:hint="eastAsia" w:ascii="宋体" w:hAnsi="宋体" w:eastAsia="宋体"/>
                <w:color w:val="auto"/>
                <w:sz w:val="24"/>
                <w:szCs w:val="24"/>
                <w:u w:val="single"/>
              </w:rPr>
              <w:t>由上表可知，津市市2020年SO</w:t>
            </w:r>
            <w:r>
              <w:rPr>
                <w:rFonts w:hint="eastAsia" w:ascii="宋体" w:hAnsi="宋体" w:eastAsia="宋体"/>
                <w:color w:val="auto"/>
                <w:sz w:val="24"/>
                <w:szCs w:val="24"/>
                <w:u w:val="single"/>
                <w:vertAlign w:val="subscript"/>
              </w:rPr>
              <w:t>2</w:t>
            </w:r>
            <w:r>
              <w:rPr>
                <w:rFonts w:hint="eastAsia" w:ascii="宋体" w:hAnsi="宋体" w:eastAsia="宋体"/>
                <w:color w:val="auto"/>
                <w:sz w:val="24"/>
                <w:szCs w:val="24"/>
                <w:u w:val="single"/>
              </w:rPr>
              <w:t>、NO</w:t>
            </w:r>
            <w:r>
              <w:rPr>
                <w:rFonts w:hint="eastAsia" w:ascii="宋体" w:hAnsi="宋体" w:eastAsia="宋体"/>
                <w:color w:val="auto"/>
                <w:sz w:val="24"/>
                <w:szCs w:val="24"/>
                <w:u w:val="single"/>
                <w:vertAlign w:val="subscript"/>
              </w:rPr>
              <w:t>2</w:t>
            </w:r>
            <w:r>
              <w:rPr>
                <w:rFonts w:hint="eastAsia" w:ascii="宋体" w:hAnsi="宋体" w:eastAsia="宋体"/>
                <w:color w:val="auto"/>
                <w:sz w:val="24"/>
                <w:szCs w:val="24"/>
                <w:u w:val="single"/>
              </w:rPr>
              <w:t>、PM</w:t>
            </w:r>
            <w:r>
              <w:rPr>
                <w:rFonts w:hint="eastAsia" w:ascii="宋体" w:hAnsi="宋体" w:eastAsia="宋体"/>
                <w:color w:val="auto"/>
                <w:sz w:val="24"/>
                <w:szCs w:val="24"/>
                <w:u w:val="single"/>
                <w:vertAlign w:val="subscript"/>
              </w:rPr>
              <w:t>10</w:t>
            </w:r>
            <w:r>
              <w:rPr>
                <w:rFonts w:hint="eastAsia" w:ascii="宋体" w:hAnsi="宋体" w:eastAsia="宋体"/>
                <w:color w:val="auto"/>
                <w:sz w:val="24"/>
                <w:szCs w:val="24"/>
                <w:u w:val="single"/>
              </w:rPr>
              <w:t>、PM</w:t>
            </w:r>
            <w:r>
              <w:rPr>
                <w:rFonts w:hint="eastAsia" w:ascii="宋体" w:hAnsi="宋体" w:eastAsia="宋体"/>
                <w:color w:val="auto"/>
                <w:sz w:val="24"/>
                <w:szCs w:val="24"/>
                <w:u w:val="single"/>
                <w:vertAlign w:val="subscript"/>
              </w:rPr>
              <w:t>2.5</w:t>
            </w:r>
            <w:r>
              <w:rPr>
                <w:rFonts w:hint="eastAsia" w:ascii="宋体" w:hAnsi="宋体" w:eastAsia="宋体"/>
                <w:color w:val="auto"/>
                <w:sz w:val="24"/>
                <w:szCs w:val="24"/>
                <w:u w:val="single"/>
              </w:rPr>
              <w:t>年均浓度分别为5ug/m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、10ug/m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、49ug/m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、30ug/m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；CO24小时平均第95百分位数为1.0mg/m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，O</w:t>
            </w:r>
            <w:r>
              <w:rPr>
                <w:rFonts w:hint="eastAsia" w:ascii="宋体" w:hAnsi="宋体" w:eastAsia="宋体"/>
                <w:color w:val="auto"/>
                <w:sz w:val="24"/>
                <w:szCs w:val="24"/>
                <w:u w:val="single"/>
                <w:vertAlign w:val="subscript"/>
              </w:rPr>
              <w:t>3</w:t>
            </w:r>
            <w:r>
              <w:rPr>
                <w:rFonts w:hint="eastAsia" w:ascii="宋体" w:hAnsi="宋体" w:eastAsia="宋体"/>
                <w:color w:val="auto"/>
                <w:sz w:val="24"/>
                <w:szCs w:val="24"/>
                <w:u w:val="single"/>
              </w:rPr>
              <w:t>日最大8小时平均第90百分位数为108ug/m</w:t>
            </w:r>
            <w:r>
              <w:rPr>
                <w:rFonts w:hint="eastAsia" w:ascii="宋体" w:hAnsi="宋体" w:eastAsia="宋体"/>
                <w:color w:val="auto"/>
                <w:sz w:val="24"/>
                <w:szCs w:val="24"/>
                <w:u w:val="single"/>
                <w:vertAlign w:val="superscript"/>
              </w:rPr>
              <w:t>3</w:t>
            </w:r>
            <w:r>
              <w:rPr>
                <w:rFonts w:hint="eastAsia" w:ascii="宋体" w:hAnsi="宋体" w:eastAsia="宋体"/>
                <w:color w:val="auto"/>
                <w:sz w:val="24"/>
                <w:szCs w:val="24"/>
                <w:u w:val="single"/>
              </w:rPr>
              <w:t>；满足《环境空气质量标准》（GB3095-2012）中二级标准限值。</w:t>
            </w:r>
          </w:p>
          <w:p>
            <w:pPr>
              <w:spacing w:line="360" w:lineRule="auto"/>
              <w:ind w:firstLine="480" w:firstLineChars="200"/>
              <w:rPr>
                <w:color w:val="auto"/>
                <w:sz w:val="24"/>
              </w:rPr>
            </w:pPr>
            <w:r>
              <w:rPr>
                <w:rFonts w:hint="eastAsia" w:ascii="宋体" w:hAnsi="宋体" w:eastAsia="宋体"/>
                <w:color w:val="auto"/>
                <w:sz w:val="24"/>
                <w:szCs w:val="24"/>
                <w:u w:val="single"/>
              </w:rPr>
              <w:t>综上，项目所在区域为达标区</w:t>
            </w:r>
            <w:r>
              <w:rPr>
                <w:color w:val="auto"/>
                <w:sz w:val="24"/>
              </w:rPr>
              <w:t>。</w:t>
            </w:r>
          </w:p>
          <w:p>
            <w:pPr>
              <w:snapToGrid w:val="0"/>
              <w:spacing w:line="360" w:lineRule="auto"/>
              <w:ind w:firstLine="240" w:firstLineChars="100"/>
              <w:rPr>
                <w:rFonts w:ascii="Times New Roman" w:hAnsi="Times New Roman" w:eastAsia="Times New Roman"/>
                <w:b/>
                <w:bCs/>
                <w:color w:val="auto"/>
                <w:sz w:val="24"/>
                <w:szCs w:val="24"/>
              </w:rPr>
            </w:pPr>
            <w:r>
              <w:rPr>
                <w:rFonts w:ascii="Times New Roman" w:hAnsi="Times New Roman" w:eastAsia="Times New Roman"/>
                <w:b/>
                <w:bCs/>
                <w:color w:val="auto"/>
                <w:sz w:val="24"/>
                <w:szCs w:val="24"/>
              </w:rPr>
              <w:t>2、其他污染物环境质量现状</w:t>
            </w:r>
          </w:p>
          <w:p>
            <w:pPr>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为了解项目评价区域内环境质量现状，本</w:t>
            </w:r>
            <w:r>
              <w:rPr>
                <w:rFonts w:hint="eastAsia" w:ascii="宋体" w:hAnsi="宋体" w:eastAsia="宋体"/>
                <w:color w:val="auto"/>
                <w:spacing w:val="-3"/>
                <w:sz w:val="24"/>
                <w:szCs w:val="24"/>
              </w:rPr>
              <w:t>项目引用《湖南湘惠塑业有限公司PP、PE塑料板材系列产品生产项目环境影响报告表》中的非甲烷总烃监测数据</w:t>
            </w:r>
            <w:r>
              <w:rPr>
                <w:rFonts w:ascii="宋体" w:hAnsi="宋体" w:eastAsia="宋体"/>
                <w:color w:val="auto"/>
                <w:spacing w:val="-3"/>
                <w:sz w:val="24"/>
                <w:szCs w:val="24"/>
              </w:rPr>
              <w:t>。</w:t>
            </w:r>
          </w:p>
          <w:p>
            <w:pPr>
              <w:snapToGrid w:val="0"/>
              <w:spacing w:line="360" w:lineRule="auto"/>
              <w:ind w:firstLine="468" w:firstLineChars="200"/>
              <w:rPr>
                <w:rFonts w:ascii="Times New Roman" w:hAnsi="Times New Roman" w:cs="Times New Roman"/>
                <w:color w:val="auto"/>
                <w:sz w:val="24"/>
                <w:szCs w:val="24"/>
              </w:rPr>
            </w:pPr>
            <w:r>
              <w:rPr>
                <w:rFonts w:hint="eastAsia" w:ascii="宋体" w:hAnsi="宋体" w:eastAsia="宋体"/>
                <w:color w:val="auto"/>
                <w:spacing w:val="-3"/>
                <w:sz w:val="24"/>
                <w:szCs w:val="24"/>
              </w:rPr>
              <w:t>湖南华弘检测有限公司于2020年5月11日至17日对湖南湘惠塑业有限公司的环境空气质量进行现状监测。G1：湖南湘惠塑业有限公司项目地上风向；G2：湖南湘惠塑业有限公司项目地下风向（G1点位于本项目下风向约0.5km）。监测数据及评价结果见表3-2</w:t>
            </w:r>
            <w:r>
              <w:rPr>
                <w:rFonts w:hint="eastAsia" w:ascii="Times New Roman" w:hAnsi="Times New Roman" w:cs="Times New Roman"/>
                <w:color w:val="auto"/>
                <w:sz w:val="24"/>
                <w:szCs w:val="24"/>
              </w:rPr>
              <w:t>。</w:t>
            </w:r>
          </w:p>
          <w:p>
            <w:pPr>
              <w:pStyle w:val="7"/>
              <w:spacing w:line="360" w:lineRule="auto"/>
              <w:ind w:firstLine="422"/>
              <w:rPr>
                <w:rFonts w:hint="eastAsia" w:eastAsia="宋体" w:cs="Times New Roman"/>
                <w:b/>
                <w:bCs/>
                <w:color w:val="auto"/>
                <w:sz w:val="21"/>
                <w:szCs w:val="21"/>
                <w:lang w:val="zh-CN"/>
              </w:rPr>
            </w:pPr>
            <w:r>
              <w:rPr>
                <w:rFonts w:hint="eastAsia" w:eastAsia="宋体" w:cs="Times New Roman"/>
                <w:b/>
                <w:bCs/>
                <w:color w:val="auto"/>
                <w:sz w:val="21"/>
                <w:szCs w:val="21"/>
                <w:lang w:val="zh-CN"/>
              </w:rPr>
              <w:t>表</w:t>
            </w:r>
            <w:r>
              <w:rPr>
                <w:rFonts w:hint="eastAsia" w:eastAsia="宋体" w:cs="Times New Roman"/>
                <w:b/>
                <w:bCs/>
                <w:color w:val="auto"/>
                <w:sz w:val="21"/>
                <w:szCs w:val="21"/>
              </w:rPr>
              <w:t>3-2</w:t>
            </w:r>
            <w:r>
              <w:rPr>
                <w:rFonts w:hint="eastAsia" w:eastAsia="宋体" w:cs="Times New Roman"/>
                <w:b/>
                <w:bCs/>
                <w:color w:val="auto"/>
                <w:sz w:val="21"/>
                <w:szCs w:val="21"/>
                <w:lang w:val="zh-CN"/>
              </w:rPr>
              <w:t>项目所在地环境空气质量评价表</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7"/>
              <w:gridCol w:w="3829"/>
              <w:gridCol w:w="29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5296" w:type="dxa"/>
                  <w:gridSpan w:val="2"/>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监测项目</w:t>
                  </w:r>
                </w:p>
              </w:tc>
              <w:tc>
                <w:tcPr>
                  <w:tcW w:w="2924"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非甲烷总烃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1467" w:type="dxa"/>
                  <w:vMerge w:val="restart"/>
                  <w:noWrap/>
                  <w:vAlign w:val="center"/>
                </w:tcPr>
                <w:p>
                  <w:pPr>
                    <w:adjustRightInd w:val="0"/>
                    <w:snapToGrid w:val="0"/>
                    <w:jc w:val="center"/>
                    <w:rPr>
                      <w:rFonts w:ascii="Times New Roman" w:hAnsi="Times New Roman" w:cs="Times New Roman"/>
                      <w:color w:val="auto"/>
                      <w:szCs w:val="21"/>
                      <w:lang w:val="zh-CN"/>
                    </w:rPr>
                  </w:pPr>
                  <w:r>
                    <w:rPr>
                      <w:rFonts w:hint="eastAsia" w:ascii="Times New Roman" w:hAnsi="Times New Roman" w:cs="Times New Roman"/>
                      <w:color w:val="auto"/>
                      <w:szCs w:val="21"/>
                    </w:rPr>
                    <w:t>G</w:t>
                  </w:r>
                  <w:r>
                    <w:rPr>
                      <w:rFonts w:ascii="Times New Roman" w:hAnsi="Times New Roman" w:cs="Times New Roman"/>
                      <w:color w:val="auto"/>
                      <w:szCs w:val="21"/>
                      <w:lang w:val="zh-CN"/>
                    </w:rPr>
                    <w:t>1</w:t>
                  </w:r>
                </w:p>
              </w:tc>
              <w:tc>
                <w:tcPr>
                  <w:tcW w:w="3829"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范围（mg/m</w:t>
                  </w:r>
                  <w:r>
                    <w:rPr>
                      <w:rFonts w:ascii="Times New Roman" w:hAnsi="Times New Roman" w:cs="Times New Roman"/>
                      <w:color w:val="auto"/>
                      <w:szCs w:val="21"/>
                      <w:vertAlign w:val="superscript"/>
                      <w:lang w:val="zh-CN"/>
                    </w:rPr>
                    <w:t>3</w:t>
                  </w:r>
                  <w:r>
                    <w:rPr>
                      <w:rFonts w:ascii="Times New Roman" w:hAnsi="Times New Roman" w:cs="Times New Roman"/>
                      <w:color w:val="auto"/>
                      <w:szCs w:val="21"/>
                      <w:lang w:val="zh-CN"/>
                    </w:rPr>
                    <w:t>）</w:t>
                  </w:r>
                </w:p>
              </w:tc>
              <w:tc>
                <w:tcPr>
                  <w:tcW w:w="2924" w:type="dxa"/>
                  <w:noWrap/>
                  <w:vAlign w:val="center"/>
                </w:tcPr>
                <w:p>
                  <w:pPr>
                    <w:adjustRightInd w:val="0"/>
                    <w:snapToGrid w:val="0"/>
                    <w:jc w:val="center"/>
                    <w:rPr>
                      <w:rFonts w:ascii="Times New Roman" w:hAnsi="Times New Roman" w:eastAsia="宋体" w:cs="Times New Roman"/>
                      <w:color w:val="auto"/>
                      <w:szCs w:val="21"/>
                    </w:rPr>
                  </w:pPr>
                  <w:r>
                    <w:rPr>
                      <w:rFonts w:hint="eastAsia" w:cs="Times New Roman"/>
                      <w:color w:val="auto"/>
                      <w:szCs w:val="21"/>
                    </w:rPr>
                    <w:t>0.11</w:t>
                  </w:r>
                  <w:r>
                    <w:rPr>
                      <w:rFonts w:ascii="Times New Roman" w:hAnsi="Times New Roman" w:cs="Times New Roman"/>
                      <w:color w:val="auto"/>
                      <w:szCs w:val="21"/>
                      <w:lang w:val="zh-CN"/>
                    </w:rPr>
                    <w:t>~</w:t>
                  </w:r>
                  <w:r>
                    <w:rPr>
                      <w:rFonts w:hint="eastAsia" w:cs="Times New Roman"/>
                      <w:color w:val="auto"/>
                      <w:szCs w:val="21"/>
                    </w:rP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 w:hRule="atLeast"/>
                <w:jc w:val="center"/>
              </w:trPr>
              <w:tc>
                <w:tcPr>
                  <w:tcW w:w="1467" w:type="dxa"/>
                  <w:vMerge w:val="continue"/>
                  <w:noWrap/>
                  <w:vAlign w:val="center"/>
                </w:tcPr>
                <w:p>
                  <w:pPr>
                    <w:adjustRightInd w:val="0"/>
                    <w:snapToGrid w:val="0"/>
                    <w:jc w:val="center"/>
                    <w:rPr>
                      <w:rFonts w:ascii="Times New Roman" w:hAnsi="Times New Roman" w:cs="Times New Roman"/>
                      <w:color w:val="auto"/>
                      <w:szCs w:val="21"/>
                      <w:lang w:val="zh-CN"/>
                    </w:rPr>
                  </w:pPr>
                </w:p>
              </w:tc>
              <w:tc>
                <w:tcPr>
                  <w:tcW w:w="3829"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最大超标倍数</w:t>
                  </w:r>
                </w:p>
              </w:tc>
              <w:tc>
                <w:tcPr>
                  <w:tcW w:w="2924"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 w:hRule="atLeast"/>
                <w:jc w:val="center"/>
              </w:trPr>
              <w:tc>
                <w:tcPr>
                  <w:tcW w:w="1467" w:type="dxa"/>
                  <w:vMerge w:val="restart"/>
                  <w:noWrap/>
                  <w:vAlign w:val="center"/>
                </w:tcPr>
                <w:p>
                  <w:pPr>
                    <w:adjustRightInd w:val="0"/>
                    <w:snapToGrid w:val="0"/>
                    <w:jc w:val="center"/>
                    <w:rPr>
                      <w:rFonts w:ascii="Times New Roman" w:hAnsi="Times New Roman" w:cs="Times New Roman"/>
                      <w:color w:val="auto"/>
                      <w:szCs w:val="21"/>
                      <w:lang w:val="zh-CN"/>
                    </w:rPr>
                  </w:pPr>
                  <w:r>
                    <w:rPr>
                      <w:rFonts w:hint="eastAsia" w:ascii="Times New Roman" w:hAnsi="Times New Roman" w:cs="Times New Roman"/>
                      <w:color w:val="auto"/>
                      <w:szCs w:val="21"/>
                    </w:rPr>
                    <w:t>G</w:t>
                  </w:r>
                  <w:r>
                    <w:rPr>
                      <w:rFonts w:ascii="Times New Roman" w:hAnsi="Times New Roman" w:cs="Times New Roman"/>
                      <w:color w:val="auto"/>
                      <w:szCs w:val="21"/>
                      <w:lang w:val="zh-CN"/>
                    </w:rPr>
                    <w:t>2</w:t>
                  </w:r>
                </w:p>
              </w:tc>
              <w:tc>
                <w:tcPr>
                  <w:tcW w:w="3829"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范围（mg/m</w:t>
                  </w:r>
                  <w:r>
                    <w:rPr>
                      <w:rFonts w:ascii="Times New Roman" w:hAnsi="Times New Roman" w:cs="Times New Roman"/>
                      <w:color w:val="auto"/>
                      <w:szCs w:val="21"/>
                      <w:vertAlign w:val="superscript"/>
                      <w:lang w:val="zh-CN"/>
                    </w:rPr>
                    <w:t>3</w:t>
                  </w:r>
                  <w:r>
                    <w:rPr>
                      <w:rFonts w:ascii="Times New Roman" w:hAnsi="Times New Roman" w:cs="Times New Roman"/>
                      <w:color w:val="auto"/>
                      <w:szCs w:val="21"/>
                      <w:lang w:val="zh-CN"/>
                    </w:rPr>
                    <w:t>）</w:t>
                  </w:r>
                </w:p>
              </w:tc>
              <w:tc>
                <w:tcPr>
                  <w:tcW w:w="2924" w:type="dxa"/>
                  <w:noWrap/>
                  <w:vAlign w:val="center"/>
                </w:tcPr>
                <w:p>
                  <w:pPr>
                    <w:adjustRightInd w:val="0"/>
                    <w:snapToGrid w:val="0"/>
                    <w:jc w:val="center"/>
                    <w:rPr>
                      <w:rFonts w:hint="eastAsia" w:ascii="Times New Roman" w:hAnsi="Times New Roman" w:cs="Times New Roman" w:eastAsiaTheme="minorEastAsia"/>
                      <w:color w:val="auto"/>
                      <w:szCs w:val="21"/>
                      <w:lang w:eastAsia="zh-CN"/>
                    </w:rPr>
                  </w:pPr>
                  <w:r>
                    <w:rPr>
                      <w:rFonts w:hint="eastAsia" w:cs="Times New Roman"/>
                      <w:color w:val="auto"/>
                      <w:szCs w:val="21"/>
                    </w:rPr>
                    <w:t>0.31</w:t>
                  </w:r>
                  <w:r>
                    <w:rPr>
                      <w:rFonts w:ascii="Times New Roman" w:hAnsi="Times New Roman" w:cs="Times New Roman"/>
                      <w:color w:val="auto"/>
                      <w:szCs w:val="21"/>
                      <w:lang w:val="zh-CN"/>
                    </w:rPr>
                    <w:t>~</w:t>
                  </w:r>
                  <w:r>
                    <w:rPr>
                      <w:rFonts w:hint="eastAsia" w:cs="Times New Roman"/>
                      <w:color w:val="auto"/>
                      <w:szCs w:val="21"/>
                      <w:lang w:eastAsia="zh-CN"/>
                    </w:rP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 w:hRule="atLeast"/>
                <w:jc w:val="center"/>
              </w:trPr>
              <w:tc>
                <w:tcPr>
                  <w:tcW w:w="1467" w:type="dxa"/>
                  <w:vMerge w:val="continue"/>
                  <w:noWrap/>
                  <w:vAlign w:val="center"/>
                </w:tcPr>
                <w:p>
                  <w:pPr>
                    <w:adjustRightInd w:val="0"/>
                    <w:snapToGrid w:val="0"/>
                    <w:jc w:val="center"/>
                    <w:rPr>
                      <w:rFonts w:ascii="Times New Roman" w:hAnsi="Times New Roman" w:cs="Times New Roman"/>
                      <w:color w:val="auto"/>
                      <w:szCs w:val="21"/>
                      <w:lang w:val="zh-CN"/>
                    </w:rPr>
                  </w:pPr>
                </w:p>
              </w:tc>
              <w:tc>
                <w:tcPr>
                  <w:tcW w:w="3829"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最大超标倍数</w:t>
                  </w:r>
                </w:p>
              </w:tc>
              <w:tc>
                <w:tcPr>
                  <w:tcW w:w="2924"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5296" w:type="dxa"/>
                  <w:gridSpan w:val="2"/>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标准值</w:t>
                  </w:r>
                </w:p>
              </w:tc>
              <w:tc>
                <w:tcPr>
                  <w:tcW w:w="2924" w:type="dxa"/>
                  <w:noWrap/>
                  <w:vAlign w:val="center"/>
                </w:tcPr>
                <w:p>
                  <w:pPr>
                    <w:adjustRightInd w:val="0"/>
                    <w:snapToGri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2.0</w:t>
                  </w:r>
                </w:p>
              </w:tc>
            </w:tr>
          </w:tbl>
          <w:p>
            <w:pPr>
              <w:snapToGrid w:val="0"/>
              <w:spacing w:line="360" w:lineRule="auto"/>
              <w:ind w:firstLine="468" w:firstLineChars="200"/>
              <w:rPr>
                <w:rFonts w:ascii="宋体" w:hAnsi="宋体" w:eastAsia="宋体"/>
                <w:color w:val="auto"/>
                <w:spacing w:val="-3"/>
                <w:szCs w:val="21"/>
              </w:rPr>
            </w:pPr>
            <w:r>
              <w:rPr>
                <w:rFonts w:hint="eastAsia" w:ascii="宋体" w:hAnsi="宋体" w:eastAsia="宋体"/>
                <w:color w:val="auto"/>
                <w:spacing w:val="-3"/>
                <w:sz w:val="24"/>
                <w:szCs w:val="24"/>
                <w:lang w:val="zh-CN"/>
              </w:rPr>
              <w:t>由上表可知，项目所在地被监测点非甲烷总烃满足《环境空气质量非甲烷总烃限值》（DB13/1577-2012）表1中二级标准中所述的2mg/m</w:t>
            </w:r>
            <w:r>
              <w:rPr>
                <w:rFonts w:hint="eastAsia" w:ascii="宋体" w:hAnsi="宋体" w:eastAsia="宋体"/>
                <w:color w:val="auto"/>
                <w:spacing w:val="-3"/>
                <w:sz w:val="24"/>
                <w:szCs w:val="24"/>
                <w:vertAlign w:val="superscript"/>
                <w:lang w:val="zh-CN"/>
              </w:rPr>
              <w:t>3</w:t>
            </w:r>
            <w:r>
              <w:rPr>
                <w:rFonts w:hint="eastAsia" w:ascii="宋体" w:hAnsi="宋体" w:eastAsia="宋体"/>
                <w:color w:val="auto"/>
                <w:spacing w:val="-3"/>
                <w:szCs w:val="21"/>
              </w:rPr>
              <w:t>。</w:t>
            </w:r>
          </w:p>
          <w:p>
            <w:pPr>
              <w:snapToGrid w:val="0"/>
              <w:spacing w:line="360" w:lineRule="auto"/>
              <w:rPr>
                <w:rFonts w:ascii="宋体" w:hAnsi="宋体" w:eastAsia="宋体"/>
                <w:b/>
                <w:bCs/>
                <w:color w:val="auto"/>
                <w:szCs w:val="21"/>
              </w:rPr>
            </w:pPr>
            <w:r>
              <w:rPr>
                <w:rFonts w:ascii="Times New Roman" w:hAnsi="Times New Roman" w:eastAsia="Times New Roman"/>
                <w:b/>
                <w:bCs/>
                <w:color w:val="auto"/>
                <w:szCs w:val="21"/>
              </w:rPr>
              <w:t>3.2</w:t>
            </w:r>
            <w:r>
              <w:rPr>
                <w:rFonts w:ascii="宋体" w:hAnsi="宋体" w:eastAsia="宋体"/>
                <w:b/>
                <w:bCs/>
                <w:color w:val="auto"/>
                <w:szCs w:val="21"/>
              </w:rPr>
              <w:t>地表水环境质量</w:t>
            </w:r>
          </w:p>
          <w:p>
            <w:pPr>
              <w:snapToGrid w:val="0"/>
              <w:spacing w:line="360" w:lineRule="auto"/>
              <w:ind w:firstLine="468" w:firstLineChars="200"/>
              <w:rPr>
                <w:color w:val="auto"/>
                <w:sz w:val="24"/>
                <w:u w:val="single"/>
              </w:rPr>
            </w:pPr>
            <w:r>
              <w:rPr>
                <w:rFonts w:hint="eastAsia" w:ascii="宋体" w:hAnsi="宋体" w:eastAsia="宋体"/>
                <w:color w:val="auto"/>
                <w:spacing w:val="-3"/>
                <w:sz w:val="24"/>
                <w:szCs w:val="24"/>
                <w:u w:val="single"/>
                <w:lang w:val="en-US" w:eastAsia="zh-CN"/>
              </w:rPr>
              <w:t>项目无生产废水排放，项目生活废水经化粪池处理后进津市经开区污水处理厂处理后外排澧水，为</w:t>
            </w:r>
            <w:r>
              <w:rPr>
                <w:rFonts w:hint="eastAsia" w:ascii="宋体" w:hAnsi="宋体" w:eastAsia="宋体"/>
                <w:color w:val="auto"/>
                <w:spacing w:val="-3"/>
                <w:sz w:val="24"/>
                <w:szCs w:val="24"/>
                <w:u w:val="single"/>
              </w:rPr>
              <w:t>了解项目评价区域内</w:t>
            </w:r>
            <w:r>
              <w:rPr>
                <w:rFonts w:hint="eastAsia" w:ascii="宋体" w:hAnsi="宋体" w:eastAsia="宋体"/>
                <w:color w:val="auto"/>
                <w:spacing w:val="-3"/>
                <w:sz w:val="24"/>
                <w:szCs w:val="24"/>
                <w:u w:val="single"/>
                <w:lang w:val="en-US" w:eastAsia="zh-CN"/>
              </w:rPr>
              <w:t>澧水</w:t>
            </w:r>
            <w:r>
              <w:rPr>
                <w:rFonts w:hint="eastAsia" w:ascii="宋体" w:hAnsi="宋体" w:eastAsia="宋体"/>
                <w:color w:val="auto"/>
                <w:spacing w:val="-3"/>
                <w:sz w:val="24"/>
                <w:szCs w:val="24"/>
                <w:u w:val="single"/>
              </w:rPr>
              <w:t>水质现状，本次环评收集了《常德市生态环境局关于2020年12月全市环境质量状况的通报》，2020 年12月澧水</w:t>
            </w:r>
            <w:r>
              <w:rPr>
                <w:rFonts w:hint="eastAsia" w:ascii="宋体" w:hAnsi="宋体" w:eastAsia="宋体"/>
                <w:color w:val="auto"/>
                <w:spacing w:val="-3"/>
                <w:sz w:val="24"/>
                <w:szCs w:val="24"/>
                <w:u w:val="single"/>
                <w:lang w:val="en-US" w:eastAsia="zh-CN"/>
              </w:rPr>
              <w:t>津市段各区域</w:t>
            </w:r>
            <w:r>
              <w:rPr>
                <w:rFonts w:hint="eastAsia" w:ascii="宋体" w:hAnsi="宋体" w:eastAsia="宋体"/>
                <w:color w:val="auto"/>
                <w:spacing w:val="-3"/>
                <w:sz w:val="24"/>
                <w:szCs w:val="24"/>
                <w:u w:val="single"/>
              </w:rPr>
              <w:t>水质状况</w:t>
            </w:r>
            <w:r>
              <w:rPr>
                <w:rFonts w:hint="eastAsia"/>
                <w:color w:val="auto"/>
                <w:sz w:val="24"/>
                <w:u w:val="single"/>
              </w:rPr>
              <w:t>见表3-3。</w:t>
            </w:r>
          </w:p>
          <w:p>
            <w:pPr>
              <w:pStyle w:val="7"/>
              <w:spacing w:line="360" w:lineRule="auto"/>
              <w:ind w:firstLine="422"/>
              <w:rPr>
                <w:rFonts w:eastAsia="宋体" w:cs="Times New Roman"/>
                <w:b/>
                <w:bCs/>
                <w:color w:val="auto"/>
                <w:sz w:val="21"/>
                <w:szCs w:val="21"/>
                <w:u w:val="single"/>
              </w:rPr>
            </w:pPr>
            <w:r>
              <w:rPr>
                <w:rFonts w:hint="eastAsia" w:eastAsia="宋体" w:cs="Times New Roman"/>
                <w:b/>
                <w:bCs/>
                <w:color w:val="auto"/>
                <w:sz w:val="21"/>
                <w:szCs w:val="21"/>
                <w:u w:val="single"/>
              </w:rPr>
              <w:t>表3-3水质监测断面布置一览表</w:t>
            </w:r>
          </w:p>
          <w:p>
            <w:pPr>
              <w:snapToGrid w:val="0"/>
              <w:spacing w:line="360" w:lineRule="auto"/>
              <w:jc w:val="center"/>
              <w:rPr>
                <w:u w:val="single"/>
              </w:rPr>
            </w:pPr>
            <w:r>
              <w:rPr>
                <w:u w:val="single"/>
              </w:rPr>
              <w:drawing>
                <wp:inline distT="0" distB="0" distL="114300" distR="114300">
                  <wp:extent cx="4740910" cy="2513330"/>
                  <wp:effectExtent l="0" t="0" r="13970" b="127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7"/>
                          <a:stretch>
                            <a:fillRect/>
                          </a:stretch>
                        </pic:blipFill>
                        <pic:spPr>
                          <a:xfrm>
                            <a:off x="0" y="0"/>
                            <a:ext cx="4740910" cy="2513330"/>
                          </a:xfrm>
                          <a:prstGeom prst="rect">
                            <a:avLst/>
                          </a:prstGeom>
                          <a:noFill/>
                          <a:ln>
                            <a:noFill/>
                          </a:ln>
                        </pic:spPr>
                      </pic:pic>
                    </a:graphicData>
                  </a:graphic>
                </wp:inline>
              </w:drawing>
            </w:r>
          </w:p>
          <w:p>
            <w:pPr>
              <w:widowControl/>
              <w:adjustRightInd w:val="0"/>
              <w:snapToGrid w:val="0"/>
              <w:spacing w:line="360" w:lineRule="auto"/>
              <w:ind w:firstLine="480" w:firstLineChars="200"/>
              <w:rPr>
                <w:rFonts w:ascii="Times New Roman" w:hAnsi="Times New Roman" w:cs="Times New Roman"/>
                <w:color w:val="auto"/>
                <w:sz w:val="24"/>
                <w:szCs w:val="24"/>
              </w:rPr>
            </w:pPr>
            <w:r>
              <w:rPr>
                <w:rFonts w:hint="eastAsia"/>
                <w:color w:val="auto"/>
                <w:sz w:val="24"/>
                <w:u w:val="single"/>
              </w:rPr>
              <w:t>从上表可知，澧水</w:t>
            </w:r>
            <w:r>
              <w:rPr>
                <w:rFonts w:hint="eastAsia"/>
                <w:color w:val="auto"/>
                <w:sz w:val="24"/>
                <w:u w:val="single"/>
                <w:lang w:val="en-US" w:eastAsia="zh-CN"/>
              </w:rPr>
              <w:t>津市段</w:t>
            </w:r>
            <w:r>
              <w:rPr>
                <w:rFonts w:hint="eastAsia"/>
                <w:color w:val="auto"/>
                <w:sz w:val="24"/>
                <w:u w:val="single"/>
              </w:rPr>
              <w:t>各监测断面的监测因子均满足《地表水环境质量标准》（</w:t>
            </w:r>
            <w:r>
              <w:rPr>
                <w:color w:val="auto"/>
                <w:sz w:val="24"/>
                <w:u w:val="single"/>
              </w:rPr>
              <w:t>GB3838-2002</w:t>
            </w:r>
            <w:r>
              <w:rPr>
                <w:rFonts w:hint="eastAsia"/>
                <w:color w:val="auto"/>
                <w:sz w:val="24"/>
                <w:u w:val="single"/>
              </w:rPr>
              <w:t>）</w:t>
            </w:r>
            <w:r>
              <w:rPr>
                <w:rFonts w:hint="eastAsia" w:ascii="宋体" w:hAnsi="宋体" w:cs="宋体"/>
                <w:color w:val="auto"/>
                <w:sz w:val="24"/>
                <w:u w:val="single"/>
              </w:rPr>
              <w:t>Ⅲ</w:t>
            </w:r>
            <w:r>
              <w:rPr>
                <w:rFonts w:hint="eastAsia"/>
                <w:color w:val="auto"/>
                <w:sz w:val="24"/>
                <w:u w:val="single"/>
              </w:rPr>
              <w:t>类标准</w:t>
            </w:r>
            <w:r>
              <w:rPr>
                <w:rFonts w:hint="eastAsia"/>
                <w:color w:val="auto"/>
                <w:sz w:val="24"/>
                <w:u w:val="single"/>
                <w:lang w:eastAsia="zh-CN"/>
              </w:rPr>
              <w:t>，</w:t>
            </w:r>
            <w:r>
              <w:rPr>
                <w:rFonts w:hint="eastAsia"/>
                <w:color w:val="auto"/>
                <w:sz w:val="24"/>
                <w:u w:val="single"/>
                <w:lang w:val="en-US" w:eastAsia="zh-CN"/>
              </w:rPr>
              <w:t>项目所在区域地表水环境良好</w:t>
            </w:r>
            <w:r>
              <w:rPr>
                <w:rFonts w:hint="eastAsia" w:ascii="宋体" w:hAnsi="宋体" w:eastAsia="宋体" w:cs="宋体"/>
                <w:color w:val="auto"/>
                <w:sz w:val="24"/>
                <w:szCs w:val="24"/>
              </w:rPr>
              <w:t>。</w:t>
            </w:r>
          </w:p>
          <w:p>
            <w:pPr>
              <w:snapToGrid w:val="0"/>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3.3声环境质量</w:t>
            </w:r>
          </w:p>
          <w:p>
            <w:pPr>
              <w:widowControl/>
              <w:adjustRightInd w:val="0"/>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为了解评价范围内声环境质量现状，环评单位委托湖南中润恒信检测有限公司于202</w:t>
            </w:r>
            <w:r>
              <w:rPr>
                <w:rFonts w:hint="eastAsia" w:ascii="宋体" w:hAnsi="宋体" w:eastAsia="宋体"/>
                <w:color w:val="auto"/>
                <w:spacing w:val="-3"/>
                <w:sz w:val="24"/>
                <w:szCs w:val="24"/>
              </w:rPr>
              <w:t>1</w:t>
            </w:r>
            <w:r>
              <w:rPr>
                <w:rFonts w:ascii="宋体" w:hAnsi="宋体" w:eastAsia="宋体"/>
                <w:color w:val="auto"/>
                <w:spacing w:val="-3"/>
                <w:sz w:val="24"/>
                <w:szCs w:val="24"/>
              </w:rPr>
              <w:t>年</w:t>
            </w:r>
            <w:r>
              <w:rPr>
                <w:rFonts w:hint="eastAsia" w:ascii="宋体" w:hAnsi="宋体" w:eastAsia="宋体"/>
                <w:color w:val="auto"/>
                <w:spacing w:val="-3"/>
                <w:sz w:val="24"/>
                <w:szCs w:val="24"/>
              </w:rPr>
              <w:t>1</w:t>
            </w:r>
            <w:r>
              <w:rPr>
                <w:rFonts w:ascii="宋体" w:hAnsi="宋体" w:eastAsia="宋体"/>
                <w:color w:val="auto"/>
                <w:spacing w:val="-3"/>
                <w:sz w:val="24"/>
                <w:szCs w:val="24"/>
              </w:rPr>
              <w:t>月1</w:t>
            </w:r>
            <w:r>
              <w:rPr>
                <w:rFonts w:hint="eastAsia" w:ascii="宋体" w:hAnsi="宋体" w:eastAsia="宋体"/>
                <w:color w:val="auto"/>
                <w:spacing w:val="-3"/>
                <w:sz w:val="24"/>
                <w:szCs w:val="24"/>
              </w:rPr>
              <w:t>0</w:t>
            </w:r>
            <w:r>
              <w:rPr>
                <w:rFonts w:ascii="宋体" w:hAnsi="宋体" w:eastAsia="宋体"/>
                <w:color w:val="auto"/>
                <w:spacing w:val="-3"/>
                <w:sz w:val="24"/>
                <w:szCs w:val="24"/>
              </w:rPr>
              <w:t>日</w:t>
            </w:r>
            <w:r>
              <w:rPr>
                <w:rFonts w:hint="eastAsia" w:ascii="宋体" w:hAnsi="宋体" w:eastAsia="宋体"/>
                <w:color w:val="auto"/>
                <w:spacing w:val="-3"/>
                <w:sz w:val="24"/>
                <w:szCs w:val="24"/>
              </w:rPr>
              <w:t>-11日</w:t>
            </w:r>
            <w:r>
              <w:rPr>
                <w:rFonts w:ascii="宋体" w:hAnsi="宋体" w:eastAsia="宋体"/>
                <w:color w:val="auto"/>
                <w:spacing w:val="-3"/>
                <w:sz w:val="24"/>
                <w:szCs w:val="24"/>
              </w:rPr>
              <w:t>对项目所在地声环境进行现状监测。</w:t>
            </w:r>
          </w:p>
          <w:p>
            <w:pPr>
              <w:widowControl/>
              <w:adjustRightInd w:val="0"/>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（1）监测点：1#监测点位于项目东厂界外1m处；2#监测点位于项目南厂界外1m处；3#监测点位于项目西厂界外1m处；4#监测点位于项目北厂界外1m处。</w:t>
            </w:r>
          </w:p>
          <w:p>
            <w:pPr>
              <w:widowControl/>
              <w:adjustRightInd w:val="0"/>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（2）采样和分析方法：采样和分析方法采用《声环境质量标准》（GB3096-2008）中规定的方法。</w:t>
            </w:r>
          </w:p>
          <w:p>
            <w:pPr>
              <w:widowControl/>
              <w:adjustRightInd w:val="0"/>
              <w:snapToGrid w:val="0"/>
              <w:spacing w:line="360" w:lineRule="auto"/>
              <w:ind w:firstLine="468" w:firstLineChars="200"/>
              <w:rPr>
                <w:rFonts w:ascii="Times New Roman" w:hAnsi="Times New Roman" w:cs="Times New Roman"/>
                <w:color w:val="auto"/>
                <w:sz w:val="24"/>
                <w:szCs w:val="24"/>
              </w:rPr>
            </w:pPr>
            <w:r>
              <w:rPr>
                <w:rFonts w:ascii="宋体" w:hAnsi="宋体" w:eastAsia="宋体"/>
                <w:color w:val="auto"/>
                <w:spacing w:val="-3"/>
                <w:sz w:val="24"/>
                <w:szCs w:val="24"/>
              </w:rPr>
              <w:t>本项目东、</w:t>
            </w:r>
            <w:r>
              <w:rPr>
                <w:rFonts w:hint="eastAsia" w:ascii="宋体" w:hAnsi="宋体" w:eastAsia="宋体"/>
                <w:color w:val="auto"/>
                <w:spacing w:val="-3"/>
                <w:sz w:val="24"/>
                <w:szCs w:val="24"/>
              </w:rPr>
              <w:t>南、</w:t>
            </w:r>
            <w:r>
              <w:rPr>
                <w:rFonts w:ascii="宋体" w:hAnsi="宋体" w:eastAsia="宋体"/>
                <w:color w:val="auto"/>
                <w:spacing w:val="-3"/>
                <w:sz w:val="24"/>
                <w:szCs w:val="24"/>
              </w:rPr>
              <w:t>西、北厂界声环境执行《声环境质量标准》（GB3096-2008）表1中3类区标准要求，评价结果见表3-</w:t>
            </w:r>
            <w:r>
              <w:rPr>
                <w:rFonts w:hint="eastAsia" w:ascii="宋体" w:hAnsi="宋体" w:eastAsia="宋体"/>
                <w:color w:val="auto"/>
                <w:spacing w:val="-3"/>
                <w:sz w:val="24"/>
                <w:szCs w:val="24"/>
                <w:lang w:val="en-US" w:eastAsia="zh-CN"/>
              </w:rPr>
              <w:t>4</w:t>
            </w:r>
            <w:r>
              <w:rPr>
                <w:rFonts w:ascii="Times New Roman" w:hAnsi="Times New Roman" w:cs="Times New Roman"/>
                <w:color w:val="auto"/>
                <w:sz w:val="24"/>
                <w:szCs w:val="24"/>
              </w:rPr>
              <w:t>。</w:t>
            </w:r>
            <w:bookmarkStart w:id="0" w:name="_Ref396394858"/>
          </w:p>
          <w:p>
            <w:pPr>
              <w:pStyle w:val="7"/>
              <w:spacing w:line="360" w:lineRule="auto"/>
              <w:ind w:firstLine="422"/>
              <w:rPr>
                <w:rFonts w:eastAsia="宋体" w:cs="Times New Roman"/>
                <w:b/>
                <w:bCs/>
                <w:color w:val="auto"/>
                <w:sz w:val="21"/>
                <w:szCs w:val="21"/>
              </w:rPr>
            </w:pPr>
            <w:r>
              <w:rPr>
                <w:rFonts w:eastAsia="宋体" w:cs="Times New Roman"/>
                <w:b/>
                <w:bCs/>
                <w:color w:val="auto"/>
                <w:sz w:val="21"/>
                <w:szCs w:val="21"/>
              </w:rPr>
              <w:t>表</w:t>
            </w:r>
            <w:bookmarkEnd w:id="0"/>
            <w:r>
              <w:rPr>
                <w:rFonts w:eastAsia="宋体" w:cs="Times New Roman"/>
                <w:b/>
                <w:bCs/>
                <w:color w:val="auto"/>
                <w:sz w:val="21"/>
                <w:szCs w:val="21"/>
              </w:rPr>
              <w:t>3-</w:t>
            </w:r>
            <w:r>
              <w:rPr>
                <w:rFonts w:hint="eastAsia" w:eastAsia="宋体" w:cs="Times New Roman"/>
                <w:b/>
                <w:bCs/>
                <w:color w:val="auto"/>
                <w:sz w:val="21"/>
                <w:szCs w:val="21"/>
                <w:lang w:val="en-US" w:eastAsia="zh-CN"/>
              </w:rPr>
              <w:t>4</w:t>
            </w:r>
            <w:r>
              <w:rPr>
                <w:rFonts w:eastAsia="宋体" w:cs="Times New Roman"/>
                <w:b/>
                <w:bCs/>
                <w:color w:val="auto"/>
                <w:sz w:val="21"/>
                <w:szCs w:val="21"/>
              </w:rPr>
              <w:t>项目所在地声环境质量现状监测结果单位：dB(A)</w:t>
            </w:r>
          </w:p>
          <w:tbl>
            <w:tblPr>
              <w:tblStyle w:val="19"/>
              <w:tblW w:w="82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1310"/>
              <w:gridCol w:w="1444"/>
              <w:gridCol w:w="1219"/>
              <w:gridCol w:w="950"/>
              <w:gridCol w:w="1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noWrap/>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监测点位</w:t>
                  </w:r>
                </w:p>
              </w:tc>
              <w:tc>
                <w:tcPr>
                  <w:tcW w:w="1373" w:type="dxa"/>
                  <w:noWrap/>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监测时间</w:t>
                  </w:r>
                </w:p>
              </w:tc>
              <w:tc>
                <w:tcPr>
                  <w:tcW w:w="1515" w:type="dxa"/>
                  <w:noWrap/>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Leq</w:t>
                  </w:r>
                </w:p>
              </w:tc>
              <w:tc>
                <w:tcPr>
                  <w:tcW w:w="1276" w:type="dxa"/>
                  <w:tcBorders>
                    <w:right w:val="single" w:color="auto" w:sz="4" w:space="0"/>
                  </w:tcBorders>
                  <w:noWrap/>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执行标准</w:t>
                  </w:r>
                </w:p>
              </w:tc>
              <w:tc>
                <w:tcPr>
                  <w:tcW w:w="992" w:type="dxa"/>
                  <w:tcBorders>
                    <w:left w:val="single" w:color="auto" w:sz="4" w:space="0"/>
                  </w:tcBorders>
                  <w:noWrap/>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超标值</w:t>
                  </w:r>
                </w:p>
              </w:tc>
              <w:tc>
                <w:tcPr>
                  <w:tcW w:w="2073" w:type="dxa"/>
                  <w:tcBorders>
                    <w:left w:val="single" w:color="auto" w:sz="4" w:space="0"/>
                  </w:tcBorders>
                  <w:noWrap/>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restart"/>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场地东1#</w:t>
                  </w: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w:t>
                  </w:r>
                </w:p>
              </w:tc>
              <w:tc>
                <w:tcPr>
                  <w:tcW w:w="1515" w:type="dxa"/>
                  <w:noWrap/>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54</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≤65</w:t>
                  </w:r>
                </w:p>
              </w:tc>
              <w:tc>
                <w:tcPr>
                  <w:tcW w:w="992" w:type="dxa"/>
                  <w:tcBorders>
                    <w:lef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restart"/>
                  <w:tcBorders>
                    <w:lef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《声环境质量标准》（GB3096-2008）表1中3类区标准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continue"/>
                  <w:noWrap/>
                  <w:vAlign w:val="center"/>
                </w:tcPr>
                <w:p>
                  <w:pPr>
                    <w:jc w:val="center"/>
                    <w:rPr>
                      <w:rFonts w:ascii="Times New Roman" w:hAnsi="Times New Roman" w:eastAsia="宋体" w:cs="Times New Roman"/>
                      <w:color w:val="auto"/>
                      <w:szCs w:val="21"/>
                    </w:rPr>
                  </w:pP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w:t>
                  </w:r>
                </w:p>
              </w:tc>
              <w:tc>
                <w:tcPr>
                  <w:tcW w:w="1515" w:type="dxa"/>
                  <w:noWrap/>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43</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restart"/>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场地南2#</w:t>
                  </w: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w:t>
                  </w:r>
                </w:p>
              </w:tc>
              <w:tc>
                <w:tcPr>
                  <w:tcW w:w="1515" w:type="dxa"/>
                  <w:noWrap/>
                  <w:vAlign w:val="center"/>
                </w:tcPr>
                <w:p>
                  <w:pPr>
                    <w:widowControl/>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53</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65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continue"/>
                  <w:tcBorders>
                    <w:bottom w:val="single" w:color="auto" w:sz="4" w:space="0"/>
                  </w:tcBorders>
                  <w:noWrap/>
                  <w:vAlign w:val="center"/>
                </w:tcPr>
                <w:p>
                  <w:pPr>
                    <w:jc w:val="center"/>
                    <w:rPr>
                      <w:rFonts w:ascii="Times New Roman" w:hAnsi="Times New Roman" w:eastAsia="宋体" w:cs="Times New Roman"/>
                      <w:color w:val="auto"/>
                      <w:szCs w:val="21"/>
                    </w:rPr>
                  </w:pP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w:t>
                  </w:r>
                </w:p>
              </w:tc>
              <w:tc>
                <w:tcPr>
                  <w:tcW w:w="1515" w:type="dxa"/>
                  <w:noWrap/>
                  <w:vAlign w:val="center"/>
                </w:tcPr>
                <w:p>
                  <w:pPr>
                    <w:widowControl/>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42</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restart"/>
                  <w:tcBorders>
                    <w:top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场地西3#</w:t>
                  </w: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w:t>
                  </w:r>
                </w:p>
              </w:tc>
              <w:tc>
                <w:tcPr>
                  <w:tcW w:w="1515" w:type="dxa"/>
                  <w:noWrap/>
                  <w:vAlign w:val="center"/>
                </w:tcPr>
                <w:p>
                  <w:pPr>
                    <w:widowControl/>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53</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≤65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continue"/>
                  <w:tcBorders>
                    <w:bottom w:val="single" w:color="auto" w:sz="4" w:space="0"/>
                  </w:tcBorders>
                  <w:noWrap/>
                  <w:vAlign w:val="center"/>
                </w:tcPr>
                <w:p>
                  <w:pPr>
                    <w:jc w:val="center"/>
                    <w:rPr>
                      <w:rFonts w:ascii="Times New Roman" w:hAnsi="Times New Roman" w:eastAsia="宋体" w:cs="Times New Roman"/>
                      <w:color w:val="auto"/>
                      <w:szCs w:val="21"/>
                    </w:rPr>
                  </w:pP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w:t>
                  </w:r>
                </w:p>
              </w:tc>
              <w:tc>
                <w:tcPr>
                  <w:tcW w:w="1515" w:type="dxa"/>
                  <w:noWrap/>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43</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restart"/>
                  <w:tcBorders>
                    <w:top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场地西4#</w:t>
                  </w: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w:t>
                  </w:r>
                </w:p>
              </w:tc>
              <w:tc>
                <w:tcPr>
                  <w:tcW w:w="1515" w:type="dxa"/>
                  <w:noWrap/>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54</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≤65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9" w:type="dxa"/>
                  <w:vMerge w:val="continue"/>
                  <w:noWrap/>
                  <w:vAlign w:val="center"/>
                </w:tcPr>
                <w:p>
                  <w:pPr>
                    <w:jc w:val="center"/>
                    <w:rPr>
                      <w:rFonts w:ascii="Times New Roman" w:hAnsi="Times New Roman" w:eastAsia="宋体" w:cs="Times New Roman"/>
                      <w:color w:val="auto"/>
                      <w:szCs w:val="21"/>
                    </w:rPr>
                  </w:pPr>
                </w:p>
              </w:tc>
              <w:tc>
                <w:tcPr>
                  <w:tcW w:w="1373" w:type="dxa"/>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w:t>
                  </w:r>
                </w:p>
              </w:tc>
              <w:tc>
                <w:tcPr>
                  <w:tcW w:w="1515" w:type="dxa"/>
                  <w:noWrap/>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42</w:t>
                  </w:r>
                </w:p>
              </w:tc>
              <w:tc>
                <w:tcPr>
                  <w:tcW w:w="1276" w:type="dxa"/>
                  <w:tcBorders>
                    <w:right w:val="single" w:color="auto" w:sz="4" w:space="0"/>
                  </w:tcBorders>
                  <w:noWrap/>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c>
                <w:tcPr>
                  <w:tcW w:w="992" w:type="dxa"/>
                  <w:tcBorders>
                    <w:left w:val="single" w:color="auto" w:sz="4" w:space="0"/>
                  </w:tcBorders>
                  <w:noWrap/>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2073" w:type="dxa"/>
                  <w:vMerge w:val="continue"/>
                  <w:tcBorders>
                    <w:left w:val="single" w:color="auto" w:sz="4" w:space="0"/>
                  </w:tcBorders>
                  <w:noWrap/>
                </w:tcPr>
                <w:p>
                  <w:pPr>
                    <w:jc w:val="center"/>
                    <w:rPr>
                      <w:rFonts w:ascii="Times New Roman" w:hAnsi="Times New Roman" w:eastAsia="宋体" w:cs="Times New Roman"/>
                      <w:color w:val="auto"/>
                      <w:szCs w:val="21"/>
                    </w:rPr>
                  </w:pPr>
                </w:p>
              </w:tc>
            </w:tr>
          </w:tbl>
          <w:p>
            <w:pPr>
              <w:snapToGrid w:val="0"/>
              <w:spacing w:line="360" w:lineRule="auto"/>
              <w:ind w:firstLine="468" w:firstLineChars="200"/>
              <w:rPr>
                <w:rFonts w:ascii="宋体" w:hAnsi="宋体" w:eastAsia="宋体"/>
                <w:color w:val="auto"/>
                <w:spacing w:val="-3"/>
                <w:szCs w:val="21"/>
              </w:rPr>
            </w:pPr>
            <w:r>
              <w:rPr>
                <w:rFonts w:ascii="宋体" w:hAnsi="宋体" w:eastAsia="宋体"/>
                <w:color w:val="auto"/>
                <w:spacing w:val="-3"/>
                <w:sz w:val="24"/>
                <w:szCs w:val="24"/>
              </w:rPr>
              <w:t>由上表监测数据可知，项目东、</w:t>
            </w:r>
            <w:r>
              <w:rPr>
                <w:rFonts w:hint="eastAsia" w:ascii="宋体" w:hAnsi="宋体" w:eastAsia="宋体"/>
                <w:color w:val="auto"/>
                <w:spacing w:val="-3"/>
                <w:sz w:val="24"/>
                <w:szCs w:val="24"/>
              </w:rPr>
              <w:t>南、</w:t>
            </w:r>
            <w:r>
              <w:rPr>
                <w:rFonts w:ascii="宋体" w:hAnsi="宋体" w:eastAsia="宋体"/>
                <w:color w:val="auto"/>
                <w:spacing w:val="-3"/>
                <w:sz w:val="24"/>
                <w:szCs w:val="24"/>
              </w:rPr>
              <w:t>西、北厂界声环境符合《声环境质量标准》（GB3096-2008）中3类标准限值要求。因此，项目区域声环境质量较好</w:t>
            </w:r>
            <w:r>
              <w:rPr>
                <w:rFonts w:ascii="宋体" w:hAnsi="宋体" w:eastAsia="宋体"/>
                <w:color w:val="auto"/>
                <w:spacing w:val="-3"/>
                <w:szCs w:val="21"/>
              </w:rPr>
              <w:t>。</w:t>
            </w:r>
          </w:p>
          <w:p>
            <w:pPr>
              <w:snapToGrid w:val="0"/>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3.4生态环境现状</w:t>
            </w:r>
          </w:p>
          <w:p>
            <w:pPr>
              <w:snapToGrid w:val="0"/>
              <w:spacing w:line="360" w:lineRule="auto"/>
              <w:ind w:firstLine="468" w:firstLineChars="200"/>
              <w:rPr>
                <w:rFonts w:ascii="宋体" w:hAnsi="宋体" w:eastAsia="宋体"/>
                <w:color w:val="auto"/>
                <w:szCs w:val="21"/>
              </w:rPr>
            </w:pPr>
            <w:r>
              <w:rPr>
                <w:rFonts w:ascii="宋体" w:hAnsi="宋体" w:eastAsia="宋体"/>
                <w:color w:val="auto"/>
                <w:spacing w:val="-3"/>
                <w:sz w:val="24"/>
                <w:szCs w:val="24"/>
              </w:rPr>
              <w:t>项目租用</w:t>
            </w:r>
            <w:r>
              <w:rPr>
                <w:rFonts w:hint="eastAsia" w:ascii="宋体" w:hAnsi="宋体" w:eastAsia="宋体"/>
                <w:color w:val="auto"/>
                <w:spacing w:val="-3"/>
                <w:sz w:val="24"/>
                <w:szCs w:val="24"/>
              </w:rPr>
              <w:t>开发区团湖大道右侧钰兴科技园4号车间</w:t>
            </w:r>
            <w:r>
              <w:rPr>
                <w:rFonts w:ascii="宋体" w:hAnsi="宋体" w:eastAsia="宋体"/>
                <w:color w:val="auto"/>
                <w:spacing w:val="-3"/>
                <w:sz w:val="24"/>
                <w:szCs w:val="24"/>
              </w:rPr>
              <w:t>，根据现场调查，所在区域内只有人工植被，植被多样性较差，生态环境更多的是人为控制，自身调控能力较差，项目区周围为</w:t>
            </w:r>
            <w:r>
              <w:rPr>
                <w:rFonts w:hint="eastAsia" w:ascii="宋体" w:hAnsi="宋体" w:eastAsia="宋体"/>
                <w:color w:val="auto"/>
                <w:spacing w:val="-3"/>
                <w:sz w:val="24"/>
                <w:szCs w:val="24"/>
              </w:rPr>
              <w:t>厂房</w:t>
            </w:r>
            <w:r>
              <w:rPr>
                <w:rFonts w:ascii="宋体" w:hAnsi="宋体" w:eastAsia="宋体"/>
                <w:color w:val="auto"/>
                <w:spacing w:val="-3"/>
                <w:sz w:val="24"/>
                <w:szCs w:val="24"/>
              </w:rPr>
              <w:t>、道路等</w:t>
            </w:r>
            <w:r>
              <w:rPr>
                <w:rFonts w:ascii="宋体" w:hAnsi="宋体" w:eastAsia="宋体"/>
                <w:color w:val="auto"/>
                <w:spacing w:val="-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85" w:hRule="atLeast"/>
        </w:trPr>
        <w:tc>
          <w:tcPr>
            <w:tcW w:w="57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kern w:val="0"/>
                <w:szCs w:val="21"/>
              </w:rPr>
            </w:pPr>
            <w:r>
              <w:rPr>
                <w:rFonts w:ascii="宋体" w:hAnsi="宋体" w:eastAsia="宋体"/>
                <w:color w:val="auto"/>
                <w:kern w:val="0"/>
                <w:szCs w:val="21"/>
              </w:rPr>
              <w:t>环境</w:t>
            </w:r>
          </w:p>
          <w:p>
            <w:pPr>
              <w:spacing w:line="360" w:lineRule="auto"/>
              <w:jc w:val="center"/>
              <w:rPr>
                <w:rFonts w:ascii="宋体" w:hAnsi="宋体" w:eastAsia="宋体"/>
                <w:color w:val="auto"/>
                <w:kern w:val="0"/>
                <w:szCs w:val="21"/>
              </w:rPr>
            </w:pPr>
            <w:r>
              <w:rPr>
                <w:rFonts w:ascii="宋体" w:hAnsi="宋体" w:eastAsia="宋体"/>
                <w:color w:val="auto"/>
                <w:kern w:val="0"/>
                <w:szCs w:val="21"/>
              </w:rPr>
              <w:t>保护</w:t>
            </w:r>
          </w:p>
          <w:p>
            <w:pPr>
              <w:spacing w:line="360" w:lineRule="auto"/>
              <w:jc w:val="center"/>
              <w:rPr>
                <w:rFonts w:ascii="宋体" w:hAnsi="宋体" w:eastAsia="宋体"/>
                <w:color w:val="auto"/>
                <w:kern w:val="0"/>
                <w:szCs w:val="21"/>
              </w:rPr>
            </w:pPr>
            <w:r>
              <w:rPr>
                <w:rFonts w:ascii="宋体" w:hAnsi="宋体" w:eastAsia="宋体"/>
                <w:color w:val="auto"/>
                <w:kern w:val="0"/>
                <w:szCs w:val="21"/>
              </w:rPr>
              <w:t>目标</w:t>
            </w:r>
          </w:p>
        </w:tc>
        <w:tc>
          <w:tcPr>
            <w:tcW w:w="8409"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468" w:firstLineChars="200"/>
              <w:jc w:val="left"/>
              <w:rPr>
                <w:rFonts w:ascii="Times New Roman" w:hAnsi="Times New Roman" w:cs="Times New Roman"/>
                <w:color w:val="auto"/>
                <w:sz w:val="24"/>
                <w:szCs w:val="24"/>
              </w:rPr>
            </w:pPr>
            <w:r>
              <w:rPr>
                <w:rFonts w:ascii="宋体" w:hAnsi="宋体" w:eastAsia="宋体"/>
                <w:color w:val="auto"/>
                <w:spacing w:val="-3"/>
                <w:sz w:val="24"/>
                <w:szCs w:val="24"/>
              </w:rPr>
              <w:t>经过实地勘查，本报告确定以评价范围内区域大气环境、声环境、地表水。</w:t>
            </w:r>
            <w:r>
              <w:rPr>
                <w:rFonts w:hint="eastAsia" w:ascii="宋体" w:hAnsi="宋体" w:eastAsia="宋体"/>
                <w:color w:val="auto"/>
                <w:spacing w:val="-3"/>
                <w:sz w:val="24"/>
                <w:szCs w:val="24"/>
                <w:lang w:val="en-US" w:eastAsia="zh-CN"/>
              </w:rPr>
              <w:t>项目无生产废水外排，生活污水经化粪池处理后，进入开发区污水管网；项目周边50m范围内无敏感目标，</w:t>
            </w:r>
            <w:r>
              <w:rPr>
                <w:rFonts w:ascii="宋体" w:hAnsi="宋体" w:eastAsia="宋体"/>
                <w:color w:val="auto"/>
                <w:spacing w:val="-3"/>
                <w:sz w:val="24"/>
                <w:szCs w:val="24"/>
              </w:rPr>
              <w:t>本次评价的环境空气保护目标见表3-</w:t>
            </w:r>
            <w:r>
              <w:rPr>
                <w:rFonts w:hint="eastAsia" w:ascii="宋体" w:hAnsi="宋体" w:eastAsia="宋体"/>
                <w:color w:val="auto"/>
                <w:spacing w:val="-3"/>
                <w:sz w:val="24"/>
                <w:szCs w:val="24"/>
                <w:lang w:val="en-US" w:eastAsia="zh-CN"/>
              </w:rPr>
              <w:t>5</w:t>
            </w:r>
            <w:r>
              <w:rPr>
                <w:rFonts w:ascii="Times New Roman" w:hAnsi="Times New Roman" w:cs="Times New Roman"/>
                <w:color w:val="auto"/>
                <w:sz w:val="24"/>
                <w:szCs w:val="24"/>
              </w:rPr>
              <w:t>。</w:t>
            </w:r>
          </w:p>
          <w:p>
            <w:pPr>
              <w:spacing w:line="276" w:lineRule="auto"/>
              <w:jc w:val="center"/>
              <w:rPr>
                <w:rFonts w:ascii="Times New Roman" w:hAnsi="Times New Roman" w:cs="Times New Roman"/>
                <w:b/>
                <w:bCs/>
                <w:color w:val="auto"/>
                <w:szCs w:val="21"/>
                <w:u w:val="single"/>
              </w:rPr>
            </w:pPr>
            <w:r>
              <w:rPr>
                <w:rFonts w:ascii="Times New Roman" w:hAnsi="Times New Roman" w:cs="Times New Roman"/>
                <w:b/>
                <w:bCs/>
                <w:color w:val="auto"/>
                <w:szCs w:val="21"/>
                <w:u w:val="single"/>
              </w:rPr>
              <w:t>表3-</w:t>
            </w:r>
            <w:r>
              <w:rPr>
                <w:rFonts w:hint="eastAsia" w:ascii="Times New Roman" w:hAnsi="Times New Roman" w:cs="Times New Roman"/>
                <w:b/>
                <w:bCs/>
                <w:color w:val="auto"/>
                <w:szCs w:val="21"/>
                <w:u w:val="single"/>
                <w:lang w:val="en-US" w:eastAsia="zh-CN"/>
              </w:rPr>
              <w:t>5</w:t>
            </w:r>
            <w:r>
              <w:rPr>
                <w:rFonts w:ascii="Times New Roman" w:hAnsi="Times New Roman" w:cs="Times New Roman"/>
                <w:b/>
                <w:bCs/>
                <w:color w:val="auto"/>
                <w:szCs w:val="21"/>
                <w:u w:val="single"/>
              </w:rPr>
              <w:t>环境空气保护目标</w:t>
            </w:r>
          </w:p>
          <w:tbl>
            <w:tblPr>
              <w:tblStyle w:val="19"/>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1245"/>
              <w:gridCol w:w="1200"/>
              <w:gridCol w:w="1213"/>
              <w:gridCol w:w="834"/>
              <w:gridCol w:w="653"/>
              <w:gridCol w:w="890"/>
              <w:gridCol w:w="10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154" w:type="dxa"/>
                  <w:vMerge w:val="restart"/>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名称</w:t>
                  </w:r>
                </w:p>
              </w:tc>
              <w:tc>
                <w:tcPr>
                  <w:tcW w:w="2445" w:type="dxa"/>
                  <w:gridSpan w:val="2"/>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坐标</w:t>
                  </w:r>
                </w:p>
              </w:tc>
              <w:tc>
                <w:tcPr>
                  <w:tcW w:w="1213" w:type="dxa"/>
                  <w:vMerge w:val="restart"/>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保护</w:t>
                  </w:r>
                </w:p>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对象</w:t>
                  </w:r>
                </w:p>
              </w:tc>
              <w:tc>
                <w:tcPr>
                  <w:tcW w:w="834" w:type="dxa"/>
                  <w:vMerge w:val="restart"/>
                  <w:tcBorders>
                    <w:tl2br w:val="nil"/>
                    <w:tr2bl w:val="nil"/>
                  </w:tcBorders>
                  <w:noWrap/>
                  <w:vAlign w:val="center"/>
                </w:tcPr>
                <w:p>
                  <w:pPr>
                    <w:rPr>
                      <w:rFonts w:ascii="Times New Roman" w:hAnsi="Times New Roman" w:cs="Times New Roman"/>
                      <w:b/>
                      <w:bCs/>
                      <w:color w:val="auto"/>
                      <w:szCs w:val="21"/>
                      <w:u w:val="none"/>
                    </w:rPr>
                  </w:pPr>
                  <w:r>
                    <w:rPr>
                      <w:rFonts w:ascii="Times New Roman" w:hAnsi="Times New Roman" w:cs="Times New Roman"/>
                      <w:b/>
                      <w:bCs/>
                      <w:color w:val="auto"/>
                      <w:szCs w:val="21"/>
                      <w:u w:val="none"/>
                    </w:rPr>
                    <w:t>内容（人）</w:t>
                  </w:r>
                </w:p>
              </w:tc>
              <w:tc>
                <w:tcPr>
                  <w:tcW w:w="653" w:type="dxa"/>
                  <w:vMerge w:val="restart"/>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环境</w:t>
                  </w:r>
                </w:p>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功能区</w:t>
                  </w:r>
                </w:p>
              </w:tc>
              <w:tc>
                <w:tcPr>
                  <w:tcW w:w="890" w:type="dxa"/>
                  <w:vMerge w:val="restart"/>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相对厂</w:t>
                  </w:r>
                </w:p>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址方位</w:t>
                  </w:r>
                </w:p>
              </w:tc>
              <w:tc>
                <w:tcPr>
                  <w:tcW w:w="1031" w:type="dxa"/>
                  <w:vMerge w:val="restart"/>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相对厂界</w:t>
                  </w:r>
                </w:p>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54"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1245" w:type="dxa"/>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X</w:t>
                  </w:r>
                </w:p>
              </w:tc>
              <w:tc>
                <w:tcPr>
                  <w:tcW w:w="1200" w:type="dxa"/>
                  <w:tcBorders>
                    <w:tl2br w:val="nil"/>
                    <w:tr2bl w:val="nil"/>
                  </w:tcBorders>
                  <w:noWrap/>
                  <w:vAlign w:val="center"/>
                </w:tcPr>
                <w:p>
                  <w:pPr>
                    <w:jc w:val="center"/>
                    <w:rPr>
                      <w:rFonts w:ascii="Times New Roman" w:hAnsi="Times New Roman" w:cs="Times New Roman"/>
                      <w:b/>
                      <w:bCs/>
                      <w:color w:val="auto"/>
                      <w:szCs w:val="21"/>
                      <w:u w:val="none"/>
                    </w:rPr>
                  </w:pPr>
                  <w:r>
                    <w:rPr>
                      <w:rFonts w:ascii="Times New Roman" w:hAnsi="Times New Roman" w:cs="Times New Roman"/>
                      <w:b/>
                      <w:bCs/>
                      <w:color w:val="auto"/>
                      <w:szCs w:val="21"/>
                      <w:u w:val="none"/>
                    </w:rPr>
                    <w:t>Y</w:t>
                  </w:r>
                </w:p>
              </w:tc>
              <w:tc>
                <w:tcPr>
                  <w:tcW w:w="1213"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834"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653"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890"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1031" w:type="dxa"/>
                  <w:vMerge w:val="continue"/>
                  <w:tcBorders>
                    <w:tl2br w:val="nil"/>
                    <w:tr2bl w:val="nil"/>
                  </w:tcBorders>
                  <w:noWrap/>
                  <w:vAlign w:val="center"/>
                </w:tcPr>
                <w:p>
                  <w:pPr>
                    <w:jc w:val="center"/>
                    <w:rPr>
                      <w:rFonts w:ascii="Times New Roman" w:hAnsi="Times New Roman" w:cs="Times New Roman"/>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154"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团湖公租房小区</w:t>
                  </w:r>
                </w:p>
              </w:tc>
              <w:tc>
                <w:tcPr>
                  <w:tcW w:w="1245" w:type="dxa"/>
                  <w:tcBorders>
                    <w:tl2br w:val="nil"/>
                    <w:tr2bl w:val="nil"/>
                  </w:tcBorders>
                  <w:noWrap/>
                  <w:vAlign w:val="center"/>
                </w:tcPr>
                <w:p>
                  <w:pPr>
                    <w:jc w:val="center"/>
                    <w:rPr>
                      <w:rFonts w:ascii="Times New Roman" w:hAnsi="Times New Roman" w:eastAsia="宋体" w:cs="Times New Roman"/>
                      <w:color w:val="auto"/>
                      <w:szCs w:val="21"/>
                      <w:u w:val="none"/>
                    </w:rPr>
                  </w:pPr>
                  <w:r>
                    <w:rPr>
                      <w:rFonts w:hint="eastAsia" w:ascii="Times New Roman" w:hAnsi="Times New Roman" w:cs="Times New Roman"/>
                      <w:color w:val="auto"/>
                      <w:szCs w:val="21"/>
                      <w:u w:val="none"/>
                    </w:rPr>
                    <w:t>111.854167</w:t>
                  </w:r>
                </w:p>
              </w:tc>
              <w:tc>
                <w:tcPr>
                  <w:tcW w:w="1200" w:type="dxa"/>
                  <w:tcBorders>
                    <w:tl2br w:val="nil"/>
                    <w:tr2bl w:val="nil"/>
                  </w:tcBorders>
                  <w:noWrap/>
                  <w:vAlign w:val="center"/>
                </w:tcPr>
                <w:p>
                  <w:pPr>
                    <w:jc w:val="center"/>
                    <w:rPr>
                      <w:rFonts w:ascii="Times New Roman" w:hAnsi="Times New Roman" w:eastAsia="宋体" w:cs="Times New Roman"/>
                      <w:color w:val="auto"/>
                      <w:szCs w:val="21"/>
                      <w:u w:val="none"/>
                    </w:rPr>
                  </w:pPr>
                  <w:r>
                    <w:rPr>
                      <w:rFonts w:hint="eastAsia" w:ascii="Times New Roman" w:hAnsi="Times New Roman" w:cs="Times New Roman"/>
                      <w:color w:val="auto"/>
                      <w:szCs w:val="21"/>
                      <w:u w:val="none"/>
                    </w:rPr>
                    <w:t>29.565283</w:t>
                  </w:r>
                </w:p>
              </w:tc>
              <w:tc>
                <w:tcPr>
                  <w:tcW w:w="1213"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居民</w:t>
                  </w:r>
                </w:p>
              </w:tc>
              <w:tc>
                <w:tcPr>
                  <w:tcW w:w="834"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1500</w:t>
                  </w:r>
                </w:p>
              </w:tc>
              <w:tc>
                <w:tcPr>
                  <w:tcW w:w="653" w:type="dxa"/>
                  <w:vMerge w:val="restart"/>
                  <w:tcBorders>
                    <w:tl2br w:val="nil"/>
                    <w:tr2bl w:val="nil"/>
                  </w:tcBorders>
                  <w:noWrap/>
                  <w:vAlign w:val="center"/>
                </w:tcPr>
                <w:p>
                  <w:pPr>
                    <w:jc w:val="center"/>
                    <w:rPr>
                      <w:rFonts w:hint="default" w:ascii="Times New Roman" w:hAnsi="Times New Roman" w:cs="Times New Roman" w:eastAsiaTheme="minorEastAsia"/>
                      <w:color w:val="auto"/>
                      <w:szCs w:val="21"/>
                      <w:u w:val="none"/>
                      <w:lang w:val="en-US" w:eastAsia="zh-CN"/>
                    </w:rPr>
                  </w:pPr>
                  <w:r>
                    <w:rPr>
                      <w:rFonts w:hint="eastAsia" w:ascii="Times New Roman" w:hAnsi="Times New Roman" w:cs="Times New Roman"/>
                      <w:color w:val="auto"/>
                      <w:szCs w:val="21"/>
                      <w:u w:val="none"/>
                      <w:lang w:val="en-US" w:eastAsia="zh-CN"/>
                    </w:rPr>
                    <w:t>二类区</w:t>
                  </w:r>
                </w:p>
              </w:tc>
              <w:tc>
                <w:tcPr>
                  <w:tcW w:w="890" w:type="dxa"/>
                  <w:tcBorders>
                    <w:tl2br w:val="nil"/>
                    <w:tr2bl w:val="nil"/>
                  </w:tcBorders>
                  <w:noWrap/>
                  <w:vAlign w:val="center"/>
                </w:tcPr>
                <w:p>
                  <w:pPr>
                    <w:jc w:val="center"/>
                    <w:rPr>
                      <w:rFonts w:ascii="Times New Roman" w:hAnsi="Times New Roman" w:eastAsia="宋体" w:cs="Times New Roman"/>
                      <w:color w:val="auto"/>
                      <w:szCs w:val="21"/>
                      <w:u w:val="none"/>
                    </w:rPr>
                  </w:pPr>
                  <w:r>
                    <w:rPr>
                      <w:rFonts w:hint="eastAsia" w:ascii="Times New Roman" w:hAnsi="Times New Roman" w:cs="Times New Roman"/>
                      <w:color w:val="auto"/>
                      <w:szCs w:val="21"/>
                      <w:u w:val="none"/>
                    </w:rPr>
                    <w:t>东</w:t>
                  </w:r>
                </w:p>
              </w:tc>
              <w:tc>
                <w:tcPr>
                  <w:tcW w:w="1031"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120-600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154"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嘉山实验学校</w:t>
                  </w:r>
                </w:p>
              </w:tc>
              <w:tc>
                <w:tcPr>
                  <w:tcW w:w="1245" w:type="dxa"/>
                  <w:tcBorders>
                    <w:tl2br w:val="nil"/>
                    <w:tr2bl w:val="nil"/>
                  </w:tcBorders>
                  <w:noWrap/>
                  <w:vAlign w:val="center"/>
                </w:tcPr>
                <w:p>
                  <w:pPr>
                    <w:jc w:val="center"/>
                    <w:rPr>
                      <w:rFonts w:ascii="Times New Roman" w:hAnsi="Times New Roman" w:eastAsia="宋体" w:cs="Times New Roman"/>
                      <w:color w:val="auto"/>
                      <w:szCs w:val="21"/>
                      <w:u w:val="none"/>
                    </w:rPr>
                  </w:pPr>
                  <w:r>
                    <w:rPr>
                      <w:rFonts w:hint="eastAsia" w:ascii="Times New Roman" w:hAnsi="Times New Roman" w:cs="Times New Roman"/>
                      <w:color w:val="auto"/>
                      <w:szCs w:val="21"/>
                      <w:u w:val="none"/>
                    </w:rPr>
                    <w:t>111.849403</w:t>
                  </w:r>
                </w:p>
              </w:tc>
              <w:tc>
                <w:tcPr>
                  <w:tcW w:w="1200" w:type="dxa"/>
                  <w:tcBorders>
                    <w:tl2br w:val="nil"/>
                    <w:tr2bl w:val="nil"/>
                  </w:tcBorders>
                  <w:noWrap/>
                  <w:vAlign w:val="center"/>
                </w:tcPr>
                <w:p>
                  <w:pPr>
                    <w:jc w:val="center"/>
                    <w:rPr>
                      <w:rFonts w:ascii="Times New Roman" w:hAnsi="Times New Roman" w:eastAsia="宋体" w:cs="Times New Roman"/>
                      <w:color w:val="auto"/>
                      <w:szCs w:val="21"/>
                      <w:u w:val="none"/>
                    </w:rPr>
                  </w:pPr>
                  <w:r>
                    <w:rPr>
                      <w:rFonts w:hint="eastAsia" w:ascii="Times New Roman" w:hAnsi="Times New Roman" w:cs="Times New Roman"/>
                      <w:color w:val="auto"/>
                      <w:szCs w:val="21"/>
                      <w:u w:val="none"/>
                    </w:rPr>
                    <w:t>29.573830</w:t>
                  </w:r>
                </w:p>
              </w:tc>
              <w:tc>
                <w:tcPr>
                  <w:tcW w:w="1213"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学生及老师</w:t>
                  </w:r>
                </w:p>
              </w:tc>
              <w:tc>
                <w:tcPr>
                  <w:tcW w:w="834"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800</w:t>
                  </w:r>
                </w:p>
              </w:tc>
              <w:tc>
                <w:tcPr>
                  <w:tcW w:w="653" w:type="dxa"/>
                  <w:vMerge w:val="continue"/>
                  <w:tcBorders>
                    <w:tl2br w:val="nil"/>
                    <w:tr2bl w:val="nil"/>
                  </w:tcBorders>
                  <w:noWrap/>
                  <w:vAlign w:val="center"/>
                </w:tcPr>
                <w:p>
                  <w:pPr>
                    <w:jc w:val="center"/>
                    <w:rPr>
                      <w:rFonts w:ascii="Times New Roman" w:hAnsi="Times New Roman" w:cs="Times New Roman"/>
                      <w:color w:val="auto"/>
                      <w:szCs w:val="21"/>
                      <w:u w:val="none"/>
                    </w:rPr>
                  </w:pPr>
                </w:p>
              </w:tc>
              <w:tc>
                <w:tcPr>
                  <w:tcW w:w="890" w:type="dxa"/>
                  <w:tcBorders>
                    <w:tl2br w:val="nil"/>
                    <w:tr2bl w:val="nil"/>
                  </w:tcBorders>
                  <w:noWrap/>
                  <w:vAlign w:val="center"/>
                </w:tcPr>
                <w:p>
                  <w:pPr>
                    <w:jc w:val="center"/>
                    <w:rPr>
                      <w:rFonts w:hint="eastAsia" w:ascii="Times New Roman" w:hAnsi="Times New Roman" w:cs="Times New Roman" w:eastAsiaTheme="minorEastAsia"/>
                      <w:color w:val="auto"/>
                      <w:szCs w:val="21"/>
                      <w:u w:val="none"/>
                      <w:lang w:eastAsia="zh-CN"/>
                    </w:rPr>
                  </w:pPr>
                  <w:r>
                    <w:rPr>
                      <w:rFonts w:hint="eastAsia" w:ascii="Times New Roman" w:hAnsi="Times New Roman" w:cs="Times New Roman"/>
                      <w:color w:val="auto"/>
                      <w:szCs w:val="21"/>
                      <w:u w:val="none"/>
                    </w:rPr>
                    <w:t>东北</w:t>
                  </w:r>
                </w:p>
              </w:tc>
              <w:tc>
                <w:tcPr>
                  <w:tcW w:w="1031" w:type="dxa"/>
                  <w:tcBorders>
                    <w:tl2br w:val="nil"/>
                    <w:tr2bl w:val="nil"/>
                  </w:tcBorders>
                  <w:noWrap/>
                  <w:vAlign w:val="center"/>
                </w:tcPr>
                <w:p>
                  <w:pPr>
                    <w:jc w:val="center"/>
                    <w:rPr>
                      <w:rFonts w:ascii="Times New Roman" w:hAnsi="Times New Roman" w:cs="Times New Roman"/>
                      <w:color w:val="auto"/>
                      <w:szCs w:val="21"/>
                      <w:u w:val="none"/>
                    </w:rPr>
                  </w:pPr>
                  <w:r>
                    <w:rPr>
                      <w:rFonts w:hint="eastAsia" w:ascii="Times New Roman" w:hAnsi="Times New Roman" w:cs="Times New Roman"/>
                      <w:color w:val="auto"/>
                      <w:szCs w:val="21"/>
                      <w:u w:val="none"/>
                    </w:rPr>
                    <w:t>1700</w:t>
                  </w:r>
                </w:p>
              </w:tc>
            </w:tr>
          </w:tbl>
          <w:p>
            <w:pPr>
              <w:spacing w:line="360" w:lineRule="auto"/>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37" w:hRule="atLeast"/>
        </w:trPr>
        <w:tc>
          <w:tcPr>
            <w:tcW w:w="57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kern w:val="0"/>
                <w:szCs w:val="21"/>
              </w:rPr>
            </w:pPr>
            <w:r>
              <w:rPr>
                <w:rFonts w:ascii="宋体" w:hAnsi="宋体" w:eastAsia="宋体"/>
                <w:color w:val="auto"/>
                <w:kern w:val="0"/>
                <w:szCs w:val="21"/>
              </w:rPr>
              <w:t>污染</w:t>
            </w:r>
          </w:p>
          <w:p>
            <w:pPr>
              <w:spacing w:line="360" w:lineRule="auto"/>
              <w:jc w:val="center"/>
              <w:rPr>
                <w:rFonts w:ascii="宋体" w:hAnsi="宋体" w:eastAsia="宋体"/>
                <w:color w:val="auto"/>
                <w:kern w:val="0"/>
                <w:szCs w:val="21"/>
              </w:rPr>
            </w:pPr>
            <w:r>
              <w:rPr>
                <w:rFonts w:ascii="宋体" w:hAnsi="宋体" w:eastAsia="宋体"/>
                <w:color w:val="auto"/>
                <w:kern w:val="0"/>
                <w:szCs w:val="21"/>
              </w:rPr>
              <w:t>物排</w:t>
            </w:r>
          </w:p>
          <w:p>
            <w:pPr>
              <w:spacing w:line="360" w:lineRule="auto"/>
              <w:jc w:val="center"/>
              <w:rPr>
                <w:rFonts w:ascii="宋体" w:hAnsi="宋体" w:eastAsia="宋体"/>
                <w:color w:val="auto"/>
                <w:kern w:val="0"/>
                <w:szCs w:val="21"/>
              </w:rPr>
            </w:pPr>
            <w:r>
              <w:rPr>
                <w:rFonts w:ascii="宋体" w:hAnsi="宋体" w:eastAsia="宋体"/>
                <w:color w:val="auto"/>
                <w:kern w:val="0"/>
                <w:szCs w:val="21"/>
              </w:rPr>
              <w:t>放控</w:t>
            </w:r>
          </w:p>
          <w:p>
            <w:pPr>
              <w:spacing w:line="360" w:lineRule="auto"/>
              <w:jc w:val="center"/>
              <w:rPr>
                <w:rFonts w:ascii="宋体" w:hAnsi="宋体" w:eastAsia="宋体"/>
                <w:color w:val="auto"/>
                <w:kern w:val="0"/>
                <w:szCs w:val="21"/>
              </w:rPr>
            </w:pPr>
            <w:r>
              <w:rPr>
                <w:rFonts w:ascii="宋体" w:hAnsi="宋体" w:eastAsia="宋体"/>
                <w:color w:val="auto"/>
                <w:kern w:val="0"/>
                <w:szCs w:val="21"/>
              </w:rPr>
              <w:t>制标</w:t>
            </w:r>
          </w:p>
          <w:p>
            <w:pPr>
              <w:spacing w:line="360" w:lineRule="auto"/>
              <w:jc w:val="center"/>
              <w:rPr>
                <w:rFonts w:ascii="宋体" w:hAnsi="宋体" w:eastAsia="宋体"/>
                <w:color w:val="auto"/>
                <w:kern w:val="0"/>
                <w:szCs w:val="21"/>
              </w:rPr>
            </w:pPr>
            <w:r>
              <w:rPr>
                <w:rFonts w:ascii="宋体" w:hAnsi="宋体" w:eastAsia="宋体"/>
                <w:color w:val="auto"/>
                <w:kern w:val="0"/>
                <w:szCs w:val="21"/>
              </w:rPr>
              <w:t>准</w:t>
            </w:r>
          </w:p>
        </w:tc>
        <w:tc>
          <w:tcPr>
            <w:tcW w:w="840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Fonts w:ascii="宋体" w:hAnsi="宋体" w:eastAsia="宋体"/>
                <w:b/>
                <w:bCs/>
                <w:color w:val="auto"/>
                <w:szCs w:val="21"/>
              </w:rPr>
            </w:pPr>
            <w:r>
              <w:rPr>
                <w:rFonts w:ascii="Times New Roman" w:hAnsi="Times New Roman" w:eastAsia="Times New Roman"/>
                <w:b/>
                <w:bCs/>
                <w:color w:val="auto"/>
                <w:szCs w:val="21"/>
              </w:rPr>
              <w:t>1、</w:t>
            </w:r>
            <w:r>
              <w:rPr>
                <w:rFonts w:ascii="宋体" w:hAnsi="宋体" w:eastAsia="宋体"/>
                <w:b/>
                <w:bCs/>
                <w:color w:val="auto"/>
                <w:szCs w:val="21"/>
              </w:rPr>
              <w:t>大气污染物</w:t>
            </w:r>
          </w:p>
          <w:p>
            <w:pPr>
              <w:snapToGrid w:val="0"/>
              <w:spacing w:line="360" w:lineRule="auto"/>
              <w:ind w:firstLine="468" w:firstLineChars="200"/>
              <w:rPr>
                <w:rFonts w:hint="eastAsia" w:hAnsi="宋体"/>
                <w:b/>
                <w:color w:val="auto"/>
                <w:sz w:val="24"/>
                <w:szCs w:val="24"/>
              </w:rPr>
            </w:pPr>
            <w:r>
              <w:rPr>
                <w:rFonts w:hint="eastAsia" w:ascii="宋体" w:hAnsi="宋体" w:eastAsia="宋体"/>
                <w:color w:val="auto"/>
                <w:spacing w:val="-3"/>
                <w:sz w:val="24"/>
                <w:szCs w:val="24"/>
                <w:u w:val="single"/>
              </w:rPr>
              <w:t>颗粒物</w:t>
            </w:r>
            <w:r>
              <w:rPr>
                <w:rFonts w:hint="eastAsia" w:ascii="宋体" w:hAnsi="宋体" w:eastAsia="宋体"/>
                <w:color w:val="auto"/>
                <w:spacing w:val="-3"/>
                <w:sz w:val="24"/>
                <w:szCs w:val="24"/>
                <w:u w:val="single"/>
                <w:lang w:val="en-US" w:eastAsia="zh-CN"/>
              </w:rPr>
              <w:t>有组织</w:t>
            </w:r>
            <w:r>
              <w:rPr>
                <w:rFonts w:hint="eastAsia" w:ascii="宋体" w:hAnsi="宋体" w:eastAsia="宋体"/>
                <w:color w:val="auto"/>
                <w:spacing w:val="-3"/>
                <w:sz w:val="24"/>
                <w:szCs w:val="24"/>
                <w:u w:val="single"/>
              </w:rPr>
              <w:t>排放浓度参照执行《合成树脂工业污染物排放标准》（GB31572-2015）表5</w:t>
            </w:r>
            <w:r>
              <w:rPr>
                <w:rFonts w:hint="eastAsia" w:ascii="宋体" w:hAnsi="宋体" w:eastAsia="宋体"/>
                <w:color w:val="auto"/>
                <w:spacing w:val="-3"/>
                <w:sz w:val="24"/>
                <w:szCs w:val="24"/>
                <w:u w:val="single"/>
                <w:lang w:val="en-US" w:eastAsia="zh-CN"/>
              </w:rPr>
              <w:t>大气污染物特别排放限值</w:t>
            </w:r>
            <w:r>
              <w:rPr>
                <w:rFonts w:hint="eastAsia" w:ascii="宋体" w:hAnsi="宋体" w:eastAsia="宋体"/>
                <w:color w:val="auto"/>
                <w:spacing w:val="-3"/>
                <w:sz w:val="24"/>
                <w:szCs w:val="24"/>
                <w:u w:val="single"/>
                <w:lang w:eastAsia="zh-CN"/>
              </w:rPr>
              <w:t>；</w:t>
            </w:r>
            <w:r>
              <w:rPr>
                <w:rFonts w:hint="eastAsia" w:ascii="宋体" w:hAnsi="宋体" w:eastAsia="宋体"/>
                <w:color w:val="auto"/>
                <w:spacing w:val="-3"/>
                <w:sz w:val="24"/>
                <w:szCs w:val="24"/>
                <w:u w:val="single"/>
              </w:rPr>
              <w:t>非甲烷总烃</w:t>
            </w:r>
            <w:r>
              <w:rPr>
                <w:rFonts w:hint="eastAsia" w:ascii="宋体" w:hAnsi="宋体" w:eastAsia="宋体"/>
                <w:color w:val="auto"/>
                <w:spacing w:val="-3"/>
                <w:sz w:val="24"/>
                <w:szCs w:val="24"/>
                <w:u w:val="single"/>
                <w:lang w:val="en-US" w:eastAsia="zh-CN"/>
              </w:rPr>
              <w:t>有组织</w:t>
            </w:r>
            <w:r>
              <w:rPr>
                <w:rFonts w:hint="eastAsia" w:ascii="宋体" w:hAnsi="宋体" w:eastAsia="宋体"/>
                <w:color w:val="auto"/>
                <w:spacing w:val="-3"/>
                <w:sz w:val="24"/>
                <w:szCs w:val="24"/>
                <w:u w:val="single"/>
              </w:rPr>
              <w:t>排放浓度参照执行《合成树脂工业污染物排放标准》（GB31572-2015）表</w:t>
            </w:r>
            <w:r>
              <w:rPr>
                <w:rFonts w:hint="eastAsia" w:ascii="宋体" w:hAnsi="宋体" w:eastAsia="宋体"/>
                <w:color w:val="auto"/>
                <w:spacing w:val="-3"/>
                <w:sz w:val="24"/>
                <w:szCs w:val="24"/>
                <w:u w:val="single"/>
                <w:lang w:val="en-US" w:eastAsia="zh-CN"/>
              </w:rPr>
              <w:t>4大气污染物排放限值，无组织排放浓度</w:t>
            </w:r>
            <w:r>
              <w:rPr>
                <w:rFonts w:hint="eastAsia" w:ascii="宋体" w:hAnsi="宋体" w:eastAsia="宋体"/>
                <w:color w:val="auto"/>
                <w:spacing w:val="-3"/>
                <w:sz w:val="24"/>
                <w:szCs w:val="24"/>
                <w:u w:val="single"/>
              </w:rPr>
              <w:t>参照执行《合成树脂工业污染物排放标准》（GB31572-2015）表</w:t>
            </w:r>
            <w:r>
              <w:rPr>
                <w:rFonts w:hint="eastAsia" w:ascii="宋体" w:hAnsi="宋体" w:eastAsia="宋体"/>
                <w:color w:val="auto"/>
                <w:spacing w:val="-3"/>
                <w:sz w:val="24"/>
                <w:szCs w:val="24"/>
                <w:u w:val="single"/>
                <w:lang w:val="en-US" w:eastAsia="zh-CN"/>
              </w:rPr>
              <w:t>9企业边界大气污染物浓度限值</w:t>
            </w:r>
            <w:r>
              <w:rPr>
                <w:rFonts w:hint="eastAsia" w:ascii="宋体" w:hAnsi="宋体" w:eastAsia="宋体"/>
                <w:color w:val="auto"/>
                <w:spacing w:val="-3"/>
                <w:sz w:val="24"/>
                <w:szCs w:val="24"/>
                <w:u w:val="single"/>
              </w:rPr>
              <w:t>。厂区内非甲烷总烃无组织排放监控点浓度应符合《挥发性有机物无组织排放控制标准》（GB37822-2019）表A.1</w:t>
            </w:r>
            <w:r>
              <w:rPr>
                <w:rFonts w:hint="eastAsia" w:ascii="宋体" w:hAnsi="宋体" w:eastAsia="宋体"/>
                <w:color w:val="auto"/>
                <w:spacing w:val="-3"/>
                <w:sz w:val="24"/>
                <w:szCs w:val="24"/>
                <w:u w:val="single"/>
                <w:lang w:val="en-US" w:eastAsia="zh-CN"/>
              </w:rPr>
              <w:t>排放限值</w:t>
            </w:r>
            <w:r>
              <w:rPr>
                <w:rFonts w:hint="eastAsia" w:ascii="宋体" w:hAnsi="宋体" w:eastAsia="宋体"/>
                <w:color w:val="auto"/>
                <w:spacing w:val="-3"/>
                <w:sz w:val="24"/>
                <w:szCs w:val="24"/>
                <w:u w:val="single"/>
              </w:rPr>
              <w:t>相应要求。标准摘录见表3-</w:t>
            </w:r>
            <w:r>
              <w:rPr>
                <w:rFonts w:hint="eastAsia" w:ascii="宋体" w:hAnsi="宋体" w:eastAsia="宋体"/>
                <w:color w:val="auto"/>
                <w:spacing w:val="-3"/>
                <w:sz w:val="24"/>
                <w:szCs w:val="24"/>
                <w:u w:val="single"/>
                <w:lang w:val="en-US" w:eastAsia="zh-CN"/>
              </w:rPr>
              <w:t>6</w:t>
            </w:r>
            <w:r>
              <w:rPr>
                <w:rFonts w:hint="eastAsia" w:ascii="宋体" w:hAnsi="宋体" w:eastAsia="宋体"/>
                <w:color w:val="auto"/>
                <w:spacing w:val="-3"/>
                <w:sz w:val="24"/>
                <w:szCs w:val="24"/>
                <w:u w:val="single"/>
              </w:rPr>
              <w:t>，3-</w:t>
            </w:r>
            <w:r>
              <w:rPr>
                <w:rFonts w:hint="eastAsia" w:ascii="宋体" w:hAnsi="宋体" w:eastAsia="宋体"/>
                <w:color w:val="auto"/>
                <w:spacing w:val="-3"/>
                <w:sz w:val="24"/>
                <w:szCs w:val="24"/>
                <w:u w:val="single"/>
                <w:lang w:val="en-US" w:eastAsia="zh-CN"/>
              </w:rPr>
              <w:t>7</w:t>
            </w:r>
            <w:r>
              <w:rPr>
                <w:rFonts w:ascii="宋体" w:hAnsi="宋体" w:eastAsia="宋体"/>
                <w:color w:val="auto"/>
                <w:spacing w:val="-3"/>
                <w:szCs w:val="21"/>
              </w:rPr>
              <w:t>。</w:t>
            </w:r>
          </w:p>
          <w:p>
            <w:pPr>
              <w:pStyle w:val="7"/>
              <w:spacing w:line="360" w:lineRule="auto"/>
              <w:ind w:firstLine="422"/>
              <w:rPr>
                <w:rFonts w:hint="eastAsia" w:eastAsia="宋体" w:cs="Times New Roman"/>
                <w:b/>
                <w:bCs/>
                <w:color w:val="auto"/>
                <w:sz w:val="21"/>
                <w:szCs w:val="21"/>
                <w:lang w:val="zh-CN"/>
              </w:rPr>
            </w:pPr>
            <w:r>
              <w:rPr>
                <w:rFonts w:hint="eastAsia" w:eastAsia="宋体" w:cs="Times New Roman"/>
                <w:b/>
                <w:bCs/>
                <w:color w:val="auto"/>
                <w:sz w:val="21"/>
                <w:szCs w:val="21"/>
                <w:lang w:val="zh-CN"/>
              </w:rPr>
              <w:t>表3-</w:t>
            </w:r>
            <w:r>
              <w:rPr>
                <w:rFonts w:hint="eastAsia" w:eastAsia="宋体" w:cs="Times New Roman"/>
                <w:b/>
                <w:bCs/>
                <w:color w:val="auto"/>
                <w:sz w:val="21"/>
                <w:szCs w:val="21"/>
                <w:lang w:val="en-US" w:eastAsia="zh-CN"/>
              </w:rPr>
              <w:t>6</w:t>
            </w:r>
            <w:r>
              <w:rPr>
                <w:rFonts w:hint="eastAsia" w:eastAsia="宋体" w:cs="Times New Roman"/>
                <w:b/>
                <w:bCs/>
                <w:color w:val="auto"/>
                <w:sz w:val="21"/>
                <w:szCs w:val="21"/>
                <w:lang w:val="zh-CN"/>
              </w:rPr>
              <w:t>废气排放限值</w:t>
            </w:r>
          </w:p>
          <w:tbl>
            <w:tblPr>
              <w:tblStyle w:val="1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241"/>
              <w:gridCol w:w="1369"/>
              <w:gridCol w:w="1370"/>
              <w:gridCol w:w="1370"/>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9" w:type="dxa"/>
                  <w:vMerge w:val="restart"/>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污染物</w:t>
                  </w:r>
                </w:p>
              </w:tc>
              <w:tc>
                <w:tcPr>
                  <w:tcW w:w="3980" w:type="dxa"/>
                  <w:gridSpan w:val="3"/>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有组织排放浓度限值</w:t>
                  </w:r>
                </w:p>
              </w:tc>
              <w:tc>
                <w:tcPr>
                  <w:tcW w:w="2741" w:type="dxa"/>
                  <w:gridSpan w:val="2"/>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无组织排放浓度限值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9" w:type="dxa"/>
                  <w:vMerge w:val="continue"/>
                  <w:tcBorders>
                    <w:tl2br w:val="nil"/>
                    <w:tr2bl w:val="nil"/>
                  </w:tcBorders>
                  <w:noWrap/>
                  <w:vAlign w:val="center"/>
                </w:tcPr>
                <w:p>
                  <w:pPr>
                    <w:adjustRightInd w:val="0"/>
                    <w:snapToGrid w:val="0"/>
                    <w:jc w:val="center"/>
                    <w:rPr>
                      <w:rFonts w:eastAsia="宋体"/>
                      <w:bCs/>
                      <w:color w:val="auto"/>
                      <w:szCs w:val="21"/>
                    </w:rPr>
                  </w:pPr>
                </w:p>
              </w:tc>
              <w:tc>
                <w:tcPr>
                  <w:tcW w:w="1241" w:type="dxa"/>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监控点</w:t>
                  </w:r>
                </w:p>
              </w:tc>
              <w:tc>
                <w:tcPr>
                  <w:tcW w:w="1369" w:type="dxa"/>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浓度</w:t>
                  </w:r>
                  <w:r>
                    <w:rPr>
                      <w:rFonts w:eastAsia="宋体"/>
                      <w:bCs/>
                      <w:color w:val="auto"/>
                      <w:szCs w:val="21"/>
                    </w:rPr>
                    <w:t>mg/m</w:t>
                  </w:r>
                  <w:r>
                    <w:rPr>
                      <w:rFonts w:eastAsia="宋体"/>
                      <w:bCs/>
                      <w:color w:val="auto"/>
                      <w:szCs w:val="21"/>
                      <w:vertAlign w:val="superscript"/>
                    </w:rPr>
                    <w:t>3</w:t>
                  </w:r>
                </w:p>
              </w:tc>
              <w:tc>
                <w:tcPr>
                  <w:tcW w:w="1370" w:type="dxa"/>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速率</w:t>
                  </w:r>
                  <w:r>
                    <w:rPr>
                      <w:rFonts w:eastAsia="宋体"/>
                      <w:bCs/>
                      <w:color w:val="auto"/>
                      <w:szCs w:val="21"/>
                    </w:rPr>
                    <w:t>kg/h</w:t>
                  </w:r>
                </w:p>
              </w:tc>
              <w:tc>
                <w:tcPr>
                  <w:tcW w:w="1370" w:type="dxa"/>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监控点</w:t>
                  </w:r>
                </w:p>
              </w:tc>
              <w:tc>
                <w:tcPr>
                  <w:tcW w:w="1371" w:type="dxa"/>
                  <w:tcBorders>
                    <w:tl2br w:val="nil"/>
                    <w:tr2bl w:val="nil"/>
                  </w:tcBorders>
                  <w:noWrap/>
                  <w:vAlign w:val="center"/>
                </w:tcPr>
                <w:p>
                  <w:pPr>
                    <w:adjustRightInd w:val="0"/>
                    <w:snapToGrid w:val="0"/>
                    <w:jc w:val="center"/>
                    <w:rPr>
                      <w:rFonts w:eastAsia="宋体"/>
                      <w:bCs/>
                      <w:color w:val="auto"/>
                      <w:szCs w:val="21"/>
                    </w:rPr>
                  </w:pPr>
                  <w:r>
                    <w:rPr>
                      <w:rFonts w:hAnsi="宋体" w:eastAsia="宋体"/>
                      <w:bCs/>
                      <w:color w:val="auto"/>
                      <w:szCs w:val="21"/>
                    </w:rPr>
                    <w:t>浓度</w:t>
                  </w:r>
                  <w:r>
                    <w:rPr>
                      <w:rFonts w:eastAsia="宋体"/>
                      <w:bCs/>
                      <w:color w:val="auto"/>
                      <w:szCs w:val="21"/>
                    </w:rPr>
                    <w:t>mg/m</w:t>
                  </w:r>
                  <w:r>
                    <w:rPr>
                      <w:rFonts w:eastAsia="宋体"/>
                      <w:bCs/>
                      <w:color w:val="auto"/>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jc w:val="center"/>
              </w:trPr>
              <w:tc>
                <w:tcPr>
                  <w:tcW w:w="1499" w:type="dxa"/>
                  <w:tcBorders>
                    <w:tl2br w:val="nil"/>
                    <w:tr2bl w:val="nil"/>
                  </w:tcBorders>
                  <w:noWrap/>
                  <w:vAlign w:val="center"/>
                </w:tcPr>
                <w:p>
                  <w:pPr>
                    <w:adjustRightInd w:val="0"/>
                    <w:snapToGrid w:val="0"/>
                    <w:jc w:val="center"/>
                    <w:rPr>
                      <w:rFonts w:hAnsi="宋体" w:eastAsia="宋体"/>
                      <w:bCs/>
                      <w:color w:val="auto"/>
                      <w:szCs w:val="21"/>
                    </w:rPr>
                  </w:pPr>
                  <w:r>
                    <w:rPr>
                      <w:rFonts w:hint="eastAsia" w:hAnsi="宋体" w:eastAsia="宋体"/>
                      <w:bCs/>
                      <w:color w:val="auto"/>
                      <w:szCs w:val="21"/>
                    </w:rPr>
                    <w:t>非甲烷总烃</w:t>
                  </w:r>
                </w:p>
              </w:tc>
              <w:tc>
                <w:tcPr>
                  <w:tcW w:w="1241" w:type="dxa"/>
                  <w:vMerge w:val="restart"/>
                  <w:tcBorders>
                    <w:tl2br w:val="nil"/>
                    <w:tr2bl w:val="nil"/>
                  </w:tcBorders>
                  <w:noWrap/>
                  <w:vAlign w:val="center"/>
                </w:tcPr>
                <w:p>
                  <w:pPr>
                    <w:adjustRightInd w:val="0"/>
                    <w:snapToGrid w:val="0"/>
                    <w:jc w:val="center"/>
                    <w:rPr>
                      <w:rFonts w:hAnsi="宋体" w:eastAsia="宋体"/>
                      <w:bCs/>
                      <w:color w:val="auto"/>
                      <w:szCs w:val="21"/>
                      <w:u w:val="single"/>
                    </w:rPr>
                  </w:pPr>
                  <w:r>
                    <w:rPr>
                      <w:rFonts w:hAnsi="宋体" w:eastAsia="宋体"/>
                      <w:bCs/>
                      <w:color w:val="auto"/>
                      <w:szCs w:val="21"/>
                      <w:u w:val="single"/>
                    </w:rPr>
                    <w:t>排气筒</w:t>
                  </w:r>
                </w:p>
                <w:p>
                  <w:pPr>
                    <w:adjustRightInd w:val="0"/>
                    <w:snapToGrid w:val="0"/>
                    <w:jc w:val="center"/>
                    <w:rPr>
                      <w:rFonts w:hAnsi="宋体" w:eastAsia="宋体"/>
                      <w:bCs/>
                      <w:color w:val="auto"/>
                      <w:szCs w:val="21"/>
                    </w:rPr>
                  </w:pPr>
                  <w:r>
                    <w:rPr>
                      <w:rFonts w:hint="eastAsia" w:hAnsi="宋体" w:eastAsia="宋体"/>
                      <w:bCs/>
                      <w:color w:val="auto"/>
                      <w:szCs w:val="21"/>
                      <w:u w:val="single"/>
                    </w:rPr>
                    <w:t>（15米高）</w:t>
                  </w:r>
                </w:p>
              </w:tc>
              <w:tc>
                <w:tcPr>
                  <w:tcW w:w="1369" w:type="dxa"/>
                  <w:tcBorders>
                    <w:tl2br w:val="nil"/>
                    <w:tr2bl w:val="nil"/>
                  </w:tcBorders>
                  <w:noWrap/>
                  <w:vAlign w:val="center"/>
                </w:tcPr>
                <w:p>
                  <w:pPr>
                    <w:adjustRightInd w:val="0"/>
                    <w:snapToGrid w:val="0"/>
                    <w:jc w:val="center"/>
                    <w:rPr>
                      <w:rFonts w:hint="default" w:eastAsia="宋体"/>
                      <w:bCs/>
                      <w:color w:val="auto"/>
                      <w:szCs w:val="21"/>
                      <w:u w:val="single"/>
                      <w:lang w:val="en-US" w:eastAsia="zh-CN"/>
                    </w:rPr>
                  </w:pPr>
                  <w:r>
                    <w:rPr>
                      <w:rFonts w:hint="eastAsia" w:eastAsia="宋体"/>
                      <w:bCs/>
                      <w:color w:val="auto"/>
                      <w:szCs w:val="21"/>
                      <w:u w:val="single"/>
                      <w:lang w:val="en-US" w:eastAsia="zh-CN"/>
                    </w:rPr>
                    <w:t>100</w:t>
                  </w:r>
                </w:p>
              </w:tc>
              <w:tc>
                <w:tcPr>
                  <w:tcW w:w="1370" w:type="dxa"/>
                  <w:tcBorders>
                    <w:tl2br w:val="nil"/>
                    <w:tr2bl w:val="nil"/>
                  </w:tcBorders>
                  <w:noWrap/>
                  <w:vAlign w:val="center"/>
                </w:tcPr>
                <w:p>
                  <w:pPr>
                    <w:adjustRightInd w:val="0"/>
                    <w:snapToGrid w:val="0"/>
                    <w:jc w:val="center"/>
                    <w:rPr>
                      <w:rFonts w:hint="default" w:eastAsia="宋体"/>
                      <w:bCs/>
                      <w:color w:val="FF0000"/>
                      <w:szCs w:val="21"/>
                      <w:lang w:val="en-US" w:eastAsia="zh-CN"/>
                    </w:rPr>
                  </w:pPr>
                  <w:r>
                    <w:rPr>
                      <w:rFonts w:hint="eastAsia" w:eastAsia="宋体"/>
                      <w:bCs/>
                      <w:color w:val="FF0000"/>
                      <w:szCs w:val="21"/>
                      <w:lang w:val="en-US" w:eastAsia="zh-CN"/>
                    </w:rPr>
                    <w:t>/</w:t>
                  </w:r>
                </w:p>
              </w:tc>
              <w:tc>
                <w:tcPr>
                  <w:tcW w:w="1370" w:type="dxa"/>
                  <w:vMerge w:val="restart"/>
                  <w:tcBorders>
                    <w:tl2br w:val="nil"/>
                    <w:tr2bl w:val="nil"/>
                  </w:tcBorders>
                  <w:noWrap/>
                  <w:vAlign w:val="center"/>
                </w:tcPr>
                <w:p>
                  <w:pPr>
                    <w:adjustRightInd w:val="0"/>
                    <w:snapToGrid w:val="0"/>
                    <w:jc w:val="center"/>
                    <w:rPr>
                      <w:rFonts w:hAnsi="宋体" w:eastAsia="宋体"/>
                      <w:bCs/>
                      <w:color w:val="auto"/>
                      <w:szCs w:val="21"/>
                    </w:rPr>
                  </w:pPr>
                  <w:r>
                    <w:rPr>
                      <w:rFonts w:hint="eastAsia" w:hAnsi="宋体" w:eastAsia="宋体"/>
                      <w:bCs/>
                      <w:color w:val="auto"/>
                      <w:szCs w:val="21"/>
                      <w:lang w:val="en-US" w:eastAsia="zh-CN"/>
                    </w:rPr>
                    <w:t>厂</w:t>
                  </w:r>
                  <w:r>
                    <w:rPr>
                      <w:rFonts w:hAnsi="宋体" w:eastAsia="宋体"/>
                      <w:bCs/>
                      <w:color w:val="auto"/>
                      <w:szCs w:val="21"/>
                    </w:rPr>
                    <w:t>界外浓度最高点</w:t>
                  </w:r>
                </w:p>
              </w:tc>
              <w:tc>
                <w:tcPr>
                  <w:tcW w:w="1371" w:type="dxa"/>
                  <w:tcBorders>
                    <w:tl2br w:val="nil"/>
                    <w:tr2bl w:val="nil"/>
                  </w:tcBorders>
                  <w:noWrap/>
                  <w:vAlign w:val="center"/>
                </w:tcPr>
                <w:p>
                  <w:pPr>
                    <w:adjustRightInd w:val="0"/>
                    <w:snapToGrid w:val="0"/>
                    <w:jc w:val="center"/>
                    <w:rPr>
                      <w:rFonts w:eastAsia="宋体"/>
                      <w:bCs/>
                      <w:color w:val="auto"/>
                      <w:szCs w:val="21"/>
                    </w:rPr>
                  </w:pPr>
                  <w:r>
                    <w:rPr>
                      <w:rFonts w:hint="eastAsia" w:eastAsia="宋体"/>
                      <w:bCs/>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99" w:type="dxa"/>
                  <w:tcBorders>
                    <w:tl2br w:val="nil"/>
                    <w:tr2bl w:val="nil"/>
                  </w:tcBorders>
                  <w:noWrap/>
                  <w:vAlign w:val="center"/>
                </w:tcPr>
                <w:p>
                  <w:pPr>
                    <w:adjustRightInd w:val="0"/>
                    <w:snapToGrid w:val="0"/>
                    <w:jc w:val="center"/>
                    <w:rPr>
                      <w:rFonts w:hAnsi="宋体" w:eastAsia="宋体"/>
                      <w:bCs/>
                      <w:color w:val="auto"/>
                      <w:szCs w:val="21"/>
                    </w:rPr>
                  </w:pPr>
                  <w:r>
                    <w:rPr>
                      <w:rFonts w:hint="eastAsia" w:hAnsi="宋体"/>
                      <w:color w:val="auto"/>
                      <w:szCs w:val="21"/>
                    </w:rPr>
                    <w:t>颗粒物</w:t>
                  </w:r>
                </w:p>
              </w:tc>
              <w:tc>
                <w:tcPr>
                  <w:tcW w:w="1241" w:type="dxa"/>
                  <w:vMerge w:val="continue"/>
                  <w:tcBorders>
                    <w:tl2br w:val="nil"/>
                    <w:tr2bl w:val="nil"/>
                  </w:tcBorders>
                  <w:noWrap/>
                  <w:vAlign w:val="center"/>
                </w:tcPr>
                <w:p>
                  <w:pPr>
                    <w:adjustRightInd w:val="0"/>
                    <w:snapToGrid w:val="0"/>
                    <w:jc w:val="center"/>
                    <w:rPr>
                      <w:rFonts w:hAnsi="宋体" w:eastAsia="宋体"/>
                      <w:bCs/>
                      <w:color w:val="auto"/>
                      <w:szCs w:val="21"/>
                    </w:rPr>
                  </w:pPr>
                </w:p>
              </w:tc>
              <w:tc>
                <w:tcPr>
                  <w:tcW w:w="1369" w:type="dxa"/>
                  <w:tcBorders>
                    <w:tl2br w:val="nil"/>
                    <w:tr2bl w:val="nil"/>
                  </w:tcBorders>
                  <w:noWrap/>
                  <w:vAlign w:val="center"/>
                </w:tcPr>
                <w:p>
                  <w:pPr>
                    <w:adjustRightInd w:val="0"/>
                    <w:snapToGrid w:val="0"/>
                    <w:jc w:val="center"/>
                    <w:rPr>
                      <w:rFonts w:hint="default" w:eastAsia="宋体"/>
                      <w:bCs/>
                      <w:color w:val="auto"/>
                      <w:szCs w:val="21"/>
                      <w:u w:val="single"/>
                      <w:lang w:val="en-US" w:eastAsia="zh-CN"/>
                    </w:rPr>
                  </w:pPr>
                  <w:r>
                    <w:rPr>
                      <w:rFonts w:hint="eastAsia" w:eastAsia="宋体"/>
                      <w:bCs/>
                      <w:color w:val="auto"/>
                      <w:szCs w:val="21"/>
                      <w:u w:val="single"/>
                      <w:lang w:val="en-US" w:eastAsia="zh-CN"/>
                    </w:rPr>
                    <w:t>20</w:t>
                  </w:r>
                </w:p>
              </w:tc>
              <w:tc>
                <w:tcPr>
                  <w:tcW w:w="1370" w:type="dxa"/>
                  <w:tcBorders>
                    <w:tl2br w:val="nil"/>
                    <w:tr2bl w:val="nil"/>
                  </w:tcBorders>
                  <w:noWrap/>
                  <w:vAlign w:val="center"/>
                </w:tcPr>
                <w:p>
                  <w:pPr>
                    <w:adjustRightInd w:val="0"/>
                    <w:snapToGrid w:val="0"/>
                    <w:jc w:val="center"/>
                    <w:rPr>
                      <w:rFonts w:eastAsia="宋体"/>
                      <w:bCs/>
                      <w:color w:val="auto"/>
                      <w:szCs w:val="21"/>
                    </w:rPr>
                  </w:pPr>
                  <w:r>
                    <w:rPr>
                      <w:rFonts w:hint="eastAsia" w:eastAsia="宋体"/>
                      <w:bCs/>
                      <w:color w:val="auto"/>
                      <w:szCs w:val="21"/>
                    </w:rPr>
                    <w:t>/</w:t>
                  </w:r>
                </w:p>
              </w:tc>
              <w:tc>
                <w:tcPr>
                  <w:tcW w:w="1370" w:type="dxa"/>
                  <w:vMerge w:val="continue"/>
                  <w:tcBorders>
                    <w:tl2br w:val="nil"/>
                    <w:tr2bl w:val="nil"/>
                  </w:tcBorders>
                  <w:noWrap/>
                  <w:vAlign w:val="center"/>
                </w:tcPr>
                <w:p>
                  <w:pPr>
                    <w:adjustRightInd w:val="0"/>
                    <w:snapToGrid w:val="0"/>
                    <w:jc w:val="center"/>
                    <w:rPr>
                      <w:rFonts w:hAnsi="宋体" w:eastAsia="宋体"/>
                      <w:bCs/>
                      <w:color w:val="auto"/>
                      <w:szCs w:val="21"/>
                    </w:rPr>
                  </w:pPr>
                </w:p>
              </w:tc>
              <w:tc>
                <w:tcPr>
                  <w:tcW w:w="1371" w:type="dxa"/>
                  <w:tcBorders>
                    <w:tl2br w:val="nil"/>
                    <w:tr2bl w:val="nil"/>
                  </w:tcBorders>
                  <w:noWrap/>
                  <w:vAlign w:val="center"/>
                </w:tcPr>
                <w:p>
                  <w:pPr>
                    <w:adjustRightInd w:val="0"/>
                    <w:snapToGrid w:val="0"/>
                    <w:jc w:val="center"/>
                    <w:rPr>
                      <w:rFonts w:eastAsia="宋体"/>
                      <w:bCs/>
                      <w:color w:val="auto"/>
                      <w:szCs w:val="21"/>
                    </w:rPr>
                  </w:pPr>
                  <w:r>
                    <w:rPr>
                      <w:rFonts w:hint="eastAsia" w:eastAsia="宋体"/>
                      <w:bCs/>
                      <w:color w:val="auto"/>
                      <w:szCs w:val="21"/>
                    </w:rPr>
                    <w:t>1.0</w:t>
                  </w:r>
                </w:p>
              </w:tc>
            </w:tr>
          </w:tbl>
          <w:p>
            <w:pPr>
              <w:pStyle w:val="7"/>
              <w:spacing w:line="360" w:lineRule="auto"/>
              <w:ind w:firstLine="422"/>
              <w:rPr>
                <w:rFonts w:hint="eastAsia" w:eastAsia="宋体" w:cs="Times New Roman"/>
                <w:b/>
                <w:bCs/>
                <w:color w:val="auto"/>
                <w:sz w:val="21"/>
                <w:szCs w:val="21"/>
                <w:lang w:val="zh-CN"/>
              </w:rPr>
            </w:pPr>
            <w:r>
              <w:rPr>
                <w:rFonts w:hint="eastAsia" w:eastAsia="宋体" w:cs="Times New Roman"/>
                <w:b/>
                <w:bCs/>
                <w:color w:val="auto"/>
                <w:sz w:val="21"/>
                <w:szCs w:val="21"/>
                <w:lang w:val="zh-CN"/>
              </w:rPr>
              <w:t>表3-</w:t>
            </w:r>
            <w:r>
              <w:rPr>
                <w:rFonts w:hint="eastAsia" w:eastAsia="宋体" w:cs="Times New Roman"/>
                <w:b/>
                <w:bCs/>
                <w:color w:val="auto"/>
                <w:sz w:val="21"/>
                <w:szCs w:val="21"/>
                <w:lang w:val="en-US" w:eastAsia="zh-CN"/>
              </w:rPr>
              <w:t>7</w:t>
            </w:r>
            <w:r>
              <w:rPr>
                <w:rFonts w:hint="eastAsia" w:eastAsia="宋体" w:cs="Times New Roman"/>
                <w:b/>
                <w:bCs/>
                <w:color w:val="auto"/>
                <w:sz w:val="21"/>
                <w:szCs w:val="21"/>
                <w:lang w:val="zh-CN"/>
              </w:rPr>
              <w:t>厂区内VOCs无组织排放限值</w:t>
            </w:r>
          </w:p>
          <w:tbl>
            <w:tblPr>
              <w:tblStyle w:val="19"/>
              <w:tblW w:w="8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45"/>
              <w:gridCol w:w="3285"/>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3"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污染物项目</w:t>
                  </w:r>
                </w:p>
              </w:tc>
              <w:tc>
                <w:tcPr>
                  <w:tcW w:w="1673"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排放限值</w:t>
                  </w:r>
                </w:p>
              </w:tc>
              <w:tc>
                <w:tcPr>
                  <w:tcW w:w="3347"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限值含义</w:t>
                  </w:r>
                </w:p>
              </w:tc>
              <w:tc>
                <w:tcPr>
                  <w:tcW w:w="1674"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3" w:type="dxa"/>
                  <w:vMerge w:val="restart"/>
                  <w:tcBorders>
                    <w:tl2br w:val="nil"/>
                    <w:tr2bl w:val="nil"/>
                  </w:tcBorders>
                  <w:shd w:val="clear" w:color="auto" w:fill="auto"/>
                  <w:noWrap/>
                  <w:vAlign w:val="center"/>
                </w:tcPr>
                <w:p>
                  <w:pPr>
                    <w:adjustRightInd w:val="0"/>
                    <w:snapToGrid w:val="0"/>
                    <w:jc w:val="center"/>
                    <w:rPr>
                      <w:rFonts w:hint="default" w:eastAsia="宋体"/>
                      <w:bCs/>
                      <w:color w:val="auto"/>
                      <w:szCs w:val="21"/>
                      <w:lang w:val="en-US" w:eastAsia="zh-CN"/>
                    </w:rPr>
                  </w:pPr>
                  <w:r>
                    <w:rPr>
                      <w:rFonts w:hint="eastAsia" w:hAnsi="宋体" w:eastAsia="宋体"/>
                      <w:bCs/>
                      <w:color w:val="auto"/>
                      <w:szCs w:val="21"/>
                      <w:lang w:val="en-US" w:eastAsia="zh-CN"/>
                    </w:rPr>
                    <w:t>NMHC</w:t>
                  </w:r>
                </w:p>
              </w:tc>
              <w:tc>
                <w:tcPr>
                  <w:tcW w:w="1673" w:type="dxa"/>
                  <w:tcBorders>
                    <w:tl2br w:val="nil"/>
                    <w:tr2bl w:val="nil"/>
                  </w:tcBorders>
                  <w:shd w:val="clear" w:color="auto" w:fill="auto"/>
                  <w:noWrap/>
                  <w:vAlign w:val="center"/>
                </w:tcPr>
                <w:p>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10</w:t>
                  </w:r>
                </w:p>
              </w:tc>
              <w:tc>
                <w:tcPr>
                  <w:tcW w:w="3347"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监控点处</w:t>
                  </w:r>
                  <w:r>
                    <w:rPr>
                      <w:rFonts w:eastAsia="宋体"/>
                      <w:bCs/>
                      <w:color w:val="auto"/>
                      <w:szCs w:val="21"/>
                    </w:rPr>
                    <w:t>1h</w:t>
                  </w:r>
                  <w:r>
                    <w:rPr>
                      <w:rFonts w:hAnsi="宋体" w:eastAsia="宋体"/>
                      <w:bCs/>
                      <w:color w:val="auto"/>
                      <w:szCs w:val="21"/>
                    </w:rPr>
                    <w:t>平均浓度值</w:t>
                  </w:r>
                </w:p>
              </w:tc>
              <w:tc>
                <w:tcPr>
                  <w:tcW w:w="1674" w:type="dxa"/>
                  <w:vMerge w:val="restart"/>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在厂</w:t>
                  </w:r>
                  <w:r>
                    <w:rPr>
                      <w:rFonts w:hint="eastAsia" w:hAnsi="宋体" w:eastAsia="宋体"/>
                      <w:bCs/>
                      <w:color w:val="auto"/>
                      <w:szCs w:val="21"/>
                      <w:lang w:val="en-US" w:eastAsia="zh-CN"/>
                    </w:rPr>
                    <w:t>区内</w:t>
                  </w:r>
                  <w:r>
                    <w:rPr>
                      <w:rFonts w:hAnsi="宋体" w:eastAsia="宋体"/>
                      <w:bCs/>
                      <w:color w:val="auto"/>
                      <w:szCs w:val="21"/>
                    </w:rPr>
                    <w:t>设置监控点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3" w:type="dxa"/>
                  <w:vMerge w:val="continue"/>
                  <w:tcBorders>
                    <w:tl2br w:val="nil"/>
                    <w:tr2bl w:val="nil"/>
                  </w:tcBorders>
                  <w:shd w:val="clear" w:color="auto" w:fill="auto"/>
                  <w:noWrap/>
                  <w:vAlign w:val="center"/>
                </w:tcPr>
                <w:p>
                  <w:pPr>
                    <w:adjustRightInd w:val="0"/>
                    <w:snapToGrid w:val="0"/>
                    <w:jc w:val="center"/>
                    <w:rPr>
                      <w:rFonts w:eastAsia="宋体"/>
                      <w:bCs/>
                      <w:color w:val="auto"/>
                      <w:szCs w:val="21"/>
                    </w:rPr>
                  </w:pPr>
                </w:p>
              </w:tc>
              <w:tc>
                <w:tcPr>
                  <w:tcW w:w="1673" w:type="dxa"/>
                  <w:tcBorders>
                    <w:tl2br w:val="nil"/>
                    <w:tr2bl w:val="nil"/>
                  </w:tcBorders>
                  <w:shd w:val="clear" w:color="auto" w:fill="auto"/>
                  <w:noWrap/>
                  <w:vAlign w:val="center"/>
                </w:tcPr>
                <w:p>
                  <w:pPr>
                    <w:adjustRightInd w:val="0"/>
                    <w:snapToGrid w:val="0"/>
                    <w:jc w:val="center"/>
                    <w:rPr>
                      <w:rFonts w:hint="default" w:eastAsia="宋体"/>
                      <w:bCs/>
                      <w:color w:val="auto"/>
                      <w:szCs w:val="21"/>
                      <w:lang w:val="en-US" w:eastAsia="zh-CN"/>
                    </w:rPr>
                  </w:pPr>
                  <w:r>
                    <w:rPr>
                      <w:rFonts w:hint="eastAsia" w:eastAsia="宋体"/>
                      <w:bCs/>
                      <w:color w:val="auto"/>
                      <w:szCs w:val="21"/>
                      <w:lang w:val="en-US" w:eastAsia="zh-CN"/>
                    </w:rPr>
                    <w:t>30</w:t>
                  </w:r>
                </w:p>
              </w:tc>
              <w:tc>
                <w:tcPr>
                  <w:tcW w:w="3347" w:type="dxa"/>
                  <w:tcBorders>
                    <w:tl2br w:val="nil"/>
                    <w:tr2bl w:val="nil"/>
                  </w:tcBorders>
                  <w:shd w:val="clear" w:color="auto" w:fill="auto"/>
                  <w:noWrap/>
                  <w:vAlign w:val="center"/>
                </w:tcPr>
                <w:p>
                  <w:pPr>
                    <w:adjustRightInd w:val="0"/>
                    <w:snapToGrid w:val="0"/>
                    <w:jc w:val="center"/>
                    <w:rPr>
                      <w:rFonts w:eastAsia="宋体"/>
                      <w:bCs/>
                      <w:color w:val="auto"/>
                      <w:szCs w:val="21"/>
                    </w:rPr>
                  </w:pPr>
                  <w:r>
                    <w:rPr>
                      <w:rFonts w:hAnsi="宋体" w:eastAsia="宋体"/>
                      <w:bCs/>
                      <w:color w:val="auto"/>
                      <w:szCs w:val="21"/>
                    </w:rPr>
                    <w:t>监控点处任意一次浓度值</w:t>
                  </w:r>
                </w:p>
              </w:tc>
              <w:tc>
                <w:tcPr>
                  <w:tcW w:w="1674" w:type="dxa"/>
                  <w:vMerge w:val="continue"/>
                  <w:tcBorders>
                    <w:tl2br w:val="nil"/>
                    <w:tr2bl w:val="nil"/>
                  </w:tcBorders>
                  <w:shd w:val="clear" w:color="auto" w:fill="auto"/>
                  <w:noWrap/>
                  <w:vAlign w:val="center"/>
                </w:tcPr>
                <w:p>
                  <w:pPr>
                    <w:adjustRightInd w:val="0"/>
                    <w:snapToGrid w:val="0"/>
                    <w:jc w:val="center"/>
                    <w:rPr>
                      <w:rFonts w:eastAsia="宋体"/>
                      <w:bCs/>
                      <w:color w:val="auto"/>
                      <w:szCs w:val="21"/>
                    </w:rPr>
                  </w:pPr>
                </w:p>
              </w:tc>
            </w:tr>
          </w:tbl>
          <w:p>
            <w:pPr>
              <w:spacing w:before="187" w:line="360" w:lineRule="auto"/>
              <w:rPr>
                <w:rFonts w:ascii="宋体" w:hAnsi="宋体" w:eastAsia="宋体"/>
                <w:b/>
                <w:bCs/>
                <w:color w:val="auto"/>
                <w:szCs w:val="21"/>
              </w:rPr>
            </w:pPr>
            <w:r>
              <w:rPr>
                <w:rFonts w:ascii="Times New Roman" w:hAnsi="Times New Roman" w:eastAsia="Times New Roman"/>
                <w:b/>
                <w:bCs/>
                <w:color w:val="auto"/>
                <w:szCs w:val="21"/>
              </w:rPr>
              <w:t>2、</w:t>
            </w:r>
            <w:r>
              <w:rPr>
                <w:rFonts w:ascii="宋体" w:hAnsi="宋体" w:eastAsia="宋体"/>
                <w:b/>
                <w:bCs/>
                <w:color w:val="auto"/>
                <w:szCs w:val="21"/>
              </w:rPr>
              <w:t>废水</w:t>
            </w:r>
          </w:p>
          <w:p>
            <w:pPr>
              <w:adjustRightInd w:val="0"/>
              <w:snapToGrid w:val="0"/>
              <w:spacing w:line="360" w:lineRule="auto"/>
              <w:ind w:firstLine="480" w:firstLineChars="200"/>
              <w:rPr>
                <w:color w:val="auto"/>
                <w:sz w:val="24"/>
              </w:rPr>
            </w:pPr>
            <w:r>
              <w:rPr>
                <w:rFonts w:hint="eastAsia" w:hAnsi="宋体" w:eastAsia="宋体"/>
                <w:color w:val="auto"/>
                <w:sz w:val="24"/>
                <w:szCs w:val="24"/>
              </w:rPr>
              <w:t>项目</w:t>
            </w:r>
            <w:r>
              <w:rPr>
                <w:rFonts w:hAnsi="宋体" w:eastAsia="宋体"/>
                <w:color w:val="auto"/>
                <w:sz w:val="24"/>
                <w:szCs w:val="24"/>
              </w:rPr>
              <w:t>营运期</w:t>
            </w:r>
            <w:r>
              <w:rPr>
                <w:rFonts w:hint="eastAsia" w:hAnsi="宋体" w:eastAsia="宋体"/>
                <w:color w:val="auto"/>
                <w:sz w:val="24"/>
                <w:szCs w:val="24"/>
              </w:rPr>
              <w:t>工业废水主要为冷却水</w:t>
            </w:r>
            <w:r>
              <w:rPr>
                <w:rFonts w:hint="eastAsia" w:hAnsi="宋体" w:eastAsia="宋体"/>
                <w:color w:val="auto"/>
                <w:sz w:val="24"/>
                <w:szCs w:val="24"/>
                <w:lang w:eastAsia="zh-CN"/>
              </w:rPr>
              <w:t>、</w:t>
            </w:r>
            <w:r>
              <w:rPr>
                <w:rFonts w:hint="eastAsia" w:hAnsi="宋体" w:eastAsia="宋体"/>
                <w:color w:val="auto"/>
                <w:sz w:val="24"/>
                <w:szCs w:val="24"/>
                <w:lang w:val="en-US" w:eastAsia="zh-CN"/>
              </w:rPr>
              <w:t>喷淋水均为</w:t>
            </w:r>
            <w:r>
              <w:rPr>
                <w:rFonts w:hint="eastAsia" w:hAnsi="宋体" w:eastAsia="宋体"/>
                <w:color w:val="auto"/>
                <w:sz w:val="24"/>
                <w:szCs w:val="24"/>
              </w:rPr>
              <w:t>循环使用</w:t>
            </w:r>
            <w:bookmarkStart w:id="4" w:name="_GoBack"/>
            <w:bookmarkEnd w:id="4"/>
            <w:r>
              <w:rPr>
                <w:rFonts w:hint="eastAsia" w:hAnsi="宋体" w:eastAsia="宋体"/>
                <w:color w:val="auto"/>
                <w:sz w:val="24"/>
                <w:szCs w:val="24"/>
              </w:rPr>
              <w:t>，无工业废水外排，生活</w:t>
            </w:r>
            <w:r>
              <w:rPr>
                <w:rFonts w:hAnsi="宋体" w:eastAsia="宋体"/>
                <w:color w:val="auto"/>
                <w:sz w:val="24"/>
                <w:szCs w:val="24"/>
              </w:rPr>
              <w:t>废水执行《污水综合排放标准》（GB8978-1996）中表4</w:t>
            </w:r>
            <w:r>
              <w:rPr>
                <w:rFonts w:hint="eastAsia" w:hAnsi="宋体" w:eastAsia="宋体"/>
                <w:color w:val="auto"/>
                <w:sz w:val="24"/>
                <w:szCs w:val="24"/>
              </w:rPr>
              <w:t>三</w:t>
            </w:r>
            <w:r>
              <w:rPr>
                <w:rFonts w:hAnsi="宋体" w:eastAsia="宋体"/>
                <w:color w:val="auto"/>
                <w:sz w:val="24"/>
                <w:szCs w:val="24"/>
              </w:rPr>
              <w:t>级标准</w:t>
            </w:r>
            <w:r>
              <w:rPr>
                <w:rFonts w:hint="eastAsia" w:hAnsi="宋体" w:eastAsia="宋体"/>
                <w:color w:val="auto"/>
                <w:sz w:val="24"/>
                <w:szCs w:val="24"/>
              </w:rPr>
              <w:t>及津市工业污水处理厂进水水质要求</w:t>
            </w:r>
            <w:r>
              <w:rPr>
                <w:rFonts w:hint="eastAsia"/>
                <w:color w:val="auto"/>
                <w:sz w:val="24"/>
              </w:rPr>
              <w:t>。</w:t>
            </w:r>
          </w:p>
          <w:p>
            <w:pPr>
              <w:pStyle w:val="7"/>
              <w:spacing w:line="360" w:lineRule="auto"/>
              <w:ind w:firstLine="422"/>
              <w:rPr>
                <w:rFonts w:hint="eastAsia" w:eastAsia="宋体" w:cs="Times New Roman"/>
                <w:b/>
                <w:bCs/>
                <w:color w:val="auto"/>
                <w:sz w:val="21"/>
                <w:szCs w:val="21"/>
                <w:lang w:val="zh-CN"/>
              </w:rPr>
            </w:pPr>
            <w:r>
              <w:rPr>
                <w:rFonts w:hint="eastAsia" w:eastAsia="宋体" w:cs="Times New Roman"/>
                <w:b/>
                <w:bCs/>
                <w:color w:val="auto"/>
                <w:sz w:val="21"/>
                <w:szCs w:val="21"/>
                <w:lang w:val="zh-CN"/>
              </w:rPr>
              <w:t>表3-</w:t>
            </w:r>
            <w:r>
              <w:rPr>
                <w:rFonts w:hint="eastAsia" w:eastAsia="宋体" w:cs="Times New Roman"/>
                <w:b/>
                <w:bCs/>
                <w:color w:val="auto"/>
                <w:sz w:val="21"/>
                <w:szCs w:val="21"/>
                <w:lang w:val="en-US" w:eastAsia="zh-CN"/>
              </w:rPr>
              <w:t>8</w:t>
            </w:r>
            <w:r>
              <w:rPr>
                <w:rFonts w:hint="eastAsia" w:eastAsia="宋体" w:cs="Times New Roman"/>
                <w:b/>
                <w:bCs/>
                <w:color w:val="auto"/>
                <w:sz w:val="21"/>
                <w:szCs w:val="21"/>
                <w:lang w:val="zh-CN"/>
              </w:rPr>
              <w:t>水污染物限值标准单位：mg/L</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841"/>
              <w:gridCol w:w="981"/>
              <w:gridCol w:w="1300"/>
              <w:gridCol w:w="976"/>
              <w:gridCol w:w="898"/>
              <w:gridCol w:w="11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4" w:type="dxa"/>
                  <w:tcBorders>
                    <w:tl2br w:val="nil"/>
                    <w:tr2bl w:val="nil"/>
                  </w:tcBorders>
                  <w:noWrap/>
                  <w:vAlign w:val="center"/>
                </w:tcPr>
                <w:p>
                  <w:pPr>
                    <w:jc w:val="right"/>
                    <w:rPr>
                      <w:b/>
                      <w:bCs/>
                      <w:color w:val="auto"/>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13970</wp:posOffset>
                            </wp:positionV>
                            <wp:extent cx="1381125" cy="400050"/>
                            <wp:effectExtent l="1270" t="4445" r="4445" b="6985"/>
                            <wp:wrapNone/>
                            <wp:docPr id="12" name="直接连接符 12"/>
                            <wp:cNvGraphicFramePr/>
                            <a:graphic xmlns:a="http://schemas.openxmlformats.org/drawingml/2006/main">
                              <a:graphicData uri="http://schemas.microsoft.com/office/word/2010/wordprocessingShape">
                                <wps:wsp>
                                  <wps:cNvCnPr/>
                                  <wps:spPr>
                                    <a:xfrm>
                                      <a:off x="2740025" y="2489200"/>
                                      <a:ext cx="1381125"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pt;margin-top:1.1pt;height:31.5pt;width:108.75pt;z-index:251667456;mso-width-relative:page;mso-height-relative:page;" filled="f" stroked="t" coordsize="21600,21600" o:gfxdata="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LaoO1gAA&#10;AAcBAAAPAAAAAAAAAAEAIAAAACIAAABkcnMvZG93bnJldi54bWxQSwECFAAUAAAACACHTuJAzB0P&#10;5OcBAACtAwAADgAAAAAAAAABACAAAAAlAQAAZHJzL2Uyb0RvYy54bWxQSwUGAAAAAAYABgBZAQAA&#10;fgUAAAAA&#10;">
                            <v:fill on="f" focussize="0,0"/>
                            <v:stroke color="#000000 [3213]" joinstyle="round"/>
                            <v:imagedata o:title=""/>
                            <o:lock v:ext="edit" aspectratio="f"/>
                          </v:line>
                        </w:pict>
                      </mc:Fallback>
                    </mc:AlternateContent>
                  </w:r>
                  <w:r>
                    <w:rPr>
                      <w:b/>
                      <w:bCs/>
                      <w:color w:val="auto"/>
                      <w:szCs w:val="21"/>
                    </w:rPr>
                    <w:t>项目</w:t>
                  </w:r>
                </w:p>
                <w:p>
                  <w:pPr>
                    <w:jc w:val="left"/>
                    <w:rPr>
                      <w:b/>
                      <w:bCs/>
                      <w:color w:val="auto"/>
                      <w:szCs w:val="21"/>
                    </w:rPr>
                  </w:pPr>
                  <w:r>
                    <w:rPr>
                      <w:b/>
                      <w:bCs/>
                      <w:color w:val="auto"/>
                      <w:szCs w:val="21"/>
                    </w:rPr>
                    <w:t>类型</w:t>
                  </w:r>
                </w:p>
              </w:tc>
              <w:tc>
                <w:tcPr>
                  <w:tcW w:w="808" w:type="dxa"/>
                  <w:tcBorders>
                    <w:tl2br w:val="nil"/>
                    <w:tr2bl w:val="nil"/>
                  </w:tcBorders>
                  <w:noWrap/>
                  <w:vAlign w:val="center"/>
                </w:tcPr>
                <w:p>
                  <w:pPr>
                    <w:jc w:val="center"/>
                    <w:rPr>
                      <w:b/>
                      <w:bCs/>
                      <w:color w:val="auto"/>
                      <w:szCs w:val="21"/>
                    </w:rPr>
                  </w:pPr>
                  <w:r>
                    <w:rPr>
                      <w:b/>
                      <w:bCs/>
                      <w:color w:val="auto"/>
                      <w:szCs w:val="21"/>
                    </w:rPr>
                    <w:t>pH</w:t>
                  </w:r>
                </w:p>
              </w:tc>
              <w:tc>
                <w:tcPr>
                  <w:tcW w:w="943" w:type="dxa"/>
                  <w:tcBorders>
                    <w:tl2br w:val="nil"/>
                    <w:tr2bl w:val="nil"/>
                  </w:tcBorders>
                  <w:noWrap/>
                  <w:vAlign w:val="center"/>
                </w:tcPr>
                <w:p>
                  <w:pPr>
                    <w:jc w:val="center"/>
                    <w:rPr>
                      <w:b/>
                      <w:bCs/>
                      <w:color w:val="auto"/>
                      <w:szCs w:val="21"/>
                    </w:rPr>
                  </w:pPr>
                  <w:r>
                    <w:rPr>
                      <w:b/>
                      <w:bCs/>
                      <w:color w:val="auto"/>
                      <w:szCs w:val="21"/>
                    </w:rPr>
                    <w:t>COD</w:t>
                  </w:r>
                  <w:r>
                    <w:rPr>
                      <w:b/>
                      <w:color w:val="auto"/>
                      <w:szCs w:val="21"/>
                      <w:vertAlign w:val="subscript"/>
                    </w:rPr>
                    <w:t>Cr</w:t>
                  </w:r>
                </w:p>
              </w:tc>
              <w:tc>
                <w:tcPr>
                  <w:tcW w:w="1249" w:type="dxa"/>
                  <w:tcBorders>
                    <w:tl2br w:val="nil"/>
                    <w:tr2bl w:val="nil"/>
                  </w:tcBorders>
                  <w:noWrap/>
                  <w:vAlign w:val="center"/>
                </w:tcPr>
                <w:p>
                  <w:pPr>
                    <w:jc w:val="center"/>
                    <w:rPr>
                      <w:b/>
                      <w:bCs/>
                      <w:color w:val="auto"/>
                      <w:szCs w:val="21"/>
                    </w:rPr>
                  </w:pPr>
                  <w:r>
                    <w:rPr>
                      <w:b/>
                      <w:bCs/>
                      <w:color w:val="auto"/>
                      <w:szCs w:val="21"/>
                    </w:rPr>
                    <w:t>BOD</w:t>
                  </w:r>
                  <w:r>
                    <w:rPr>
                      <w:b/>
                      <w:bCs/>
                      <w:color w:val="auto"/>
                      <w:szCs w:val="21"/>
                      <w:vertAlign w:val="subscript"/>
                    </w:rPr>
                    <w:t>5</w:t>
                  </w:r>
                </w:p>
              </w:tc>
              <w:tc>
                <w:tcPr>
                  <w:tcW w:w="938" w:type="dxa"/>
                  <w:tcBorders>
                    <w:tl2br w:val="nil"/>
                    <w:tr2bl w:val="nil"/>
                  </w:tcBorders>
                  <w:noWrap/>
                  <w:vAlign w:val="center"/>
                </w:tcPr>
                <w:p>
                  <w:pPr>
                    <w:jc w:val="center"/>
                    <w:rPr>
                      <w:b/>
                      <w:bCs/>
                      <w:color w:val="auto"/>
                      <w:szCs w:val="21"/>
                    </w:rPr>
                  </w:pPr>
                  <w:r>
                    <w:rPr>
                      <w:b/>
                      <w:bCs/>
                      <w:color w:val="auto"/>
                      <w:szCs w:val="21"/>
                    </w:rPr>
                    <w:t>SS</w:t>
                  </w:r>
                </w:p>
              </w:tc>
              <w:tc>
                <w:tcPr>
                  <w:tcW w:w="863" w:type="dxa"/>
                  <w:tcBorders>
                    <w:tl2br w:val="nil"/>
                    <w:tr2bl w:val="nil"/>
                  </w:tcBorders>
                  <w:noWrap/>
                  <w:vAlign w:val="center"/>
                </w:tcPr>
                <w:p>
                  <w:pPr>
                    <w:jc w:val="center"/>
                    <w:rPr>
                      <w:b/>
                      <w:bCs/>
                      <w:color w:val="auto"/>
                      <w:szCs w:val="21"/>
                    </w:rPr>
                  </w:pPr>
                  <w:r>
                    <w:rPr>
                      <w:rFonts w:hint="eastAsia"/>
                      <w:b/>
                      <w:bCs/>
                      <w:color w:val="auto"/>
                      <w:szCs w:val="21"/>
                    </w:rPr>
                    <w:t>氨氮</w:t>
                  </w:r>
                </w:p>
              </w:tc>
              <w:tc>
                <w:tcPr>
                  <w:tcW w:w="1062" w:type="dxa"/>
                  <w:tcBorders>
                    <w:tl2br w:val="nil"/>
                    <w:tr2bl w:val="nil"/>
                  </w:tcBorders>
                  <w:noWrap/>
                  <w:vAlign w:val="center"/>
                </w:tcPr>
                <w:p>
                  <w:pPr>
                    <w:jc w:val="center"/>
                    <w:rPr>
                      <w:b/>
                      <w:bCs/>
                      <w:color w:val="auto"/>
                      <w:szCs w:val="21"/>
                    </w:rPr>
                  </w:pPr>
                  <w:r>
                    <w:rPr>
                      <w:b/>
                      <w:bCs/>
                      <w:color w:val="auto"/>
                      <w:szCs w:val="21"/>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74" w:type="dxa"/>
                  <w:tcBorders>
                    <w:tl2br w:val="nil"/>
                    <w:tr2bl w:val="nil"/>
                  </w:tcBorders>
                  <w:noWrap/>
                  <w:vAlign w:val="center"/>
                </w:tcPr>
                <w:p>
                  <w:pPr>
                    <w:jc w:val="center"/>
                    <w:rPr>
                      <w:bCs/>
                      <w:color w:val="auto"/>
                      <w:szCs w:val="21"/>
                    </w:rPr>
                  </w:pPr>
                  <w:r>
                    <w:rPr>
                      <w:bCs/>
                      <w:color w:val="auto"/>
                      <w:szCs w:val="21"/>
                    </w:rPr>
                    <w:t>GB8978-1996表4</w:t>
                  </w:r>
                  <w:r>
                    <w:rPr>
                      <w:rFonts w:hint="eastAsia"/>
                      <w:bCs/>
                      <w:color w:val="auto"/>
                      <w:szCs w:val="21"/>
                    </w:rPr>
                    <w:t>三</w:t>
                  </w:r>
                  <w:r>
                    <w:rPr>
                      <w:bCs/>
                      <w:color w:val="auto"/>
                      <w:szCs w:val="21"/>
                    </w:rPr>
                    <w:t>级标准</w:t>
                  </w:r>
                </w:p>
              </w:tc>
              <w:tc>
                <w:tcPr>
                  <w:tcW w:w="808" w:type="dxa"/>
                  <w:tcBorders>
                    <w:tl2br w:val="nil"/>
                    <w:tr2bl w:val="nil"/>
                  </w:tcBorders>
                  <w:noWrap/>
                  <w:vAlign w:val="center"/>
                </w:tcPr>
                <w:p>
                  <w:pPr>
                    <w:jc w:val="center"/>
                    <w:rPr>
                      <w:color w:val="auto"/>
                      <w:szCs w:val="21"/>
                    </w:rPr>
                  </w:pPr>
                  <w:r>
                    <w:rPr>
                      <w:color w:val="auto"/>
                      <w:szCs w:val="21"/>
                    </w:rPr>
                    <w:t>6~9</w:t>
                  </w:r>
                </w:p>
              </w:tc>
              <w:tc>
                <w:tcPr>
                  <w:tcW w:w="943" w:type="dxa"/>
                  <w:tcBorders>
                    <w:tl2br w:val="nil"/>
                    <w:tr2bl w:val="nil"/>
                  </w:tcBorders>
                  <w:noWrap/>
                  <w:vAlign w:val="center"/>
                </w:tcPr>
                <w:p>
                  <w:pPr>
                    <w:jc w:val="center"/>
                    <w:rPr>
                      <w:color w:val="auto"/>
                      <w:szCs w:val="21"/>
                    </w:rPr>
                  </w:pPr>
                  <w:r>
                    <w:rPr>
                      <w:color w:val="auto"/>
                      <w:szCs w:val="21"/>
                    </w:rPr>
                    <w:t>500</w:t>
                  </w:r>
                </w:p>
              </w:tc>
              <w:tc>
                <w:tcPr>
                  <w:tcW w:w="1249" w:type="dxa"/>
                  <w:tcBorders>
                    <w:tl2br w:val="nil"/>
                    <w:tr2bl w:val="nil"/>
                  </w:tcBorders>
                  <w:noWrap/>
                  <w:vAlign w:val="center"/>
                </w:tcPr>
                <w:p>
                  <w:pPr>
                    <w:jc w:val="center"/>
                    <w:rPr>
                      <w:color w:val="auto"/>
                      <w:szCs w:val="21"/>
                    </w:rPr>
                  </w:pPr>
                  <w:r>
                    <w:rPr>
                      <w:color w:val="auto"/>
                      <w:szCs w:val="21"/>
                    </w:rPr>
                    <w:t>300</w:t>
                  </w:r>
                </w:p>
              </w:tc>
              <w:tc>
                <w:tcPr>
                  <w:tcW w:w="938" w:type="dxa"/>
                  <w:tcBorders>
                    <w:tl2br w:val="nil"/>
                    <w:tr2bl w:val="nil"/>
                  </w:tcBorders>
                  <w:noWrap/>
                  <w:vAlign w:val="center"/>
                </w:tcPr>
                <w:p>
                  <w:pPr>
                    <w:jc w:val="center"/>
                    <w:rPr>
                      <w:color w:val="auto"/>
                      <w:szCs w:val="21"/>
                    </w:rPr>
                  </w:pPr>
                  <w:r>
                    <w:rPr>
                      <w:color w:val="auto"/>
                      <w:szCs w:val="21"/>
                    </w:rPr>
                    <w:t>400</w:t>
                  </w:r>
                </w:p>
              </w:tc>
              <w:tc>
                <w:tcPr>
                  <w:tcW w:w="863" w:type="dxa"/>
                  <w:tcBorders>
                    <w:tl2br w:val="nil"/>
                    <w:tr2bl w:val="nil"/>
                  </w:tcBorders>
                  <w:noWrap/>
                  <w:vAlign w:val="center"/>
                </w:tcPr>
                <w:p>
                  <w:pPr>
                    <w:jc w:val="center"/>
                    <w:rPr>
                      <w:color w:val="auto"/>
                      <w:szCs w:val="21"/>
                    </w:rPr>
                  </w:pPr>
                  <w:r>
                    <w:rPr>
                      <w:color w:val="auto"/>
                      <w:szCs w:val="21"/>
                    </w:rPr>
                    <w:t>-</w:t>
                  </w:r>
                </w:p>
              </w:tc>
              <w:tc>
                <w:tcPr>
                  <w:tcW w:w="1062" w:type="dxa"/>
                  <w:tcBorders>
                    <w:tl2br w:val="nil"/>
                    <w:tr2bl w:val="nil"/>
                  </w:tcBorders>
                  <w:noWrap/>
                  <w:vAlign w:val="center"/>
                </w:tcPr>
                <w:p>
                  <w:pPr>
                    <w:jc w:val="center"/>
                    <w:rPr>
                      <w:color w:val="auto"/>
                      <w:szCs w:val="21"/>
                    </w:rPr>
                  </w:pPr>
                  <w:r>
                    <w:rPr>
                      <w:color w:val="auto"/>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4" w:type="dxa"/>
                  <w:tcBorders>
                    <w:tl2br w:val="nil"/>
                    <w:tr2bl w:val="nil"/>
                  </w:tcBorders>
                  <w:noWrap/>
                  <w:vAlign w:val="center"/>
                </w:tcPr>
                <w:p>
                  <w:pPr>
                    <w:jc w:val="center"/>
                    <w:rPr>
                      <w:rFonts w:eastAsia="宋体"/>
                      <w:bCs/>
                      <w:color w:val="auto"/>
                      <w:szCs w:val="21"/>
                    </w:rPr>
                  </w:pPr>
                  <w:r>
                    <w:rPr>
                      <w:rFonts w:hint="eastAsia"/>
                      <w:color w:val="auto"/>
                      <w:szCs w:val="21"/>
                    </w:rPr>
                    <w:t>津市工业污水处理厂进水水质要求</w:t>
                  </w:r>
                </w:p>
              </w:tc>
              <w:tc>
                <w:tcPr>
                  <w:tcW w:w="808" w:type="dxa"/>
                  <w:tcBorders>
                    <w:tl2br w:val="nil"/>
                    <w:tr2bl w:val="nil"/>
                  </w:tcBorders>
                  <w:noWrap/>
                  <w:vAlign w:val="center"/>
                </w:tcPr>
                <w:p>
                  <w:pPr>
                    <w:jc w:val="center"/>
                    <w:rPr>
                      <w:color w:val="auto"/>
                      <w:szCs w:val="21"/>
                    </w:rPr>
                  </w:pPr>
                  <w:r>
                    <w:rPr>
                      <w:color w:val="auto"/>
                      <w:szCs w:val="21"/>
                    </w:rPr>
                    <w:t>-</w:t>
                  </w:r>
                </w:p>
              </w:tc>
              <w:tc>
                <w:tcPr>
                  <w:tcW w:w="943" w:type="dxa"/>
                  <w:tcBorders>
                    <w:tl2br w:val="nil"/>
                    <w:tr2bl w:val="nil"/>
                  </w:tcBorders>
                  <w:noWrap/>
                  <w:vAlign w:val="center"/>
                </w:tcPr>
                <w:p>
                  <w:pPr>
                    <w:jc w:val="center"/>
                    <w:rPr>
                      <w:rFonts w:eastAsia="宋体"/>
                      <w:color w:val="auto"/>
                      <w:szCs w:val="21"/>
                    </w:rPr>
                  </w:pPr>
                  <w:r>
                    <w:rPr>
                      <w:rFonts w:hint="eastAsia"/>
                      <w:color w:val="auto"/>
                      <w:szCs w:val="21"/>
                    </w:rPr>
                    <w:t>450</w:t>
                  </w:r>
                </w:p>
              </w:tc>
              <w:tc>
                <w:tcPr>
                  <w:tcW w:w="1249" w:type="dxa"/>
                  <w:tcBorders>
                    <w:tl2br w:val="nil"/>
                    <w:tr2bl w:val="nil"/>
                  </w:tcBorders>
                  <w:noWrap/>
                  <w:vAlign w:val="center"/>
                </w:tcPr>
                <w:p>
                  <w:pPr>
                    <w:jc w:val="center"/>
                    <w:rPr>
                      <w:rFonts w:eastAsia="宋体"/>
                      <w:color w:val="auto"/>
                      <w:szCs w:val="21"/>
                    </w:rPr>
                  </w:pPr>
                  <w:r>
                    <w:rPr>
                      <w:rFonts w:hint="eastAsia"/>
                      <w:color w:val="auto"/>
                      <w:szCs w:val="21"/>
                    </w:rPr>
                    <w:t>250</w:t>
                  </w:r>
                </w:p>
              </w:tc>
              <w:tc>
                <w:tcPr>
                  <w:tcW w:w="938" w:type="dxa"/>
                  <w:tcBorders>
                    <w:tl2br w:val="nil"/>
                    <w:tr2bl w:val="nil"/>
                  </w:tcBorders>
                  <w:noWrap/>
                  <w:vAlign w:val="center"/>
                </w:tcPr>
                <w:p>
                  <w:pPr>
                    <w:jc w:val="center"/>
                    <w:rPr>
                      <w:rFonts w:eastAsia="宋体"/>
                      <w:color w:val="auto"/>
                      <w:szCs w:val="21"/>
                    </w:rPr>
                  </w:pPr>
                  <w:r>
                    <w:rPr>
                      <w:rFonts w:hint="eastAsia"/>
                      <w:color w:val="auto"/>
                      <w:szCs w:val="21"/>
                    </w:rPr>
                    <w:t>300</w:t>
                  </w:r>
                </w:p>
              </w:tc>
              <w:tc>
                <w:tcPr>
                  <w:tcW w:w="863" w:type="dxa"/>
                  <w:tcBorders>
                    <w:tl2br w:val="nil"/>
                    <w:tr2bl w:val="nil"/>
                  </w:tcBorders>
                  <w:noWrap/>
                  <w:vAlign w:val="center"/>
                </w:tcPr>
                <w:p>
                  <w:pPr>
                    <w:jc w:val="center"/>
                    <w:rPr>
                      <w:rFonts w:eastAsia="宋体"/>
                      <w:color w:val="auto"/>
                      <w:szCs w:val="21"/>
                    </w:rPr>
                  </w:pPr>
                  <w:r>
                    <w:rPr>
                      <w:rFonts w:hint="eastAsia"/>
                      <w:color w:val="auto"/>
                      <w:szCs w:val="21"/>
                    </w:rPr>
                    <w:t>35</w:t>
                  </w:r>
                </w:p>
              </w:tc>
              <w:tc>
                <w:tcPr>
                  <w:tcW w:w="1062" w:type="dxa"/>
                  <w:tcBorders>
                    <w:tl2br w:val="nil"/>
                    <w:tr2bl w:val="nil"/>
                  </w:tcBorders>
                  <w:noWrap/>
                  <w:vAlign w:val="center"/>
                </w:tcPr>
                <w:p>
                  <w:pPr>
                    <w:jc w:val="center"/>
                    <w:rPr>
                      <w:color w:val="auto"/>
                      <w:szCs w:val="21"/>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4" w:type="dxa"/>
                  <w:tcBorders>
                    <w:tl2br w:val="nil"/>
                    <w:tr2bl w:val="nil"/>
                  </w:tcBorders>
                  <w:noWrap/>
                  <w:vAlign w:val="center"/>
                </w:tcPr>
                <w:p>
                  <w:pPr>
                    <w:jc w:val="center"/>
                    <w:rPr>
                      <w:color w:val="auto"/>
                      <w:szCs w:val="21"/>
                    </w:rPr>
                  </w:pPr>
                  <w:r>
                    <w:rPr>
                      <w:rFonts w:hint="eastAsia"/>
                      <w:color w:val="auto"/>
                      <w:szCs w:val="21"/>
                    </w:rPr>
                    <w:t>本项目执行的标准</w:t>
                  </w:r>
                </w:p>
              </w:tc>
              <w:tc>
                <w:tcPr>
                  <w:tcW w:w="808" w:type="dxa"/>
                  <w:tcBorders>
                    <w:tl2br w:val="nil"/>
                    <w:tr2bl w:val="nil"/>
                  </w:tcBorders>
                  <w:noWrap/>
                  <w:vAlign w:val="center"/>
                </w:tcPr>
                <w:p>
                  <w:pPr>
                    <w:jc w:val="center"/>
                    <w:rPr>
                      <w:color w:val="auto"/>
                      <w:szCs w:val="21"/>
                    </w:rPr>
                  </w:pPr>
                  <w:r>
                    <w:rPr>
                      <w:color w:val="auto"/>
                      <w:szCs w:val="21"/>
                    </w:rPr>
                    <w:t>6~9</w:t>
                  </w:r>
                </w:p>
              </w:tc>
              <w:tc>
                <w:tcPr>
                  <w:tcW w:w="943" w:type="dxa"/>
                  <w:tcBorders>
                    <w:tl2br w:val="nil"/>
                    <w:tr2bl w:val="nil"/>
                  </w:tcBorders>
                  <w:noWrap/>
                  <w:vAlign w:val="center"/>
                </w:tcPr>
                <w:p>
                  <w:pPr>
                    <w:jc w:val="center"/>
                    <w:rPr>
                      <w:rFonts w:eastAsia="宋体"/>
                      <w:color w:val="auto"/>
                      <w:szCs w:val="21"/>
                    </w:rPr>
                  </w:pPr>
                  <w:r>
                    <w:rPr>
                      <w:rFonts w:hint="eastAsia"/>
                      <w:color w:val="auto"/>
                      <w:szCs w:val="21"/>
                    </w:rPr>
                    <w:t>450</w:t>
                  </w:r>
                </w:p>
              </w:tc>
              <w:tc>
                <w:tcPr>
                  <w:tcW w:w="1249" w:type="dxa"/>
                  <w:tcBorders>
                    <w:tl2br w:val="nil"/>
                    <w:tr2bl w:val="nil"/>
                  </w:tcBorders>
                  <w:noWrap/>
                  <w:vAlign w:val="center"/>
                </w:tcPr>
                <w:p>
                  <w:pPr>
                    <w:jc w:val="center"/>
                    <w:rPr>
                      <w:rFonts w:eastAsia="宋体"/>
                      <w:color w:val="auto"/>
                      <w:szCs w:val="21"/>
                    </w:rPr>
                  </w:pPr>
                  <w:r>
                    <w:rPr>
                      <w:rFonts w:hint="eastAsia"/>
                      <w:color w:val="auto"/>
                      <w:szCs w:val="21"/>
                    </w:rPr>
                    <w:t>250</w:t>
                  </w:r>
                </w:p>
              </w:tc>
              <w:tc>
                <w:tcPr>
                  <w:tcW w:w="938" w:type="dxa"/>
                  <w:tcBorders>
                    <w:tl2br w:val="nil"/>
                    <w:tr2bl w:val="nil"/>
                  </w:tcBorders>
                  <w:noWrap/>
                  <w:vAlign w:val="center"/>
                </w:tcPr>
                <w:p>
                  <w:pPr>
                    <w:jc w:val="center"/>
                    <w:rPr>
                      <w:rFonts w:eastAsia="宋体"/>
                      <w:color w:val="auto"/>
                      <w:szCs w:val="21"/>
                    </w:rPr>
                  </w:pPr>
                  <w:r>
                    <w:rPr>
                      <w:rFonts w:hint="eastAsia"/>
                      <w:color w:val="auto"/>
                      <w:szCs w:val="21"/>
                    </w:rPr>
                    <w:t>300</w:t>
                  </w:r>
                </w:p>
              </w:tc>
              <w:tc>
                <w:tcPr>
                  <w:tcW w:w="863" w:type="dxa"/>
                  <w:tcBorders>
                    <w:tl2br w:val="nil"/>
                    <w:tr2bl w:val="nil"/>
                  </w:tcBorders>
                  <w:noWrap/>
                  <w:vAlign w:val="center"/>
                </w:tcPr>
                <w:p>
                  <w:pPr>
                    <w:jc w:val="center"/>
                    <w:rPr>
                      <w:rFonts w:eastAsia="宋体"/>
                      <w:color w:val="auto"/>
                      <w:szCs w:val="21"/>
                    </w:rPr>
                  </w:pPr>
                  <w:r>
                    <w:rPr>
                      <w:color w:val="auto"/>
                      <w:szCs w:val="21"/>
                    </w:rPr>
                    <w:t>3</w:t>
                  </w:r>
                  <w:r>
                    <w:rPr>
                      <w:rFonts w:hint="eastAsia"/>
                      <w:color w:val="auto"/>
                      <w:szCs w:val="21"/>
                    </w:rPr>
                    <w:t>5</w:t>
                  </w:r>
                </w:p>
              </w:tc>
              <w:tc>
                <w:tcPr>
                  <w:tcW w:w="1062" w:type="dxa"/>
                  <w:tcBorders>
                    <w:tl2br w:val="nil"/>
                    <w:tr2bl w:val="nil"/>
                  </w:tcBorders>
                  <w:noWrap/>
                  <w:vAlign w:val="center"/>
                </w:tcPr>
                <w:p>
                  <w:pPr>
                    <w:jc w:val="center"/>
                    <w:rPr>
                      <w:color w:val="auto"/>
                      <w:szCs w:val="21"/>
                    </w:rPr>
                  </w:pPr>
                  <w:r>
                    <w:rPr>
                      <w:color w:val="auto"/>
                      <w:szCs w:val="21"/>
                    </w:rPr>
                    <w:t>100</w:t>
                  </w:r>
                </w:p>
              </w:tc>
            </w:tr>
          </w:tbl>
          <w:p>
            <w:pPr>
              <w:spacing w:before="187" w:line="360" w:lineRule="auto"/>
              <w:rPr>
                <w:rFonts w:ascii="宋体" w:hAnsi="宋体" w:eastAsia="宋体"/>
                <w:b/>
                <w:bCs/>
                <w:color w:val="auto"/>
                <w:szCs w:val="21"/>
              </w:rPr>
            </w:pPr>
            <w:r>
              <w:rPr>
                <w:rFonts w:ascii="Times New Roman" w:hAnsi="Times New Roman" w:eastAsia="Times New Roman"/>
                <w:b/>
                <w:bCs/>
                <w:color w:val="auto"/>
                <w:szCs w:val="21"/>
              </w:rPr>
              <w:t>3、</w:t>
            </w:r>
            <w:r>
              <w:rPr>
                <w:rFonts w:ascii="宋体" w:hAnsi="宋体" w:eastAsia="宋体"/>
                <w:b/>
                <w:bCs/>
                <w:color w:val="auto"/>
                <w:szCs w:val="21"/>
              </w:rPr>
              <w:t>噪声</w:t>
            </w:r>
          </w:p>
          <w:p>
            <w:pPr>
              <w:snapToGrid w:val="0"/>
              <w:spacing w:line="360" w:lineRule="auto"/>
              <w:ind w:firstLine="480"/>
              <w:rPr>
                <w:rFonts w:eastAsia="宋体"/>
                <w:b/>
                <w:color w:val="auto"/>
              </w:rPr>
            </w:pPr>
            <w:r>
              <w:rPr>
                <w:rFonts w:hAnsi="宋体" w:eastAsia="宋体"/>
                <w:color w:val="auto"/>
                <w:sz w:val="24"/>
                <w:szCs w:val="24"/>
              </w:rPr>
              <w:t>根据本项目所在地声环境功能区划，本项目噪声排放执行《工业企业厂界环境噪声排放标准》（</w:t>
            </w:r>
            <w:r>
              <w:rPr>
                <w:rFonts w:eastAsia="宋体"/>
                <w:color w:val="auto"/>
                <w:sz w:val="24"/>
                <w:szCs w:val="24"/>
              </w:rPr>
              <w:t>GB12348-2008</w:t>
            </w:r>
            <w:r>
              <w:rPr>
                <w:rFonts w:hAnsi="宋体" w:eastAsia="宋体"/>
                <w:color w:val="auto"/>
                <w:sz w:val="24"/>
                <w:szCs w:val="24"/>
              </w:rPr>
              <w:t>）中</w:t>
            </w:r>
            <w:r>
              <w:rPr>
                <w:rFonts w:hint="eastAsia" w:eastAsia="宋体"/>
                <w:color w:val="auto"/>
                <w:sz w:val="24"/>
                <w:szCs w:val="24"/>
              </w:rPr>
              <w:t>3</w:t>
            </w:r>
            <w:r>
              <w:rPr>
                <w:rFonts w:hAnsi="宋体" w:eastAsia="宋体"/>
                <w:color w:val="auto"/>
                <w:sz w:val="24"/>
                <w:szCs w:val="24"/>
              </w:rPr>
              <w:t>类标准。具体标准见表</w:t>
            </w:r>
            <w:r>
              <w:rPr>
                <w:rFonts w:hint="eastAsia" w:eastAsia="宋体"/>
                <w:color w:val="auto"/>
                <w:sz w:val="24"/>
                <w:szCs w:val="24"/>
              </w:rPr>
              <w:t>3</w:t>
            </w:r>
            <w:r>
              <w:rPr>
                <w:rFonts w:hint="eastAsia" w:eastAsia="宋体"/>
                <w:color w:val="auto"/>
                <w:sz w:val="24"/>
                <w:szCs w:val="24"/>
                <w:lang w:val="en-US" w:eastAsia="zh-CN"/>
              </w:rPr>
              <w:t>-9</w:t>
            </w:r>
            <w:r>
              <w:rPr>
                <w:rFonts w:hAnsi="宋体" w:eastAsia="宋体"/>
                <w:color w:val="auto"/>
              </w:rPr>
              <w:t>。</w:t>
            </w:r>
          </w:p>
          <w:p>
            <w:pPr>
              <w:snapToGrid w:val="0"/>
              <w:spacing w:line="360" w:lineRule="auto"/>
              <w:jc w:val="center"/>
              <w:rPr>
                <w:rFonts w:eastAsia="宋体"/>
                <w:b/>
                <w:color w:val="auto"/>
              </w:rPr>
            </w:pPr>
            <w:r>
              <w:rPr>
                <w:rFonts w:hAnsi="宋体" w:eastAsia="宋体"/>
                <w:b/>
                <w:color w:val="auto"/>
              </w:rPr>
              <w:t>表</w:t>
            </w:r>
            <w:r>
              <w:rPr>
                <w:rFonts w:hint="eastAsia" w:eastAsia="宋体"/>
                <w:b/>
                <w:color w:val="auto"/>
              </w:rPr>
              <w:t>3</w:t>
            </w:r>
            <w:r>
              <w:rPr>
                <w:rFonts w:eastAsia="宋体"/>
                <w:b/>
                <w:color w:val="auto"/>
              </w:rPr>
              <w:t>-</w:t>
            </w:r>
            <w:r>
              <w:rPr>
                <w:rFonts w:hint="eastAsia" w:eastAsia="宋体"/>
                <w:b/>
                <w:color w:val="auto"/>
                <w:lang w:val="en-US" w:eastAsia="zh-CN"/>
              </w:rPr>
              <w:t>9</w:t>
            </w:r>
            <w:r>
              <w:rPr>
                <w:rFonts w:hAnsi="宋体" w:eastAsia="宋体"/>
                <w:b/>
                <w:color w:val="auto"/>
              </w:rPr>
              <w:t>工业企业厂界环境噪声排放标准</w:t>
            </w:r>
          </w:p>
          <w:tbl>
            <w:tblPr>
              <w:tblStyle w:val="1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749"/>
              <w:gridCol w:w="1144"/>
              <w:gridCol w:w="1286"/>
              <w:gridCol w:w="1050"/>
              <w:gridCol w:w="1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934" w:type="dxa"/>
                  <w:vMerge w:val="restart"/>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厂界名</w:t>
                  </w:r>
                </w:p>
              </w:tc>
              <w:tc>
                <w:tcPr>
                  <w:tcW w:w="2725" w:type="dxa"/>
                  <w:vMerge w:val="restart"/>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执行标准</w:t>
                  </w:r>
                </w:p>
              </w:tc>
              <w:tc>
                <w:tcPr>
                  <w:tcW w:w="1134" w:type="dxa"/>
                  <w:vMerge w:val="restart"/>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类别</w:t>
                  </w:r>
                </w:p>
              </w:tc>
              <w:tc>
                <w:tcPr>
                  <w:tcW w:w="1275" w:type="dxa"/>
                  <w:vMerge w:val="restart"/>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单位</w:t>
                  </w:r>
                </w:p>
              </w:tc>
              <w:tc>
                <w:tcPr>
                  <w:tcW w:w="2081" w:type="dxa"/>
                  <w:gridSpan w:val="2"/>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标准限值</w:t>
                  </w:r>
                  <w:r>
                    <w:rPr>
                      <w:rFonts w:eastAsia="宋体"/>
                      <w:color w:val="auto"/>
                      <w:szCs w:val="21"/>
                    </w:rPr>
                    <w:t>dB</w:t>
                  </w:r>
                  <w:r>
                    <w:rPr>
                      <w:rFonts w:hAnsi="宋体" w:eastAsia="宋体"/>
                      <w:color w:val="auto"/>
                      <w:szCs w:val="21"/>
                    </w:rPr>
                    <w:t>（</w:t>
                  </w:r>
                  <w:r>
                    <w:rPr>
                      <w:rFonts w:eastAsia="宋体"/>
                      <w:color w:val="auto"/>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934" w:type="dxa"/>
                  <w:vMerge w:val="continue"/>
                  <w:tcBorders>
                    <w:tl2br w:val="nil"/>
                    <w:tr2bl w:val="nil"/>
                  </w:tcBorders>
                  <w:noWrap/>
                  <w:vAlign w:val="center"/>
                </w:tcPr>
                <w:p>
                  <w:pPr>
                    <w:spacing w:line="320" w:lineRule="exact"/>
                    <w:jc w:val="center"/>
                    <w:rPr>
                      <w:rFonts w:eastAsia="宋体"/>
                      <w:color w:val="auto"/>
                      <w:szCs w:val="21"/>
                    </w:rPr>
                  </w:pPr>
                </w:p>
              </w:tc>
              <w:tc>
                <w:tcPr>
                  <w:tcW w:w="2725" w:type="dxa"/>
                  <w:vMerge w:val="continue"/>
                  <w:tcBorders>
                    <w:tl2br w:val="nil"/>
                    <w:tr2bl w:val="nil"/>
                  </w:tcBorders>
                  <w:noWrap/>
                  <w:vAlign w:val="center"/>
                </w:tcPr>
                <w:p>
                  <w:pPr>
                    <w:spacing w:line="320" w:lineRule="exact"/>
                    <w:jc w:val="center"/>
                    <w:rPr>
                      <w:rFonts w:eastAsia="宋体"/>
                      <w:color w:val="auto"/>
                      <w:szCs w:val="21"/>
                    </w:rPr>
                  </w:pPr>
                </w:p>
              </w:tc>
              <w:tc>
                <w:tcPr>
                  <w:tcW w:w="1134" w:type="dxa"/>
                  <w:vMerge w:val="continue"/>
                  <w:tcBorders>
                    <w:tl2br w:val="nil"/>
                    <w:tr2bl w:val="nil"/>
                  </w:tcBorders>
                  <w:noWrap/>
                  <w:vAlign w:val="center"/>
                </w:tcPr>
                <w:p>
                  <w:pPr>
                    <w:spacing w:line="320" w:lineRule="exact"/>
                    <w:jc w:val="center"/>
                    <w:rPr>
                      <w:rFonts w:eastAsia="宋体"/>
                      <w:color w:val="auto"/>
                      <w:szCs w:val="21"/>
                    </w:rPr>
                  </w:pPr>
                </w:p>
              </w:tc>
              <w:tc>
                <w:tcPr>
                  <w:tcW w:w="1275" w:type="dxa"/>
                  <w:vMerge w:val="continue"/>
                  <w:tcBorders>
                    <w:tl2br w:val="nil"/>
                    <w:tr2bl w:val="nil"/>
                  </w:tcBorders>
                  <w:noWrap/>
                  <w:vAlign w:val="center"/>
                </w:tcPr>
                <w:p>
                  <w:pPr>
                    <w:spacing w:line="320" w:lineRule="exact"/>
                    <w:jc w:val="center"/>
                    <w:rPr>
                      <w:rFonts w:eastAsia="宋体"/>
                      <w:color w:val="auto"/>
                      <w:szCs w:val="21"/>
                    </w:rPr>
                  </w:pPr>
                </w:p>
              </w:tc>
              <w:tc>
                <w:tcPr>
                  <w:tcW w:w="1041" w:type="dxa"/>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昼</w:t>
                  </w:r>
                </w:p>
              </w:tc>
              <w:tc>
                <w:tcPr>
                  <w:tcW w:w="1040" w:type="dxa"/>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934" w:type="dxa"/>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厂界</w:t>
                  </w:r>
                </w:p>
              </w:tc>
              <w:tc>
                <w:tcPr>
                  <w:tcW w:w="2725" w:type="dxa"/>
                  <w:tcBorders>
                    <w:tl2br w:val="nil"/>
                    <w:tr2bl w:val="nil"/>
                  </w:tcBorders>
                  <w:noWrap/>
                  <w:vAlign w:val="center"/>
                </w:tcPr>
                <w:p>
                  <w:pPr>
                    <w:spacing w:line="320" w:lineRule="exact"/>
                    <w:jc w:val="center"/>
                    <w:rPr>
                      <w:rFonts w:eastAsia="宋体"/>
                      <w:color w:val="auto"/>
                      <w:szCs w:val="21"/>
                    </w:rPr>
                  </w:pPr>
                  <w:r>
                    <w:rPr>
                      <w:rFonts w:hAnsi="宋体" w:eastAsia="宋体"/>
                      <w:color w:val="auto"/>
                      <w:szCs w:val="21"/>
                    </w:rPr>
                    <w:t>《工业企业厂界环境噪声排放标准》（</w:t>
                  </w:r>
                  <w:r>
                    <w:rPr>
                      <w:rFonts w:eastAsia="宋体"/>
                      <w:color w:val="auto"/>
                      <w:szCs w:val="21"/>
                    </w:rPr>
                    <w:t>GB12348-2008</w:t>
                  </w:r>
                  <w:r>
                    <w:rPr>
                      <w:rFonts w:hAnsi="宋体" w:eastAsia="宋体"/>
                      <w:color w:val="auto"/>
                      <w:szCs w:val="21"/>
                    </w:rPr>
                    <w:t>）</w:t>
                  </w:r>
                </w:p>
              </w:tc>
              <w:tc>
                <w:tcPr>
                  <w:tcW w:w="1134" w:type="dxa"/>
                  <w:tcBorders>
                    <w:tl2br w:val="nil"/>
                    <w:tr2bl w:val="nil"/>
                  </w:tcBorders>
                  <w:noWrap/>
                  <w:vAlign w:val="center"/>
                </w:tcPr>
                <w:p>
                  <w:pPr>
                    <w:spacing w:line="320" w:lineRule="exact"/>
                    <w:jc w:val="center"/>
                    <w:rPr>
                      <w:rFonts w:eastAsia="宋体"/>
                      <w:color w:val="auto"/>
                      <w:szCs w:val="21"/>
                    </w:rPr>
                  </w:pPr>
                  <w:r>
                    <w:rPr>
                      <w:rFonts w:hint="eastAsia" w:eastAsia="宋体"/>
                      <w:color w:val="auto"/>
                      <w:szCs w:val="21"/>
                    </w:rPr>
                    <w:t>3</w:t>
                  </w:r>
                  <w:r>
                    <w:rPr>
                      <w:rFonts w:hAnsi="宋体" w:eastAsia="宋体"/>
                      <w:color w:val="auto"/>
                      <w:szCs w:val="21"/>
                    </w:rPr>
                    <w:t>类</w:t>
                  </w:r>
                </w:p>
              </w:tc>
              <w:tc>
                <w:tcPr>
                  <w:tcW w:w="1275" w:type="dxa"/>
                  <w:tcBorders>
                    <w:tl2br w:val="nil"/>
                    <w:tr2bl w:val="nil"/>
                  </w:tcBorders>
                  <w:noWrap/>
                  <w:vAlign w:val="center"/>
                </w:tcPr>
                <w:p>
                  <w:pPr>
                    <w:spacing w:line="320" w:lineRule="exact"/>
                    <w:jc w:val="center"/>
                    <w:rPr>
                      <w:rFonts w:eastAsia="宋体"/>
                      <w:color w:val="auto"/>
                      <w:szCs w:val="21"/>
                    </w:rPr>
                  </w:pPr>
                  <w:r>
                    <w:rPr>
                      <w:rFonts w:eastAsia="宋体"/>
                      <w:color w:val="auto"/>
                      <w:szCs w:val="21"/>
                    </w:rPr>
                    <w:t>dB(</w:t>
                  </w:r>
                  <w:r>
                    <w:rPr>
                      <w:rFonts w:hint="eastAsia" w:eastAsia="宋体"/>
                      <w:color w:val="auto"/>
                      <w:szCs w:val="21"/>
                    </w:rPr>
                    <w:t>A</w:t>
                  </w:r>
                  <w:r>
                    <w:rPr>
                      <w:rFonts w:eastAsia="宋体"/>
                      <w:color w:val="auto"/>
                      <w:szCs w:val="21"/>
                    </w:rPr>
                    <w:t>)</w:t>
                  </w:r>
                </w:p>
              </w:tc>
              <w:tc>
                <w:tcPr>
                  <w:tcW w:w="1041" w:type="dxa"/>
                  <w:tcBorders>
                    <w:tl2br w:val="nil"/>
                    <w:tr2bl w:val="nil"/>
                  </w:tcBorders>
                  <w:noWrap/>
                  <w:vAlign w:val="center"/>
                </w:tcPr>
                <w:p>
                  <w:pPr>
                    <w:spacing w:line="320" w:lineRule="exact"/>
                    <w:jc w:val="center"/>
                    <w:rPr>
                      <w:rFonts w:eastAsia="宋体"/>
                      <w:color w:val="auto"/>
                      <w:szCs w:val="21"/>
                    </w:rPr>
                  </w:pPr>
                  <w:r>
                    <w:rPr>
                      <w:rFonts w:eastAsia="宋体"/>
                      <w:color w:val="auto"/>
                      <w:szCs w:val="21"/>
                    </w:rPr>
                    <w:t>6</w:t>
                  </w:r>
                  <w:r>
                    <w:rPr>
                      <w:rFonts w:hint="eastAsia" w:eastAsia="宋体"/>
                      <w:color w:val="auto"/>
                      <w:szCs w:val="21"/>
                    </w:rPr>
                    <w:t>5</w:t>
                  </w:r>
                </w:p>
              </w:tc>
              <w:tc>
                <w:tcPr>
                  <w:tcW w:w="1040" w:type="dxa"/>
                  <w:tcBorders>
                    <w:tl2br w:val="nil"/>
                    <w:tr2bl w:val="nil"/>
                  </w:tcBorders>
                  <w:noWrap/>
                  <w:vAlign w:val="center"/>
                </w:tcPr>
                <w:p>
                  <w:pPr>
                    <w:spacing w:line="320" w:lineRule="exact"/>
                    <w:jc w:val="center"/>
                    <w:rPr>
                      <w:rFonts w:eastAsia="宋体"/>
                      <w:color w:val="auto"/>
                      <w:szCs w:val="21"/>
                    </w:rPr>
                  </w:pPr>
                  <w:r>
                    <w:rPr>
                      <w:rFonts w:eastAsia="宋体"/>
                      <w:color w:val="auto"/>
                      <w:szCs w:val="21"/>
                    </w:rPr>
                    <w:t>5</w:t>
                  </w:r>
                  <w:r>
                    <w:rPr>
                      <w:rFonts w:hint="eastAsia" w:eastAsia="宋体"/>
                      <w:color w:val="auto"/>
                      <w:szCs w:val="21"/>
                    </w:rPr>
                    <w:t>5</w:t>
                  </w:r>
                </w:p>
              </w:tc>
            </w:tr>
          </w:tbl>
          <w:p>
            <w:pPr>
              <w:spacing w:before="187" w:line="360" w:lineRule="auto"/>
              <w:rPr>
                <w:rFonts w:ascii="宋体" w:hAnsi="宋体" w:eastAsia="宋体"/>
                <w:b/>
                <w:bCs/>
                <w:color w:val="auto"/>
                <w:kern w:val="0"/>
                <w:szCs w:val="21"/>
              </w:rPr>
            </w:pPr>
            <w:r>
              <w:rPr>
                <w:rFonts w:ascii="Times New Roman" w:hAnsi="Times New Roman" w:eastAsia="Times New Roman"/>
                <w:b/>
                <w:bCs/>
                <w:color w:val="auto"/>
                <w:kern w:val="0"/>
                <w:szCs w:val="21"/>
              </w:rPr>
              <w:t>4、</w:t>
            </w:r>
            <w:r>
              <w:rPr>
                <w:rFonts w:ascii="宋体" w:hAnsi="宋体" w:eastAsia="宋体"/>
                <w:b/>
                <w:bCs/>
                <w:color w:val="auto"/>
                <w:kern w:val="0"/>
                <w:szCs w:val="21"/>
              </w:rPr>
              <w:t>固体废弃物</w:t>
            </w:r>
          </w:p>
          <w:p>
            <w:pPr>
              <w:snapToGrid w:val="0"/>
              <w:spacing w:line="360" w:lineRule="auto"/>
              <w:ind w:firstLine="468" w:firstLineChars="200"/>
              <w:rPr>
                <w:rFonts w:ascii="宋体" w:hAnsi="宋体" w:eastAsia="宋体"/>
                <w:color w:val="auto"/>
                <w:szCs w:val="21"/>
              </w:rPr>
            </w:pPr>
            <w:r>
              <w:rPr>
                <w:rFonts w:hint="eastAsia" w:ascii="宋体" w:hAnsi="宋体" w:eastAsia="宋体"/>
                <w:color w:val="auto"/>
                <w:spacing w:val="-3"/>
                <w:sz w:val="24"/>
                <w:szCs w:val="24"/>
                <w:u w:val="single"/>
              </w:rPr>
              <w:t>生活垃圾委托环卫部门处理，一般工业固体废物执行《一般工业固体废物贮存和填埋污染控制标准》（GB18599-2020）（2021年7月1日起实施）中的有关规定</w:t>
            </w:r>
            <w:r>
              <w:rPr>
                <w:rFonts w:ascii="宋体" w:hAnsi="宋体" w:eastAsia="宋体"/>
                <w:color w:val="auto"/>
                <w:spacing w:val="-3"/>
                <w:sz w:val="24"/>
                <w:szCs w:val="24"/>
              </w:rPr>
              <w:t>；</w:t>
            </w:r>
            <w:r>
              <w:rPr>
                <w:rFonts w:hint="eastAsia" w:ascii="宋体" w:hAnsi="宋体" w:eastAsia="宋体"/>
                <w:color w:val="auto"/>
                <w:spacing w:val="-3"/>
                <w:sz w:val="24"/>
                <w:szCs w:val="24"/>
              </w:rPr>
              <w:t>危险废物参照执行《危险废物贮存污染控制标准》（GB18597-2001）及2013年修改单</w:t>
            </w:r>
            <w:r>
              <w:rPr>
                <w:rFonts w:ascii="宋体" w:hAnsi="宋体" w:eastAsia="宋体"/>
                <w:color w:val="auto"/>
                <w:spacing w:val="-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6" w:hRule="atLeast"/>
        </w:trPr>
        <w:tc>
          <w:tcPr>
            <w:tcW w:w="57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kern w:val="0"/>
                <w:szCs w:val="21"/>
              </w:rPr>
            </w:pPr>
            <w:r>
              <w:rPr>
                <w:rFonts w:ascii="宋体" w:hAnsi="宋体" w:eastAsia="宋体"/>
                <w:color w:val="auto"/>
                <w:kern w:val="0"/>
                <w:szCs w:val="21"/>
              </w:rPr>
              <w:t>总量</w:t>
            </w:r>
          </w:p>
          <w:p>
            <w:pPr>
              <w:spacing w:line="360" w:lineRule="auto"/>
              <w:jc w:val="center"/>
              <w:rPr>
                <w:rFonts w:ascii="宋体" w:hAnsi="宋体" w:eastAsia="宋体"/>
                <w:color w:val="auto"/>
                <w:kern w:val="0"/>
                <w:szCs w:val="21"/>
              </w:rPr>
            </w:pPr>
            <w:r>
              <w:rPr>
                <w:rFonts w:ascii="宋体" w:hAnsi="宋体" w:eastAsia="宋体"/>
                <w:color w:val="auto"/>
                <w:kern w:val="0"/>
                <w:szCs w:val="21"/>
              </w:rPr>
              <w:t>控制</w:t>
            </w:r>
          </w:p>
          <w:p>
            <w:pPr>
              <w:spacing w:line="360" w:lineRule="auto"/>
              <w:jc w:val="center"/>
              <w:rPr>
                <w:rFonts w:ascii="宋体" w:hAnsi="宋体" w:eastAsia="宋体"/>
                <w:color w:val="auto"/>
                <w:kern w:val="0"/>
                <w:szCs w:val="21"/>
              </w:rPr>
            </w:pPr>
            <w:r>
              <w:rPr>
                <w:rFonts w:ascii="宋体" w:hAnsi="宋体" w:eastAsia="宋体"/>
                <w:color w:val="auto"/>
                <w:kern w:val="0"/>
                <w:szCs w:val="21"/>
              </w:rPr>
              <w:t>指标</w:t>
            </w:r>
          </w:p>
        </w:tc>
        <w:tc>
          <w:tcPr>
            <w:tcW w:w="840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项目生活污水产生量为278.4m</w:t>
            </w:r>
            <w:r>
              <w:rPr>
                <w:rFonts w:ascii="宋体" w:hAnsi="宋体" w:eastAsia="宋体"/>
                <w:color w:val="auto"/>
                <w:spacing w:val="-3"/>
                <w:sz w:val="24"/>
                <w:szCs w:val="24"/>
                <w:vertAlign w:val="superscript"/>
              </w:rPr>
              <w:t>3</w:t>
            </w:r>
            <w:r>
              <w:rPr>
                <w:rFonts w:ascii="宋体" w:hAnsi="宋体" w:eastAsia="宋体"/>
                <w:color w:val="auto"/>
                <w:spacing w:val="-3"/>
                <w:sz w:val="24"/>
                <w:szCs w:val="24"/>
              </w:rPr>
              <w:t>/a，经处理达标后污染物排放量总量为COD：0.0083t/a、NH3-N：0.00083t/a，排入津市工业污水处理厂进一步处理，经污水处理厂处理后污染物排放量为COD：0.0</w:t>
            </w:r>
            <w:r>
              <w:rPr>
                <w:rFonts w:hint="eastAsia" w:ascii="宋体" w:hAnsi="宋体" w:eastAsia="宋体"/>
                <w:color w:val="auto"/>
                <w:spacing w:val="-3"/>
                <w:sz w:val="24"/>
                <w:szCs w:val="24"/>
              </w:rPr>
              <w:t>0</w:t>
            </w:r>
            <w:r>
              <w:rPr>
                <w:rFonts w:ascii="宋体" w:hAnsi="宋体" w:eastAsia="宋体"/>
                <w:color w:val="auto"/>
                <w:spacing w:val="-3"/>
                <w:sz w:val="24"/>
                <w:szCs w:val="24"/>
              </w:rPr>
              <w:t>5t/a、NH</w:t>
            </w:r>
            <w:r>
              <w:rPr>
                <w:rFonts w:ascii="宋体" w:hAnsi="宋体" w:eastAsia="宋体"/>
                <w:color w:val="auto"/>
                <w:spacing w:val="-3"/>
                <w:sz w:val="24"/>
                <w:szCs w:val="24"/>
                <w:vertAlign w:val="subscript"/>
              </w:rPr>
              <w:t>3</w:t>
            </w:r>
            <w:r>
              <w:rPr>
                <w:rFonts w:ascii="宋体" w:hAnsi="宋体" w:eastAsia="宋体"/>
                <w:color w:val="auto"/>
                <w:spacing w:val="-3"/>
                <w:sz w:val="24"/>
                <w:szCs w:val="24"/>
              </w:rPr>
              <w:t>-N：0.0</w:t>
            </w:r>
            <w:r>
              <w:rPr>
                <w:rFonts w:hint="eastAsia" w:ascii="宋体" w:hAnsi="宋体" w:eastAsia="宋体"/>
                <w:color w:val="auto"/>
                <w:spacing w:val="-3"/>
                <w:sz w:val="24"/>
                <w:szCs w:val="24"/>
              </w:rPr>
              <w:t>002</w:t>
            </w:r>
            <w:r>
              <w:rPr>
                <w:rFonts w:ascii="宋体" w:hAnsi="宋体" w:eastAsia="宋体"/>
                <w:color w:val="auto"/>
                <w:spacing w:val="-3"/>
                <w:sz w:val="24"/>
                <w:szCs w:val="24"/>
              </w:rPr>
              <w:t>t/a。</w:t>
            </w:r>
          </w:p>
          <w:p>
            <w:pPr>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因此建议总量控制指标为：</w:t>
            </w:r>
          </w:p>
          <w:p>
            <w:pPr>
              <w:snapToGrid w:val="0"/>
              <w:spacing w:line="360" w:lineRule="auto"/>
              <w:ind w:firstLine="468" w:firstLineChars="200"/>
              <w:rPr>
                <w:rFonts w:ascii="宋体" w:hAnsi="宋体" w:eastAsia="宋体"/>
                <w:color w:val="auto"/>
                <w:spacing w:val="-3"/>
                <w:sz w:val="24"/>
                <w:szCs w:val="24"/>
              </w:rPr>
            </w:pPr>
            <w:r>
              <w:rPr>
                <w:rFonts w:ascii="宋体" w:hAnsi="宋体" w:eastAsia="宋体"/>
                <w:color w:val="auto"/>
                <w:spacing w:val="-3"/>
                <w:sz w:val="24"/>
                <w:szCs w:val="24"/>
              </w:rPr>
              <w:t>终排COD：0.0</w:t>
            </w:r>
            <w:r>
              <w:rPr>
                <w:rFonts w:hint="eastAsia" w:ascii="宋体" w:hAnsi="宋体" w:eastAsia="宋体"/>
                <w:color w:val="auto"/>
                <w:spacing w:val="-3"/>
                <w:sz w:val="24"/>
                <w:szCs w:val="24"/>
              </w:rPr>
              <w:t>0</w:t>
            </w:r>
            <w:r>
              <w:rPr>
                <w:rFonts w:ascii="宋体" w:hAnsi="宋体" w:eastAsia="宋体"/>
                <w:color w:val="auto"/>
                <w:spacing w:val="-3"/>
                <w:sz w:val="24"/>
                <w:szCs w:val="24"/>
              </w:rPr>
              <w:t>5t/a、NH</w:t>
            </w:r>
            <w:r>
              <w:rPr>
                <w:rFonts w:ascii="宋体" w:hAnsi="宋体" w:eastAsia="宋体"/>
                <w:color w:val="auto"/>
                <w:spacing w:val="-3"/>
                <w:sz w:val="24"/>
                <w:szCs w:val="24"/>
                <w:vertAlign w:val="subscript"/>
              </w:rPr>
              <w:t>3</w:t>
            </w:r>
            <w:r>
              <w:rPr>
                <w:rFonts w:ascii="宋体" w:hAnsi="宋体" w:eastAsia="宋体"/>
                <w:color w:val="auto"/>
                <w:spacing w:val="-3"/>
                <w:sz w:val="24"/>
                <w:szCs w:val="24"/>
              </w:rPr>
              <w:t>-N：0.</w:t>
            </w:r>
            <w:r>
              <w:rPr>
                <w:rFonts w:hint="eastAsia" w:ascii="宋体" w:hAnsi="宋体" w:eastAsia="宋体"/>
                <w:color w:val="auto"/>
                <w:spacing w:val="-3"/>
                <w:sz w:val="24"/>
                <w:szCs w:val="24"/>
              </w:rPr>
              <w:t>0</w:t>
            </w:r>
            <w:r>
              <w:rPr>
                <w:rFonts w:ascii="宋体" w:hAnsi="宋体" w:eastAsia="宋体"/>
                <w:color w:val="auto"/>
                <w:spacing w:val="-3"/>
                <w:sz w:val="24"/>
                <w:szCs w:val="24"/>
              </w:rPr>
              <w:t>0</w:t>
            </w:r>
            <w:r>
              <w:rPr>
                <w:rFonts w:hint="eastAsia" w:ascii="宋体" w:hAnsi="宋体" w:eastAsia="宋体"/>
                <w:color w:val="auto"/>
                <w:spacing w:val="-3"/>
                <w:sz w:val="24"/>
                <w:szCs w:val="24"/>
              </w:rPr>
              <w:t>02</w:t>
            </w:r>
            <w:r>
              <w:rPr>
                <w:rFonts w:ascii="宋体" w:hAnsi="宋体" w:eastAsia="宋体"/>
                <w:color w:val="auto"/>
                <w:spacing w:val="-3"/>
                <w:sz w:val="24"/>
                <w:szCs w:val="24"/>
              </w:rPr>
              <w:t>t/a。</w:t>
            </w:r>
          </w:p>
          <w:p>
            <w:pPr>
              <w:snapToGrid w:val="0"/>
              <w:spacing w:line="360" w:lineRule="auto"/>
              <w:ind w:firstLine="468" w:firstLineChars="200"/>
              <w:rPr>
                <w:rFonts w:hint="eastAsia" w:ascii="宋体" w:hAnsi="宋体" w:eastAsia="宋体"/>
                <w:color w:val="auto"/>
                <w:spacing w:val="-3"/>
                <w:sz w:val="24"/>
                <w:szCs w:val="24"/>
                <w:lang w:eastAsia="zh-CN"/>
              </w:rPr>
            </w:pPr>
            <w:r>
              <w:rPr>
                <w:rFonts w:ascii="宋体" w:hAnsi="宋体" w:eastAsia="宋体"/>
                <w:color w:val="auto"/>
                <w:spacing w:val="-3"/>
                <w:sz w:val="24"/>
                <w:szCs w:val="24"/>
              </w:rPr>
              <w:t>挥发性有机物：总量控制指标为</w:t>
            </w:r>
            <w:r>
              <w:rPr>
                <w:rFonts w:hint="eastAsia" w:ascii="宋体" w:hAnsi="宋体" w:eastAsia="宋体"/>
                <w:color w:val="auto"/>
                <w:spacing w:val="-3"/>
                <w:sz w:val="24"/>
                <w:szCs w:val="24"/>
                <w:lang w:eastAsia="zh-CN"/>
              </w:rPr>
              <w:t>0.4376</w:t>
            </w:r>
            <w:r>
              <w:rPr>
                <w:rFonts w:ascii="宋体" w:hAnsi="宋体" w:eastAsia="宋体"/>
                <w:color w:val="auto"/>
                <w:spacing w:val="-3"/>
                <w:sz w:val="24"/>
                <w:szCs w:val="24"/>
              </w:rPr>
              <w:t>t/a（包括有组织</w:t>
            </w:r>
            <w:r>
              <w:rPr>
                <w:rFonts w:hint="eastAsia" w:ascii="宋体" w:hAnsi="宋体" w:eastAsia="宋体"/>
                <w:color w:val="auto"/>
                <w:spacing w:val="-3"/>
                <w:sz w:val="24"/>
                <w:szCs w:val="24"/>
                <w:lang w:val="en-US" w:eastAsia="zh-CN"/>
              </w:rPr>
              <w:t>0.2126</w:t>
            </w:r>
            <w:r>
              <w:rPr>
                <w:rFonts w:ascii="宋体" w:hAnsi="宋体" w:eastAsia="宋体"/>
                <w:color w:val="auto"/>
                <w:spacing w:val="-3"/>
                <w:sz w:val="24"/>
                <w:szCs w:val="24"/>
              </w:rPr>
              <w:t>t/a和无组织排放的</w:t>
            </w:r>
            <w:r>
              <w:rPr>
                <w:rFonts w:hint="eastAsia" w:ascii="宋体" w:hAnsi="宋体" w:eastAsia="宋体"/>
                <w:color w:val="auto"/>
                <w:spacing w:val="-3"/>
                <w:sz w:val="24"/>
                <w:szCs w:val="24"/>
                <w:lang w:val="en-US" w:eastAsia="zh-CN"/>
              </w:rPr>
              <w:t>0.225</w:t>
            </w:r>
            <w:r>
              <w:rPr>
                <w:rFonts w:ascii="宋体" w:hAnsi="宋体" w:eastAsia="宋体"/>
                <w:color w:val="auto"/>
                <w:spacing w:val="-3"/>
                <w:sz w:val="24"/>
                <w:szCs w:val="24"/>
              </w:rPr>
              <w:t>t/a）</w:t>
            </w:r>
            <w:r>
              <w:rPr>
                <w:rFonts w:hint="eastAsia" w:ascii="宋体" w:hAnsi="宋体" w:eastAsia="宋体"/>
                <w:color w:val="auto"/>
                <w:spacing w:val="-3"/>
                <w:sz w:val="24"/>
                <w:szCs w:val="24"/>
                <w:lang w:eastAsia="zh-CN"/>
              </w:rPr>
              <w:t>。</w:t>
            </w:r>
          </w:p>
          <w:p>
            <w:pPr>
              <w:snapToGrid w:val="0"/>
              <w:spacing w:line="360" w:lineRule="auto"/>
              <w:ind w:firstLine="468" w:firstLineChars="200"/>
              <w:rPr>
                <w:rFonts w:hint="default" w:ascii="宋体" w:hAnsi="宋体" w:eastAsia="宋体"/>
                <w:color w:val="auto"/>
                <w:szCs w:val="21"/>
                <w:lang w:val="en-US" w:eastAsia="zh-CN"/>
              </w:rPr>
            </w:pPr>
            <w:r>
              <w:rPr>
                <w:rFonts w:hint="eastAsia" w:ascii="宋体" w:hAnsi="宋体" w:eastAsia="宋体"/>
                <w:color w:val="auto"/>
                <w:spacing w:val="-3"/>
                <w:sz w:val="24"/>
                <w:szCs w:val="24"/>
                <w:u w:val="single"/>
                <w:lang w:eastAsia="zh-CN"/>
              </w:rPr>
              <w:t>根据《湖南省VOCs污染防治三年实施方案》，本项目所在区域为达标区，排放的挥发性有机物需实行区域内VOCs排放等量替代。</w:t>
            </w:r>
          </w:p>
        </w:tc>
      </w:tr>
    </w:tbl>
    <w:p>
      <w:pPr>
        <w:rPr>
          <w:rFonts w:ascii="黑体" w:hAnsi="黑体" w:eastAsia="黑体"/>
          <w:color w:val="000000"/>
          <w:sz w:val="30"/>
          <w:szCs w:val="30"/>
        </w:rPr>
      </w:pPr>
      <w:r>
        <w:rPr>
          <w:rFonts w:ascii="黑体" w:hAnsi="黑体" w:eastAsia="黑体"/>
          <w:color w:val="000000"/>
          <w:sz w:val="30"/>
          <w:szCs w:val="30"/>
        </w:rPr>
        <w:br w:type="page"/>
      </w:r>
    </w:p>
    <w:p>
      <w:pPr>
        <w:pStyle w:val="15"/>
        <w:spacing w:line="360" w:lineRule="auto"/>
        <w:ind w:firstLine="600" w:firstLineChars="200"/>
        <w:jc w:val="center"/>
        <w:outlineLvl w:val="0"/>
        <w:rPr>
          <w:rFonts w:hint="eastAsia" w:ascii="黑体" w:hAnsi="黑体" w:eastAsia="黑体" w:cs="Times New Roman"/>
          <w:snapToGrid w:val="0"/>
          <w:sz w:val="30"/>
          <w:szCs w:val="30"/>
          <w:lang w:val="en-US" w:eastAsia="zh-CN"/>
        </w:rPr>
      </w:pPr>
      <w:r>
        <w:rPr>
          <w:rFonts w:hint="eastAsia" w:ascii="黑体" w:hAnsi="黑体" w:eastAsia="黑体" w:cs="Times New Roman"/>
          <w:snapToGrid w:val="0"/>
          <w:sz w:val="30"/>
          <w:szCs w:val="30"/>
          <w:lang w:val="en-US" w:eastAsia="zh-CN"/>
        </w:rPr>
        <w:t>四、主要环境影响和保护措施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75"/>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5" w:hRule="atLeast"/>
        </w:trPr>
        <w:tc>
          <w:tcPr>
            <w:tcW w:w="87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olor w:val="auto"/>
                <w:szCs w:val="21"/>
              </w:rPr>
            </w:pPr>
            <w:r>
              <w:rPr>
                <w:rFonts w:ascii="宋体" w:hAnsi="宋体" w:eastAsia="宋体"/>
                <w:color w:val="auto"/>
                <w:szCs w:val="21"/>
              </w:rPr>
              <w:t>施工期环境保护措施</w:t>
            </w:r>
          </w:p>
        </w:tc>
        <w:tc>
          <w:tcPr>
            <w:tcW w:w="8020"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480" w:firstLineChars="200"/>
              <w:rPr>
                <w:color w:val="auto"/>
              </w:rPr>
            </w:pPr>
            <w:r>
              <w:rPr>
                <w:rFonts w:hint="eastAsia" w:ascii="宋体" w:hAnsi="宋体" w:eastAsia="宋体"/>
                <w:color w:val="auto"/>
                <w:sz w:val="24"/>
                <w:szCs w:val="24"/>
              </w:rPr>
              <w:t>本项目无需再新建厂房，本项目施工主要是进行设备安装，主要影响来自设备安装噪声和安装所产生的固废。设备安装主要是噪声，设备安装阶段噪声源主要是施工机械和电气设备等产生的噪声，这些噪声源为间歇性噪声源，</w:t>
            </w:r>
            <w:r>
              <w:rPr>
                <w:rFonts w:hint="eastAsia" w:ascii="宋体" w:hAnsi="宋体" w:eastAsia="宋体"/>
                <w:color w:val="auto"/>
                <w:sz w:val="24"/>
                <w:szCs w:val="24"/>
                <w:lang w:val="en-US" w:eastAsia="zh-CN"/>
              </w:rPr>
              <w:t>项目施工期位于厂房内部，噪声</w:t>
            </w:r>
            <w:r>
              <w:rPr>
                <w:rFonts w:hint="eastAsia" w:ascii="宋体" w:hAnsi="宋体" w:eastAsia="宋体"/>
                <w:color w:val="auto"/>
                <w:sz w:val="24"/>
                <w:szCs w:val="24"/>
              </w:rPr>
              <w:t>经厂房隔声后对外环境影响较小。且施工期影响是短期的、暂时的。一旦施工活动结束，施工噪声也随之结束；安装固废主要为切割钢材废料等，</w:t>
            </w:r>
            <w:r>
              <w:rPr>
                <w:rFonts w:hint="eastAsia" w:ascii="宋体" w:hAnsi="宋体" w:eastAsia="宋体"/>
                <w:color w:val="auto"/>
                <w:sz w:val="24"/>
                <w:szCs w:val="24"/>
                <w:lang w:val="en-US" w:eastAsia="zh-CN"/>
              </w:rPr>
              <w:t>企业在厂房一角设置临时固废间，</w:t>
            </w:r>
            <w:r>
              <w:rPr>
                <w:rFonts w:hint="eastAsia" w:ascii="宋体" w:hAnsi="宋体" w:eastAsia="宋体"/>
                <w:color w:val="auto"/>
                <w:sz w:val="24"/>
                <w:szCs w:val="24"/>
              </w:rPr>
              <w:t>安装完成后由安装厂家统一进行回收，对环境影响不大</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因此，项目施工期噪声和固废都能得到有效处置</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8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运营</w:t>
            </w:r>
          </w:p>
          <w:p>
            <w:pPr>
              <w:spacing w:line="360" w:lineRule="auto"/>
              <w:jc w:val="center"/>
              <w:rPr>
                <w:rFonts w:ascii="宋体" w:hAnsi="宋体" w:eastAsia="宋体"/>
                <w:color w:val="auto"/>
                <w:szCs w:val="21"/>
              </w:rPr>
            </w:pPr>
            <w:r>
              <w:rPr>
                <w:rFonts w:ascii="宋体" w:hAnsi="宋体" w:eastAsia="宋体"/>
                <w:color w:val="auto"/>
                <w:szCs w:val="21"/>
              </w:rPr>
              <w:t>期环</w:t>
            </w:r>
          </w:p>
          <w:p>
            <w:pPr>
              <w:spacing w:line="360" w:lineRule="auto"/>
              <w:jc w:val="center"/>
              <w:rPr>
                <w:rFonts w:ascii="宋体" w:hAnsi="宋体" w:eastAsia="宋体"/>
                <w:color w:val="auto"/>
                <w:szCs w:val="21"/>
              </w:rPr>
            </w:pPr>
            <w:r>
              <w:rPr>
                <w:rFonts w:ascii="宋体" w:hAnsi="宋体" w:eastAsia="宋体"/>
                <w:color w:val="auto"/>
                <w:szCs w:val="21"/>
              </w:rPr>
              <w:t>境影</w:t>
            </w:r>
          </w:p>
          <w:p>
            <w:pPr>
              <w:spacing w:line="360" w:lineRule="auto"/>
              <w:jc w:val="center"/>
              <w:rPr>
                <w:rFonts w:ascii="宋体" w:hAnsi="宋体" w:eastAsia="宋体"/>
                <w:color w:val="auto"/>
                <w:szCs w:val="21"/>
              </w:rPr>
            </w:pPr>
            <w:r>
              <w:rPr>
                <w:rFonts w:ascii="宋体" w:hAnsi="宋体" w:eastAsia="宋体"/>
                <w:color w:val="auto"/>
                <w:szCs w:val="21"/>
              </w:rPr>
              <w:t>响和</w:t>
            </w:r>
          </w:p>
          <w:p>
            <w:pPr>
              <w:spacing w:line="360" w:lineRule="auto"/>
              <w:jc w:val="center"/>
              <w:rPr>
                <w:rFonts w:ascii="宋体" w:hAnsi="宋体" w:eastAsia="宋体"/>
                <w:color w:val="auto"/>
                <w:szCs w:val="21"/>
              </w:rPr>
            </w:pPr>
            <w:r>
              <w:rPr>
                <w:rFonts w:ascii="宋体" w:hAnsi="宋体" w:eastAsia="宋体"/>
                <w:color w:val="auto"/>
                <w:szCs w:val="21"/>
              </w:rPr>
              <w:t>保护</w:t>
            </w:r>
          </w:p>
          <w:p>
            <w:pPr>
              <w:spacing w:line="360" w:lineRule="auto"/>
              <w:jc w:val="center"/>
              <w:rPr>
                <w:rFonts w:ascii="宋体" w:hAnsi="宋体" w:eastAsia="宋体"/>
                <w:color w:val="auto"/>
                <w:szCs w:val="21"/>
              </w:rPr>
            </w:pPr>
            <w:r>
              <w:rPr>
                <w:rFonts w:ascii="宋体" w:hAnsi="宋体" w:eastAsia="宋体"/>
                <w:color w:val="auto"/>
                <w:szCs w:val="21"/>
              </w:rPr>
              <w:t>措施</w:t>
            </w:r>
          </w:p>
        </w:tc>
        <w:tc>
          <w:tcPr>
            <w:tcW w:w="802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1、废气</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项目废气主要为熔融、发泡、挤塑工序产生的非甲烷总烃</w:t>
            </w:r>
            <w:r>
              <w:rPr>
                <w:rFonts w:hint="eastAsia" w:ascii="宋体" w:hAnsi="宋体" w:eastAsia="宋体"/>
                <w:color w:val="auto"/>
                <w:sz w:val="24"/>
                <w:szCs w:val="24"/>
                <w:lang w:val="en-US" w:eastAsia="zh-CN"/>
              </w:rPr>
              <w:t>；</w:t>
            </w:r>
            <w:r>
              <w:rPr>
                <w:rFonts w:hint="eastAsia" w:ascii="宋体" w:hAnsi="宋体" w:eastAsia="宋体"/>
                <w:color w:val="auto"/>
                <w:sz w:val="24"/>
                <w:szCs w:val="24"/>
              </w:rPr>
              <w:t>破碎工序产生的粉尘以及切割工序产生的粉尘及食堂油烟</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项目生产线已进行了全封闭，</w:t>
            </w:r>
            <w:r>
              <w:rPr>
                <w:rFonts w:hint="eastAsia" w:ascii="宋体" w:hAnsi="宋体" w:eastAsia="宋体"/>
                <w:color w:val="auto"/>
                <w:sz w:val="24"/>
                <w:szCs w:val="24"/>
              </w:rPr>
              <w:t>破碎工序产生的粉尘以及切割工序产生的粉尘</w:t>
            </w:r>
            <w:r>
              <w:rPr>
                <w:rFonts w:hint="eastAsia" w:ascii="宋体" w:hAnsi="宋体" w:eastAsia="宋体"/>
                <w:color w:val="auto"/>
                <w:sz w:val="24"/>
                <w:szCs w:val="24"/>
                <w:lang w:val="en-US" w:eastAsia="zh-CN"/>
              </w:rPr>
              <w:t>先经过一套布袋除尘器处理后，然后与</w:t>
            </w:r>
            <w:r>
              <w:rPr>
                <w:rFonts w:hint="eastAsia" w:ascii="宋体" w:hAnsi="宋体" w:eastAsia="宋体"/>
                <w:color w:val="auto"/>
                <w:sz w:val="24"/>
                <w:szCs w:val="24"/>
              </w:rPr>
              <w:t>熔融、发泡、挤塑工序产生的非甲烷总烃</w:t>
            </w:r>
            <w:r>
              <w:rPr>
                <w:rFonts w:hint="eastAsia" w:ascii="宋体" w:hAnsi="宋体" w:eastAsia="宋体"/>
                <w:color w:val="auto"/>
                <w:sz w:val="24"/>
                <w:szCs w:val="24"/>
                <w:lang w:val="en-US" w:eastAsia="zh-CN"/>
              </w:rPr>
              <w:t>经生产线负压集气收集后通过水淋塔喷淋后，再经过</w:t>
            </w:r>
            <w:r>
              <w:rPr>
                <w:rFonts w:hAnsi="宋体" w:eastAsia="宋体"/>
                <w:color w:val="auto"/>
                <w:sz w:val="24"/>
                <w:szCs w:val="24"/>
              </w:rPr>
              <w:t>一套</w:t>
            </w:r>
            <w:r>
              <w:rPr>
                <w:rFonts w:eastAsia="宋体"/>
                <w:color w:val="auto"/>
                <w:sz w:val="24"/>
                <w:szCs w:val="24"/>
              </w:rPr>
              <w:t>“</w:t>
            </w:r>
            <w:r>
              <w:rPr>
                <w:rFonts w:hint="eastAsia" w:hAnsi="宋体" w:eastAsia="宋体"/>
                <w:color w:val="auto"/>
                <w:sz w:val="24"/>
                <w:szCs w:val="24"/>
              </w:rPr>
              <w:t>UV光氧催化+活性炭吸附</w:t>
            </w:r>
            <w:r>
              <w:rPr>
                <w:rFonts w:eastAsia="宋体"/>
                <w:color w:val="auto"/>
                <w:sz w:val="24"/>
                <w:szCs w:val="24"/>
              </w:rPr>
              <w:t>”</w:t>
            </w:r>
            <w:r>
              <w:rPr>
                <w:rFonts w:hAnsi="宋体" w:eastAsia="宋体"/>
                <w:color w:val="auto"/>
                <w:sz w:val="24"/>
                <w:szCs w:val="24"/>
              </w:rPr>
              <w:t>装置处理后，</w:t>
            </w:r>
            <w:r>
              <w:rPr>
                <w:rFonts w:hint="eastAsia" w:hAnsi="宋体" w:eastAsia="宋体"/>
                <w:color w:val="auto"/>
                <w:sz w:val="24"/>
                <w:szCs w:val="24"/>
                <w:lang w:val="en-US" w:eastAsia="zh-CN"/>
              </w:rPr>
              <w:t>通过一根</w:t>
            </w:r>
            <w:r>
              <w:rPr>
                <w:rFonts w:eastAsia="宋体"/>
                <w:color w:val="auto"/>
                <w:sz w:val="24"/>
                <w:szCs w:val="24"/>
              </w:rPr>
              <w:t>15</w:t>
            </w:r>
            <w:r>
              <w:rPr>
                <w:rFonts w:hAnsi="宋体" w:eastAsia="宋体"/>
                <w:color w:val="auto"/>
                <w:sz w:val="24"/>
                <w:szCs w:val="24"/>
              </w:rPr>
              <w:t>米高排气筒（</w:t>
            </w:r>
            <w:r>
              <w:rPr>
                <w:rFonts w:eastAsia="宋体"/>
                <w:color w:val="auto"/>
                <w:sz w:val="24"/>
                <w:szCs w:val="24"/>
              </w:rPr>
              <w:t>DA00</w:t>
            </w:r>
            <w:r>
              <w:rPr>
                <w:rFonts w:hint="eastAsia" w:eastAsia="宋体"/>
                <w:color w:val="auto"/>
                <w:sz w:val="24"/>
                <w:szCs w:val="24"/>
              </w:rPr>
              <w:t>1</w:t>
            </w:r>
            <w:r>
              <w:rPr>
                <w:rFonts w:hAnsi="宋体" w:eastAsia="宋体"/>
                <w:color w:val="auto"/>
                <w:sz w:val="24"/>
                <w:szCs w:val="24"/>
              </w:rPr>
              <w:t>）排放</w:t>
            </w:r>
            <w:r>
              <w:rPr>
                <w:rFonts w:ascii="宋体" w:hAnsi="宋体" w:eastAsia="宋体"/>
                <w:color w:val="auto"/>
                <w:szCs w:val="21"/>
              </w:rPr>
              <w:t>。</w:t>
            </w:r>
          </w:p>
          <w:p>
            <w:pPr>
              <w:spacing w:line="360" w:lineRule="auto"/>
              <w:rPr>
                <w:rFonts w:ascii="Times New Roman" w:hAnsi="Times New Roman" w:eastAsia="Times New Roman"/>
                <w:b/>
                <w:bCs/>
                <w:color w:val="auto"/>
                <w:szCs w:val="21"/>
              </w:rPr>
            </w:pPr>
            <w:r>
              <w:rPr>
                <w:rFonts w:hint="eastAsia" w:ascii="Times New Roman" w:hAnsi="Times New Roman" w:eastAsia="宋体"/>
                <w:b/>
                <w:bCs/>
                <w:color w:val="auto"/>
                <w:szCs w:val="21"/>
                <w:lang w:val="en-US" w:eastAsia="zh-CN"/>
              </w:rPr>
              <w:t>1</w:t>
            </w:r>
            <w:r>
              <w:rPr>
                <w:rFonts w:ascii="Times New Roman" w:hAnsi="Times New Roman" w:eastAsia="Times New Roman"/>
                <w:b/>
                <w:bCs/>
                <w:color w:val="auto"/>
                <w:szCs w:val="21"/>
              </w:rPr>
              <w:t>）</w:t>
            </w:r>
            <w:r>
              <w:rPr>
                <w:rFonts w:hint="eastAsia" w:ascii="Times New Roman" w:hAnsi="Times New Roman" w:eastAsia="Times New Roman"/>
                <w:b/>
                <w:bCs/>
                <w:color w:val="auto"/>
                <w:szCs w:val="21"/>
              </w:rPr>
              <w:t>切割</w:t>
            </w:r>
            <w:r>
              <w:rPr>
                <w:rFonts w:hint="eastAsia" w:ascii="Times New Roman" w:hAnsi="Times New Roman" w:eastAsia="宋体"/>
                <w:b/>
                <w:bCs/>
                <w:color w:val="auto"/>
                <w:szCs w:val="21"/>
                <w:lang w:eastAsia="zh-CN"/>
              </w:rPr>
              <w:t>、</w:t>
            </w:r>
            <w:r>
              <w:rPr>
                <w:rFonts w:hint="eastAsia" w:ascii="Times New Roman" w:hAnsi="Times New Roman" w:eastAsia="宋体"/>
                <w:b/>
                <w:bCs/>
                <w:color w:val="auto"/>
                <w:szCs w:val="21"/>
                <w:lang w:val="en-US" w:eastAsia="zh-CN"/>
              </w:rPr>
              <w:t>破碎</w:t>
            </w:r>
            <w:r>
              <w:rPr>
                <w:rFonts w:hint="eastAsia" w:ascii="Times New Roman" w:hAnsi="Times New Roman" w:eastAsia="Times New Roman"/>
                <w:b/>
                <w:bCs/>
                <w:color w:val="auto"/>
                <w:szCs w:val="21"/>
              </w:rPr>
              <w:t>粉尘</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项目切割</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破碎</w:t>
            </w:r>
            <w:r>
              <w:rPr>
                <w:rFonts w:hint="eastAsia" w:ascii="宋体" w:hAnsi="宋体" w:eastAsia="宋体"/>
                <w:color w:val="auto"/>
                <w:sz w:val="24"/>
                <w:szCs w:val="24"/>
              </w:rPr>
              <w:t>工序将产生粉尘。</w:t>
            </w:r>
            <w:r>
              <w:rPr>
                <w:rFonts w:hint="eastAsia" w:ascii="宋体" w:hAnsi="宋体" w:eastAsia="宋体"/>
                <w:color w:val="auto"/>
                <w:sz w:val="24"/>
                <w:szCs w:val="24"/>
                <w:u w:val="single"/>
              </w:rPr>
              <w:t>根据</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第二次全国污染源普查产排污核算系数手册292塑料制品业系数手册</w:t>
            </w:r>
            <w:r>
              <w:rPr>
                <w:rFonts w:hint="eastAsia" w:ascii="宋体" w:hAnsi="宋体" w:eastAsia="宋体"/>
                <w:color w:val="auto"/>
                <w:sz w:val="24"/>
                <w:szCs w:val="24"/>
                <w:u w:val="single"/>
                <w:lang w:eastAsia="zh-CN"/>
              </w:rPr>
              <w:t>》</w:t>
            </w:r>
            <w:r>
              <w:rPr>
                <w:rFonts w:hint="eastAsia" w:ascii="宋体" w:hAnsi="宋体" w:eastAsia="宋体"/>
                <w:color w:val="auto"/>
                <w:sz w:val="24"/>
                <w:szCs w:val="24"/>
              </w:rPr>
              <w:t>，每</w:t>
            </w:r>
            <w:r>
              <w:rPr>
                <w:rFonts w:hint="eastAsia" w:ascii="宋体" w:hAnsi="宋体" w:eastAsia="宋体"/>
                <w:color w:val="auto"/>
                <w:sz w:val="24"/>
                <w:szCs w:val="24"/>
                <w:lang w:val="en-US" w:eastAsia="zh-CN"/>
              </w:rPr>
              <w:t>生产</w:t>
            </w:r>
            <w:r>
              <w:rPr>
                <w:rFonts w:hint="eastAsia" w:ascii="宋体" w:hAnsi="宋体" w:eastAsia="宋体"/>
                <w:color w:val="auto"/>
                <w:sz w:val="24"/>
                <w:szCs w:val="24"/>
              </w:rPr>
              <w:t>1t</w:t>
            </w:r>
            <w:r>
              <w:rPr>
                <w:rFonts w:hint="eastAsia" w:ascii="宋体" w:hAnsi="宋体" w:eastAsia="宋体"/>
                <w:color w:val="auto"/>
                <w:sz w:val="24"/>
                <w:szCs w:val="24"/>
                <w:lang w:val="en-US" w:eastAsia="zh-CN"/>
              </w:rPr>
              <w:t>产品颗粒物</w:t>
            </w:r>
            <w:r>
              <w:rPr>
                <w:rFonts w:hint="eastAsia" w:ascii="宋体" w:hAnsi="宋体" w:eastAsia="宋体"/>
                <w:color w:val="auto"/>
                <w:sz w:val="24"/>
                <w:szCs w:val="24"/>
              </w:rPr>
              <w:t>产生量为</w:t>
            </w:r>
            <w:r>
              <w:rPr>
                <w:rFonts w:hint="eastAsia" w:ascii="宋体" w:hAnsi="宋体" w:eastAsia="宋体"/>
                <w:color w:val="auto"/>
                <w:sz w:val="24"/>
                <w:szCs w:val="24"/>
                <w:lang w:val="en-US" w:eastAsia="zh-CN"/>
              </w:rPr>
              <w:t>6.0</w:t>
            </w:r>
            <w:r>
              <w:rPr>
                <w:rFonts w:hint="eastAsia" w:ascii="宋体" w:hAnsi="宋体" w:eastAsia="宋体"/>
                <w:color w:val="auto"/>
                <w:sz w:val="24"/>
                <w:szCs w:val="24"/>
              </w:rPr>
              <w:t>kg，本评价按</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kg/t计，</w:t>
            </w:r>
            <w:r>
              <w:rPr>
                <w:rFonts w:hint="eastAsia" w:ascii="宋体" w:hAnsi="宋体" w:eastAsia="宋体"/>
                <w:color w:val="auto"/>
                <w:sz w:val="24"/>
                <w:szCs w:val="24"/>
                <w:lang w:val="en-US" w:eastAsia="zh-CN"/>
              </w:rPr>
              <w:t>产品为1500</w:t>
            </w:r>
            <w:r>
              <w:rPr>
                <w:rFonts w:hint="eastAsia" w:ascii="宋体" w:hAnsi="宋体" w:eastAsia="宋体"/>
                <w:color w:val="auto"/>
                <w:sz w:val="24"/>
                <w:szCs w:val="24"/>
              </w:rPr>
              <w:t>t/a</w:t>
            </w:r>
            <w:r>
              <w:rPr>
                <w:rFonts w:hint="eastAsia" w:ascii="宋体" w:hAnsi="宋体" w:eastAsia="宋体"/>
                <w:color w:val="auto"/>
                <w:sz w:val="24"/>
                <w:szCs w:val="24"/>
                <w:lang w:eastAsia="zh-CN"/>
              </w:rPr>
              <w:t>，</w:t>
            </w:r>
            <w:r>
              <w:rPr>
                <w:rFonts w:hint="eastAsia" w:ascii="宋体" w:hAnsi="宋体" w:eastAsia="宋体"/>
                <w:color w:val="auto"/>
                <w:sz w:val="24"/>
                <w:szCs w:val="24"/>
              </w:rPr>
              <w:t>则</w:t>
            </w:r>
            <w:r>
              <w:rPr>
                <w:rFonts w:hint="eastAsia" w:ascii="宋体" w:hAnsi="宋体" w:eastAsia="宋体"/>
                <w:color w:val="auto"/>
                <w:sz w:val="24"/>
                <w:szCs w:val="24"/>
                <w:lang w:val="en-US" w:eastAsia="zh-CN"/>
              </w:rPr>
              <w:t>颗粒物</w:t>
            </w:r>
            <w:r>
              <w:rPr>
                <w:rFonts w:hint="eastAsia" w:ascii="宋体" w:hAnsi="宋体" w:eastAsia="宋体"/>
                <w:color w:val="auto"/>
                <w:sz w:val="24"/>
                <w:szCs w:val="24"/>
              </w:rPr>
              <w:t>的产生量为</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t/a</w:t>
            </w:r>
            <w:r>
              <w:rPr>
                <w:rFonts w:hint="eastAsia" w:ascii="宋体" w:hAnsi="宋体" w:eastAsia="宋体"/>
                <w:color w:val="auto"/>
                <w:sz w:val="24"/>
                <w:szCs w:val="24"/>
                <w:lang w:eastAsia="zh-CN"/>
              </w:rPr>
              <w:t>；</w:t>
            </w:r>
            <w:r>
              <w:rPr>
                <w:rFonts w:hint="eastAsia" w:ascii="宋体" w:hAnsi="宋体" w:eastAsia="宋体"/>
                <w:color w:val="auto"/>
                <w:sz w:val="24"/>
                <w:szCs w:val="24"/>
              </w:rPr>
              <w:t>切割、破碎过程中产生的粉尘经集气罩收集（开放侧吸式，集气罩正对产生源，收集效率约90%）后，采用布袋除尘器进行处理，处理效率约90%，</w:t>
            </w:r>
            <w:r>
              <w:rPr>
                <w:rFonts w:hint="eastAsia" w:ascii="宋体" w:hAnsi="宋体" w:eastAsia="宋体"/>
                <w:color w:val="auto"/>
                <w:sz w:val="24"/>
                <w:szCs w:val="24"/>
                <w:lang w:val="en-US" w:eastAsia="zh-CN"/>
              </w:rPr>
              <w:t>布袋除尘</w:t>
            </w:r>
            <w:r>
              <w:rPr>
                <w:rFonts w:hint="eastAsia" w:ascii="宋体" w:hAnsi="宋体" w:eastAsia="宋体"/>
                <w:color w:val="auto"/>
                <w:sz w:val="24"/>
                <w:szCs w:val="24"/>
              </w:rPr>
              <w:t>风机风量为2000m</w:t>
            </w:r>
            <w:r>
              <w:rPr>
                <w:rFonts w:hint="eastAsia" w:ascii="宋体" w:hAnsi="宋体" w:eastAsia="宋体"/>
                <w:color w:val="auto"/>
                <w:sz w:val="24"/>
                <w:szCs w:val="24"/>
                <w:vertAlign w:val="superscript"/>
              </w:rPr>
              <w:t>3</w:t>
            </w:r>
            <w:r>
              <w:rPr>
                <w:rFonts w:hint="eastAsia" w:ascii="宋体" w:hAnsi="宋体" w:eastAsia="宋体"/>
                <w:color w:val="auto"/>
                <w:sz w:val="24"/>
                <w:szCs w:val="24"/>
              </w:rPr>
              <w:t>/h。经集气罩收集的粉尘为</w:t>
            </w:r>
            <w:r>
              <w:rPr>
                <w:rFonts w:hint="eastAsia" w:ascii="宋体" w:hAnsi="宋体" w:eastAsia="宋体"/>
                <w:color w:val="auto"/>
                <w:sz w:val="24"/>
                <w:szCs w:val="24"/>
                <w:lang w:val="en-US" w:eastAsia="zh-CN"/>
              </w:rPr>
              <w:t>8.1</w:t>
            </w:r>
            <w:r>
              <w:rPr>
                <w:rFonts w:hint="eastAsia" w:ascii="宋体" w:hAnsi="宋体" w:eastAsia="宋体"/>
                <w:color w:val="auto"/>
                <w:sz w:val="24"/>
                <w:szCs w:val="24"/>
              </w:rPr>
              <w:t>t/a，90%的粉尘（</w:t>
            </w:r>
            <w:r>
              <w:rPr>
                <w:rFonts w:hint="eastAsia" w:ascii="宋体" w:hAnsi="宋体" w:eastAsia="宋体"/>
                <w:color w:val="auto"/>
                <w:sz w:val="24"/>
                <w:szCs w:val="24"/>
                <w:lang w:val="en-US" w:eastAsia="zh-CN"/>
              </w:rPr>
              <w:t>7.29</w:t>
            </w:r>
            <w:r>
              <w:rPr>
                <w:rFonts w:hint="eastAsia" w:ascii="宋体" w:hAnsi="宋体" w:eastAsia="宋体"/>
                <w:color w:val="auto"/>
                <w:sz w:val="24"/>
                <w:szCs w:val="24"/>
              </w:rPr>
              <w:t>t/a）被布袋除尘机捕获后统一收集暂存于废料库房，10%的粉尘（约</w:t>
            </w:r>
            <w:r>
              <w:rPr>
                <w:rFonts w:hint="eastAsia" w:ascii="宋体" w:hAnsi="宋体" w:eastAsia="宋体"/>
                <w:color w:val="auto"/>
                <w:sz w:val="24"/>
                <w:szCs w:val="24"/>
                <w:lang w:val="en-US" w:eastAsia="zh-CN"/>
              </w:rPr>
              <w:t>0.81</w:t>
            </w:r>
            <w:r>
              <w:rPr>
                <w:rFonts w:hint="eastAsia" w:ascii="宋体" w:hAnsi="宋体" w:eastAsia="宋体"/>
                <w:color w:val="auto"/>
                <w:sz w:val="24"/>
                <w:szCs w:val="24"/>
              </w:rPr>
              <w:t>t/a</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在生产线无组织排放，则生产区未处理的粉尘量为1.71</w:t>
            </w:r>
            <w:r>
              <w:rPr>
                <w:rFonts w:hint="eastAsia" w:ascii="宋体" w:hAnsi="宋体" w:eastAsia="宋体"/>
                <w:color w:val="auto"/>
                <w:sz w:val="24"/>
                <w:szCs w:val="24"/>
                <w:lang w:eastAsia="zh-CN"/>
              </w:rPr>
              <w:t>t/a，</w:t>
            </w:r>
            <w:r>
              <w:rPr>
                <w:rFonts w:hint="eastAsia" w:ascii="宋体" w:hAnsi="宋体" w:eastAsia="宋体"/>
                <w:color w:val="auto"/>
                <w:sz w:val="24"/>
                <w:szCs w:val="24"/>
                <w:lang w:val="en-US" w:eastAsia="zh-CN"/>
              </w:rPr>
              <w:t>因生产线全封闭，生产厂房为负压状态，生产厂房区风机风量为8</w:t>
            </w:r>
            <w:r>
              <w:rPr>
                <w:rFonts w:hint="eastAsia" w:ascii="宋体" w:hAnsi="宋体" w:eastAsia="宋体"/>
                <w:color w:val="auto"/>
                <w:sz w:val="24"/>
                <w:szCs w:val="24"/>
              </w:rPr>
              <w:t>000m</w:t>
            </w:r>
            <w:r>
              <w:rPr>
                <w:rFonts w:hint="eastAsia" w:ascii="宋体" w:hAnsi="宋体" w:eastAsia="宋体"/>
                <w:color w:val="auto"/>
                <w:sz w:val="24"/>
                <w:szCs w:val="24"/>
                <w:vertAlign w:val="superscript"/>
              </w:rPr>
              <w:t>3</w:t>
            </w:r>
            <w:r>
              <w:rPr>
                <w:rFonts w:hint="eastAsia" w:ascii="宋体" w:hAnsi="宋体" w:eastAsia="宋体"/>
                <w:color w:val="auto"/>
                <w:sz w:val="24"/>
                <w:szCs w:val="24"/>
              </w:rPr>
              <w:t>/h</w:t>
            </w:r>
            <w:r>
              <w:rPr>
                <w:rFonts w:hint="eastAsia" w:ascii="宋体" w:hAnsi="宋体" w:eastAsia="宋体"/>
                <w:color w:val="auto"/>
                <w:sz w:val="24"/>
                <w:szCs w:val="24"/>
                <w:lang w:val="en-US" w:eastAsia="zh-CN"/>
              </w:rPr>
              <w:t>-16000</w:t>
            </w:r>
            <w:r>
              <w:rPr>
                <w:rFonts w:hint="eastAsia" w:ascii="宋体" w:hAnsi="宋体" w:eastAsia="宋体"/>
                <w:color w:val="auto"/>
                <w:sz w:val="24"/>
                <w:szCs w:val="24"/>
              </w:rPr>
              <w:t>m</w:t>
            </w:r>
            <w:r>
              <w:rPr>
                <w:rFonts w:hint="eastAsia" w:ascii="宋体" w:hAnsi="宋体" w:eastAsia="宋体"/>
                <w:color w:val="auto"/>
                <w:sz w:val="24"/>
                <w:szCs w:val="24"/>
                <w:vertAlign w:val="superscript"/>
              </w:rPr>
              <w:t>3</w:t>
            </w:r>
            <w:r>
              <w:rPr>
                <w:rFonts w:hint="eastAsia" w:ascii="宋体" w:hAnsi="宋体" w:eastAsia="宋体"/>
                <w:color w:val="auto"/>
                <w:sz w:val="24"/>
                <w:szCs w:val="24"/>
              </w:rPr>
              <w:t>/h</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本次取12</w:t>
            </w:r>
            <w:r>
              <w:rPr>
                <w:rFonts w:hint="eastAsia" w:ascii="宋体" w:hAnsi="宋体" w:eastAsia="宋体"/>
                <w:color w:val="auto"/>
                <w:sz w:val="24"/>
                <w:szCs w:val="24"/>
              </w:rPr>
              <w:t>000m</w:t>
            </w:r>
            <w:r>
              <w:rPr>
                <w:rFonts w:hint="eastAsia" w:ascii="宋体" w:hAnsi="宋体" w:eastAsia="宋体"/>
                <w:color w:val="auto"/>
                <w:sz w:val="24"/>
                <w:szCs w:val="24"/>
                <w:vertAlign w:val="superscript"/>
              </w:rPr>
              <w:t>3</w:t>
            </w:r>
            <w:r>
              <w:rPr>
                <w:rFonts w:hint="eastAsia" w:ascii="宋体" w:hAnsi="宋体" w:eastAsia="宋体"/>
                <w:color w:val="auto"/>
                <w:sz w:val="24"/>
                <w:szCs w:val="24"/>
              </w:rPr>
              <w:t>/h</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生产车间粉尘收集率为70%，收集后粉尘通过水淋塔后（粉尘处理率为60%）经</w:t>
            </w:r>
            <w:r>
              <w:rPr>
                <w:rFonts w:hint="eastAsia" w:ascii="宋体" w:hAnsi="宋体" w:eastAsia="宋体"/>
                <w:color w:val="auto"/>
                <w:sz w:val="24"/>
                <w:szCs w:val="24"/>
              </w:rPr>
              <w:t>由15m高排气筒排放</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则</w:t>
            </w:r>
            <w:r>
              <w:rPr>
                <w:rFonts w:hint="eastAsia" w:ascii="宋体" w:hAnsi="宋体" w:eastAsia="宋体"/>
                <w:color w:val="auto"/>
                <w:sz w:val="24"/>
                <w:szCs w:val="24"/>
                <w:lang w:eastAsia="zh-CN"/>
              </w:rPr>
              <w:t>切割、破碎粉尘</w:t>
            </w:r>
            <w:r>
              <w:rPr>
                <w:rFonts w:hint="eastAsia" w:ascii="宋体" w:hAnsi="宋体" w:eastAsia="宋体"/>
                <w:color w:val="auto"/>
                <w:sz w:val="24"/>
                <w:szCs w:val="24"/>
                <w:lang w:val="en-US" w:eastAsia="zh-CN"/>
              </w:rPr>
              <w:t>有组织排放量为0.4788</w:t>
            </w:r>
            <w:r>
              <w:rPr>
                <w:rFonts w:hint="eastAsia" w:ascii="宋体" w:hAnsi="宋体" w:eastAsia="宋体"/>
                <w:color w:val="auto"/>
                <w:sz w:val="24"/>
                <w:szCs w:val="24"/>
              </w:rPr>
              <w:t>t/a（</w:t>
            </w:r>
            <w:r>
              <w:rPr>
                <w:rFonts w:hint="eastAsia" w:ascii="宋体" w:hAnsi="宋体" w:eastAsia="宋体"/>
                <w:color w:val="auto"/>
                <w:sz w:val="24"/>
                <w:szCs w:val="24"/>
                <w:lang w:val="en-US" w:eastAsia="zh-CN"/>
              </w:rPr>
              <w:t>0.1247</w:t>
            </w:r>
            <w:r>
              <w:rPr>
                <w:rFonts w:hint="eastAsia" w:ascii="宋体" w:hAnsi="宋体" w:eastAsia="宋体"/>
                <w:color w:val="auto"/>
                <w:sz w:val="24"/>
                <w:szCs w:val="24"/>
              </w:rPr>
              <w:t>kg/h</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10.39mg/m³</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则生产车间</w:t>
            </w:r>
            <w:r>
              <w:rPr>
                <w:rFonts w:hint="eastAsia" w:ascii="宋体" w:hAnsi="宋体" w:eastAsia="宋体"/>
                <w:color w:val="auto"/>
                <w:sz w:val="24"/>
                <w:szCs w:val="24"/>
              </w:rPr>
              <w:t>未收集的粉尘成无组织排放形式，排放量为</w:t>
            </w:r>
            <w:r>
              <w:rPr>
                <w:rFonts w:hint="eastAsia" w:ascii="宋体" w:hAnsi="宋体" w:eastAsia="宋体"/>
                <w:color w:val="auto"/>
                <w:sz w:val="24"/>
                <w:szCs w:val="24"/>
                <w:lang w:val="en-US" w:eastAsia="zh-CN"/>
              </w:rPr>
              <w:t>0.513</w:t>
            </w:r>
            <w:r>
              <w:rPr>
                <w:rFonts w:hint="eastAsia" w:ascii="宋体" w:hAnsi="宋体" w:eastAsia="宋体"/>
                <w:color w:val="auto"/>
                <w:sz w:val="24"/>
                <w:szCs w:val="24"/>
              </w:rPr>
              <w:t>t/a（</w:t>
            </w:r>
            <w:r>
              <w:rPr>
                <w:rFonts w:hint="eastAsia" w:ascii="宋体" w:hAnsi="宋体" w:eastAsia="宋体"/>
                <w:color w:val="auto"/>
                <w:sz w:val="24"/>
                <w:szCs w:val="24"/>
                <w:lang w:val="en-US" w:eastAsia="zh-CN"/>
              </w:rPr>
              <w:t>0.1335</w:t>
            </w:r>
            <w:r>
              <w:rPr>
                <w:rFonts w:hint="eastAsia" w:ascii="宋体" w:hAnsi="宋体" w:eastAsia="宋体"/>
                <w:color w:val="auto"/>
                <w:sz w:val="24"/>
                <w:szCs w:val="24"/>
              </w:rPr>
              <w:t>kg/h）</w:t>
            </w:r>
            <w:r>
              <w:rPr>
                <w:rFonts w:hint="eastAsia" w:ascii="宋体" w:hAnsi="宋体" w:eastAsia="宋体"/>
                <w:color w:val="auto"/>
                <w:sz w:val="24"/>
                <w:szCs w:val="24"/>
                <w:lang w:eastAsia="zh-CN"/>
              </w:rPr>
              <w:t>，</w:t>
            </w:r>
            <w:r>
              <w:rPr>
                <w:rFonts w:hint="eastAsia" w:ascii="宋体" w:hAnsi="宋体" w:eastAsia="宋体"/>
                <w:color w:val="auto"/>
                <w:sz w:val="24"/>
                <w:szCs w:val="24"/>
                <w:u w:val="single"/>
                <w:lang w:eastAsia="zh-CN"/>
              </w:rPr>
              <w:t>切割、破碎粉尘</w:t>
            </w:r>
            <w:r>
              <w:rPr>
                <w:rFonts w:hint="eastAsia" w:ascii="宋体" w:hAnsi="宋体" w:eastAsia="宋体"/>
                <w:color w:val="auto"/>
                <w:sz w:val="24"/>
                <w:szCs w:val="24"/>
                <w:u w:val="single"/>
                <w:lang w:val="en-US" w:eastAsia="zh-CN"/>
              </w:rPr>
              <w:t>排放浓度能达到《合成树脂工业污染物排放标准》（GB31572-2015）表5标准</w:t>
            </w:r>
            <w:r>
              <w:rPr>
                <w:rFonts w:hint="eastAsia" w:ascii="宋体" w:hAnsi="宋体" w:eastAsia="宋体"/>
                <w:color w:val="auto"/>
                <w:sz w:val="24"/>
                <w:szCs w:val="24"/>
                <w:u w:val="single"/>
                <w:lang w:eastAsia="zh-CN"/>
              </w:rPr>
              <w:t>、表9标准</w:t>
            </w:r>
            <w:r>
              <w:rPr>
                <w:rFonts w:ascii="宋体" w:hAnsi="宋体" w:eastAsia="宋体"/>
                <w:color w:val="auto"/>
                <w:szCs w:val="21"/>
              </w:rPr>
              <w:t>。</w:t>
            </w:r>
          </w:p>
          <w:p>
            <w:pPr>
              <w:spacing w:line="360" w:lineRule="auto"/>
              <w:rPr>
                <w:rFonts w:ascii="宋体" w:hAnsi="宋体" w:eastAsia="宋体"/>
                <w:b/>
                <w:bCs/>
                <w:color w:val="auto"/>
                <w:szCs w:val="21"/>
              </w:rPr>
            </w:pPr>
            <w:r>
              <w:rPr>
                <w:rFonts w:hint="eastAsia" w:ascii="Times New Roman" w:hAnsi="Times New Roman" w:eastAsia="宋体"/>
                <w:b/>
                <w:bCs/>
                <w:color w:val="auto"/>
                <w:szCs w:val="21"/>
                <w:lang w:val="en-US" w:eastAsia="zh-CN"/>
              </w:rPr>
              <w:t>2</w:t>
            </w:r>
            <w:r>
              <w:rPr>
                <w:rFonts w:ascii="Times New Roman" w:hAnsi="Times New Roman" w:eastAsia="Times New Roman"/>
                <w:b/>
                <w:bCs/>
                <w:color w:val="auto"/>
                <w:szCs w:val="21"/>
              </w:rPr>
              <w:t>）</w:t>
            </w:r>
            <w:r>
              <w:rPr>
                <w:rFonts w:hint="eastAsia" w:ascii="宋体" w:hAnsi="宋体" w:eastAsia="宋体"/>
                <w:b/>
                <w:bCs/>
                <w:color w:val="auto"/>
                <w:szCs w:val="21"/>
              </w:rPr>
              <w:t>非甲烷总烃</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项目熔融、发泡、挤塑过程将产生非甲烷总烃，其主要污染因子为非甲烷总烃、丙烯腈及臭气浓度，本项目在注塑过程中工作温度为220℃均低于高分子聚合物分解温度240℃，不会发生分解。</w:t>
            </w:r>
          </w:p>
          <w:p>
            <w:pPr>
              <w:numPr>
                <w:ilvl w:val="0"/>
                <w:numId w:val="4"/>
              </w:numPr>
              <w:snapToGrid w:val="0"/>
              <w:spacing w:line="360" w:lineRule="auto"/>
              <w:ind w:firstLine="480" w:firstLineChars="200"/>
              <w:rPr>
                <w:rFonts w:hAnsi="宋体" w:eastAsia="宋体"/>
                <w:color w:val="auto"/>
                <w:sz w:val="24"/>
                <w:szCs w:val="24"/>
              </w:rPr>
            </w:pPr>
            <w:r>
              <w:rPr>
                <w:rFonts w:hint="eastAsia" w:hAnsi="宋体" w:eastAsia="宋体"/>
                <w:color w:val="auto"/>
                <w:sz w:val="24"/>
                <w:szCs w:val="24"/>
              </w:rPr>
              <w:t>废气处理工艺流程</w:t>
            </w:r>
          </w:p>
          <w:p>
            <w:pPr>
              <w:snapToGrid w:val="0"/>
              <w:spacing w:line="360" w:lineRule="auto"/>
              <w:ind w:firstLine="480" w:firstLineChars="200"/>
              <w:rPr>
                <w:rFonts w:eastAsia="宋体"/>
                <w:color w:val="auto"/>
                <w:sz w:val="24"/>
                <w:szCs w:val="24"/>
              </w:rPr>
            </w:pPr>
            <w:r>
              <w:rPr>
                <w:rFonts w:hint="eastAsia" w:hAnsi="宋体" w:eastAsia="宋体"/>
                <w:color w:val="auto"/>
                <w:sz w:val="24"/>
                <w:szCs w:val="24"/>
              </w:rPr>
              <w:t>废气</w:t>
            </w:r>
            <w:r>
              <w:rPr>
                <w:rFonts w:hAnsi="宋体" w:eastAsia="宋体"/>
                <w:color w:val="auto"/>
                <w:sz w:val="24"/>
                <w:szCs w:val="24"/>
              </w:rPr>
              <w:t>经吸风罩收集后通过一套</w:t>
            </w:r>
            <w:r>
              <w:rPr>
                <w:rFonts w:eastAsia="宋体"/>
                <w:color w:val="auto"/>
                <w:sz w:val="24"/>
                <w:szCs w:val="24"/>
              </w:rPr>
              <w:t>“</w:t>
            </w:r>
            <w:r>
              <w:rPr>
                <w:rFonts w:hint="eastAsia" w:hAnsi="宋体" w:eastAsia="宋体"/>
                <w:color w:val="auto"/>
                <w:sz w:val="24"/>
                <w:szCs w:val="24"/>
              </w:rPr>
              <w:t>UV光氧催化+活性炭吸附</w:t>
            </w:r>
            <w:r>
              <w:rPr>
                <w:rFonts w:eastAsia="宋体"/>
                <w:color w:val="auto"/>
                <w:sz w:val="24"/>
                <w:szCs w:val="24"/>
              </w:rPr>
              <w:t>”</w:t>
            </w:r>
            <w:r>
              <w:rPr>
                <w:rFonts w:hAnsi="宋体" w:eastAsia="宋体"/>
                <w:color w:val="auto"/>
                <w:sz w:val="24"/>
                <w:szCs w:val="24"/>
              </w:rPr>
              <w:t>装置处理后，通过一根</w:t>
            </w:r>
            <w:r>
              <w:rPr>
                <w:rFonts w:eastAsia="宋体"/>
                <w:color w:val="auto"/>
                <w:sz w:val="24"/>
                <w:szCs w:val="24"/>
              </w:rPr>
              <w:t>15</w:t>
            </w:r>
            <w:r>
              <w:rPr>
                <w:rFonts w:hAnsi="宋体" w:eastAsia="宋体"/>
                <w:color w:val="auto"/>
                <w:sz w:val="24"/>
                <w:szCs w:val="24"/>
              </w:rPr>
              <w:t>米高排气筒（</w:t>
            </w:r>
            <w:r>
              <w:rPr>
                <w:rFonts w:eastAsia="宋体"/>
                <w:color w:val="auto"/>
                <w:sz w:val="24"/>
                <w:szCs w:val="24"/>
              </w:rPr>
              <w:t>DA00</w:t>
            </w:r>
            <w:r>
              <w:rPr>
                <w:rFonts w:hint="eastAsia" w:eastAsia="宋体"/>
                <w:color w:val="auto"/>
                <w:sz w:val="24"/>
                <w:szCs w:val="24"/>
              </w:rPr>
              <w:t>1</w:t>
            </w:r>
            <w:r>
              <w:rPr>
                <w:rFonts w:hAnsi="宋体" w:eastAsia="宋体"/>
                <w:color w:val="auto"/>
                <w:sz w:val="24"/>
                <w:szCs w:val="24"/>
              </w:rPr>
              <w:t>）排放，风机风量为</w:t>
            </w:r>
            <w:r>
              <w:rPr>
                <w:rFonts w:hint="eastAsia" w:hAnsi="宋体" w:eastAsia="宋体"/>
                <w:color w:val="auto"/>
                <w:sz w:val="24"/>
                <w:szCs w:val="24"/>
                <w:lang w:val="en-US" w:eastAsia="zh-CN"/>
              </w:rPr>
              <w:t>1</w:t>
            </w:r>
            <w:r>
              <w:rPr>
                <w:rFonts w:hint="eastAsia" w:eastAsia="宋体"/>
                <w:color w:val="auto"/>
                <w:sz w:val="24"/>
                <w:szCs w:val="24"/>
              </w:rPr>
              <w:t>2</w:t>
            </w:r>
            <w:r>
              <w:rPr>
                <w:rFonts w:eastAsia="宋体"/>
                <w:color w:val="auto"/>
                <w:sz w:val="24"/>
                <w:szCs w:val="24"/>
              </w:rPr>
              <w:t>000m</w:t>
            </w:r>
            <w:r>
              <w:rPr>
                <w:rFonts w:eastAsia="宋体"/>
                <w:color w:val="auto"/>
                <w:sz w:val="24"/>
                <w:szCs w:val="24"/>
                <w:vertAlign w:val="superscript"/>
              </w:rPr>
              <w:t>3</w:t>
            </w:r>
            <w:r>
              <w:rPr>
                <w:rFonts w:eastAsia="宋体"/>
                <w:color w:val="auto"/>
                <w:sz w:val="24"/>
                <w:szCs w:val="24"/>
              </w:rPr>
              <w:t>/h</w:t>
            </w:r>
            <w:r>
              <w:rPr>
                <w:rFonts w:hAnsi="宋体" w:eastAsia="宋体"/>
                <w:color w:val="auto"/>
                <w:sz w:val="24"/>
                <w:szCs w:val="24"/>
              </w:rPr>
              <w:t>，按运行</w:t>
            </w:r>
            <w:r>
              <w:rPr>
                <w:rFonts w:hint="eastAsia" w:eastAsia="宋体"/>
                <w:color w:val="auto"/>
                <w:sz w:val="24"/>
                <w:szCs w:val="24"/>
              </w:rPr>
              <w:t>3840</w:t>
            </w:r>
            <w:r>
              <w:rPr>
                <w:rFonts w:hAnsi="宋体" w:eastAsia="宋体"/>
                <w:color w:val="auto"/>
                <w:sz w:val="24"/>
                <w:szCs w:val="24"/>
              </w:rPr>
              <w:t>小时计，废气捕集率为</w:t>
            </w:r>
            <w:r>
              <w:rPr>
                <w:rFonts w:eastAsia="宋体"/>
                <w:color w:val="auto"/>
                <w:sz w:val="24"/>
                <w:szCs w:val="24"/>
              </w:rPr>
              <w:t>90%</w:t>
            </w:r>
            <w:r>
              <w:rPr>
                <w:rFonts w:hAnsi="宋体" w:eastAsia="宋体"/>
                <w:color w:val="auto"/>
                <w:sz w:val="24"/>
                <w:szCs w:val="24"/>
              </w:rPr>
              <w:t>，未捕集废气在车间内无组织排放</w:t>
            </w:r>
            <w:r>
              <w:rPr>
                <w:rFonts w:hint="eastAsia" w:hAnsi="宋体" w:eastAsia="宋体"/>
                <w:color w:val="auto"/>
                <w:sz w:val="24"/>
                <w:szCs w:val="24"/>
              </w:rPr>
              <w:t>。</w:t>
            </w:r>
          </w:p>
          <w:p>
            <w:pPr>
              <w:spacing w:line="360" w:lineRule="auto"/>
              <w:ind w:firstLine="480" w:firstLineChars="200"/>
              <w:rPr>
                <w:rFonts w:eastAsia="宋体"/>
                <w:color w:val="auto"/>
                <w:sz w:val="24"/>
                <w:szCs w:val="24"/>
              </w:rPr>
            </w:pPr>
            <w:r>
              <w:rPr>
                <w:rFonts w:hAnsi="宋体" w:eastAsia="宋体"/>
                <w:color w:val="auto"/>
                <w:sz w:val="24"/>
                <w:szCs w:val="24"/>
              </w:rPr>
              <w:t>本项目废气处理工艺如图</w:t>
            </w:r>
            <w:r>
              <w:rPr>
                <w:rFonts w:hint="eastAsia" w:eastAsia="宋体"/>
                <w:color w:val="auto"/>
                <w:sz w:val="24"/>
                <w:szCs w:val="24"/>
              </w:rPr>
              <w:t>4</w:t>
            </w:r>
            <w:r>
              <w:rPr>
                <w:rFonts w:eastAsia="宋体"/>
                <w:color w:val="auto"/>
                <w:sz w:val="24"/>
                <w:szCs w:val="24"/>
              </w:rPr>
              <w:t>-1</w:t>
            </w:r>
            <w:r>
              <w:rPr>
                <w:rFonts w:hAnsi="宋体" w:eastAsia="宋体"/>
                <w:color w:val="auto"/>
                <w:sz w:val="24"/>
                <w:szCs w:val="24"/>
              </w:rPr>
              <w:t>。</w:t>
            </w:r>
          </w:p>
          <w:p>
            <w:pPr>
              <w:spacing w:line="360" w:lineRule="auto"/>
              <w:ind w:firstLine="562" w:firstLineChars="200"/>
              <w:rPr>
                <w:rFonts w:eastAsia="宋体"/>
                <w:color w:val="auto"/>
              </w:rPr>
            </w:pPr>
            <w:r>
              <w:rPr>
                <w:rFonts w:eastAsia="宋体"/>
                <w:b/>
                <w:bCs/>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3709035</wp:posOffset>
                      </wp:positionH>
                      <wp:positionV relativeFrom="paragraph">
                        <wp:posOffset>118110</wp:posOffset>
                      </wp:positionV>
                      <wp:extent cx="1282065" cy="495300"/>
                      <wp:effectExtent l="4445" t="4445" r="8890" b="18415"/>
                      <wp:wrapNone/>
                      <wp:docPr id="7" name="文本框 7"/>
                      <wp:cNvGraphicFramePr/>
                      <a:graphic xmlns:a="http://schemas.openxmlformats.org/drawingml/2006/main">
                        <a:graphicData uri="http://schemas.microsoft.com/office/word/2010/wordprocessingShape">
                          <wps:wsp>
                            <wps:cNvSpPr txBox="1"/>
                            <wps:spPr>
                              <a:xfrm>
                                <a:off x="0" y="0"/>
                                <a:ext cx="128206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宋体"/>
                                    </w:rPr>
                                  </w:pPr>
                                  <w:r>
                                    <w:rPr>
                                      <w:rFonts w:eastAsia="宋体"/>
                                    </w:rPr>
                                    <w:t>15</w:t>
                                  </w:r>
                                  <w:r>
                                    <w:rPr>
                                      <w:rFonts w:hAnsi="宋体" w:eastAsia="宋体"/>
                                    </w:rPr>
                                    <w:t>米高排气筒（</w:t>
                                  </w:r>
                                  <w:r>
                                    <w:rPr>
                                      <w:rFonts w:eastAsia="宋体"/>
                                    </w:rPr>
                                    <w:t>DA001</w:t>
                                  </w:r>
                                  <w:r>
                                    <w:rPr>
                                      <w:rFonts w:hAnsi="宋体" w:eastAsia="宋体"/>
                                    </w:rPr>
                                    <w:t>）排放</w:t>
                                  </w:r>
                                </w:p>
                              </w:txbxContent>
                            </wps:txbx>
                            <wps:bodyPr upright="1"/>
                          </wps:wsp>
                        </a:graphicData>
                      </a:graphic>
                    </wp:anchor>
                  </w:drawing>
                </mc:Choice>
                <mc:Fallback>
                  <w:pict>
                    <v:shape id="_x0000_s1026" o:spid="_x0000_s1026" o:spt="202" type="#_x0000_t202" style="position:absolute;left:0pt;margin-left:292.05pt;margin-top:9.3pt;height:39pt;width:100.95pt;z-index:251664384;mso-width-relative:page;mso-height-relative:page;" fillcolor="#FFFFFF" filled="t" stroked="t" coordsize="21600,21600" o:gfxdata="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QPGZ2AAAAAkBAAAPAAAAAAAA&#10;AAEAIAAAACIAAABkcnMvZG93bnJldi54bWxQSwECFAAUAAAACACHTuJAZt2rHRICAABEBAAADgAA&#10;AAAAAAABACAAAAAnAQAAZHJzL2Uyb0RvYy54bWxQSwUGAAAAAAYABgBZAQAAqwUAAAAA&#10;">
                      <v:fill on="t" focussize="0,0"/>
                      <v:stroke color="#000000" joinstyle="miter"/>
                      <v:imagedata o:title=""/>
                      <o:lock v:ext="edit" aspectratio="f"/>
                      <v:textbox>
                        <w:txbxContent>
                          <w:p>
                            <w:pPr>
                              <w:rPr>
                                <w:rFonts w:eastAsia="宋体"/>
                              </w:rPr>
                            </w:pPr>
                            <w:r>
                              <w:rPr>
                                <w:rFonts w:eastAsia="宋体"/>
                              </w:rPr>
                              <w:t>15</w:t>
                            </w:r>
                            <w:r>
                              <w:rPr>
                                <w:rFonts w:hAnsi="宋体" w:eastAsia="宋体"/>
                              </w:rPr>
                              <w:t>米高排气筒（</w:t>
                            </w:r>
                            <w:r>
                              <w:rPr>
                                <w:rFonts w:eastAsia="宋体"/>
                              </w:rPr>
                              <w:t>DA001</w:t>
                            </w:r>
                            <w:r>
                              <w:rPr>
                                <w:rFonts w:hAnsi="宋体" w:eastAsia="宋体"/>
                              </w:rPr>
                              <w:t>）排放</w:t>
                            </w:r>
                          </w:p>
                        </w:txbxContent>
                      </v:textbox>
                    </v:shape>
                  </w:pict>
                </mc:Fallback>
              </mc:AlternateContent>
            </w:r>
            <w:r>
              <w:rPr>
                <w:rFonts w:eastAsia="宋体"/>
                <w:b/>
                <w:bCs/>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2005965</wp:posOffset>
                      </wp:positionH>
                      <wp:positionV relativeFrom="paragraph">
                        <wp:posOffset>176530</wp:posOffset>
                      </wp:positionV>
                      <wp:extent cx="1393190" cy="498475"/>
                      <wp:effectExtent l="4445" t="5080" r="19685" b="14605"/>
                      <wp:wrapNone/>
                      <wp:docPr id="6" name="文本框 6"/>
                      <wp:cNvGraphicFramePr/>
                      <a:graphic xmlns:a="http://schemas.openxmlformats.org/drawingml/2006/main">
                        <a:graphicData uri="http://schemas.microsoft.com/office/word/2010/wordprocessingShape">
                          <wps:wsp>
                            <wps:cNvSpPr txBox="1"/>
                            <wps:spPr>
                              <a:xfrm>
                                <a:off x="0" y="0"/>
                                <a:ext cx="1090295"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eastAsia="宋体"/>
                                    </w:rPr>
                                  </w:pPr>
                                  <w:r>
                                    <w:rPr>
                                      <w:rFonts w:hint="eastAsia" w:ascii="宋体" w:hAnsi="宋体" w:eastAsia="宋体"/>
                                      <w:lang w:val="en-US" w:eastAsia="zh-CN"/>
                                    </w:rPr>
                                    <w:t>喷淋+</w:t>
                                  </w:r>
                                  <w:r>
                                    <w:rPr>
                                      <w:rFonts w:hint="eastAsia" w:ascii="宋体" w:hAnsi="宋体" w:eastAsia="宋体"/>
                                    </w:rPr>
                                    <w:t>UV光氧催化+活性炭吸附</w:t>
                                  </w:r>
                                </w:p>
                              </w:txbxContent>
                            </wps:txbx>
                            <wps:bodyPr upright="1"/>
                          </wps:wsp>
                        </a:graphicData>
                      </a:graphic>
                    </wp:anchor>
                  </w:drawing>
                </mc:Choice>
                <mc:Fallback>
                  <w:pict>
                    <v:shape id="_x0000_s1026" o:spid="_x0000_s1026" o:spt="202" type="#_x0000_t202" style="position:absolute;left:0pt;margin-left:157.95pt;margin-top:13.9pt;height:39.25pt;width:109.7pt;z-index:251662336;mso-width-relative:page;mso-height-relative:page;" fillcolor="#FFFFFF" filled="t" stroked="t" coordsize="21600,21600" o:gfxdata="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GiPLNkAAAAKAQAADwAAAAAAAAAB&#10;ACAAAAAiAAAAZHJzL2Rvd25yZXYueG1sUEsBAhQAFAAAAAgAh07iQAO2pLcPAgAARAQAAA4AAAAA&#10;AAAAAQAgAAAAKAEAAGRycy9lMm9Eb2MueG1sUEsFBgAAAAAGAAYAWQEAAKkFAAAAAA==&#10;">
                      <v:fill on="t" focussize="0,0"/>
                      <v:stroke color="#000000" joinstyle="miter"/>
                      <v:imagedata o:title=""/>
                      <o:lock v:ext="edit" aspectratio="f"/>
                      <v:textbox>
                        <w:txbxContent>
                          <w:p>
                            <w:pPr>
                              <w:rPr>
                                <w:rFonts w:ascii="宋体" w:hAnsi="宋体" w:eastAsia="宋体"/>
                              </w:rPr>
                            </w:pPr>
                            <w:r>
                              <w:rPr>
                                <w:rFonts w:hint="eastAsia" w:ascii="宋体" w:hAnsi="宋体" w:eastAsia="宋体"/>
                                <w:lang w:val="en-US" w:eastAsia="zh-CN"/>
                              </w:rPr>
                              <w:t>喷淋+</w:t>
                            </w:r>
                            <w:r>
                              <w:rPr>
                                <w:rFonts w:hint="eastAsia" w:ascii="宋体" w:hAnsi="宋体" w:eastAsia="宋体"/>
                              </w:rPr>
                              <w:t>UV光氧催化+活性炭吸附</w:t>
                            </w:r>
                          </w:p>
                        </w:txbxContent>
                      </v:textbox>
                    </v:shape>
                  </w:pict>
                </mc:Fallback>
              </mc:AlternateContent>
            </w:r>
            <w:r>
              <w:rPr>
                <w:rFonts w:eastAsia="宋体"/>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113030</wp:posOffset>
                      </wp:positionV>
                      <wp:extent cx="1677670" cy="563245"/>
                      <wp:effectExtent l="4445" t="5080" r="9525" b="10795"/>
                      <wp:wrapNone/>
                      <wp:docPr id="8" name="文本框 8"/>
                      <wp:cNvGraphicFramePr/>
                      <a:graphic xmlns:a="http://schemas.openxmlformats.org/drawingml/2006/main">
                        <a:graphicData uri="http://schemas.microsoft.com/office/word/2010/wordprocessingShape">
                          <wps:wsp>
                            <wps:cNvSpPr txBox="1"/>
                            <wps:spPr>
                              <a:xfrm>
                                <a:off x="0" y="0"/>
                                <a:ext cx="2040890" cy="699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4"/>
                                    </w:rPr>
                                  </w:pPr>
                                  <w:r>
                                    <w:rPr>
                                      <w:rFonts w:hint="eastAsia" w:hAnsi="宋体" w:eastAsia="宋体"/>
                                    </w:rPr>
                                    <w:t>熔融、发泡、挤塑</w:t>
                                  </w:r>
                                  <w:r>
                                    <w:rPr>
                                      <w:rFonts w:hAnsi="宋体" w:eastAsia="宋体"/>
                                    </w:rPr>
                                    <w:t>工序</w:t>
                                  </w:r>
                                  <w:r>
                                    <w:rPr>
                                      <w:rFonts w:hAnsi="宋体" w:eastAsia="宋体"/>
                                      <w:szCs w:val="24"/>
                                    </w:rPr>
                                    <w:t>产生</w:t>
                                  </w:r>
                                  <w:r>
                                    <w:rPr>
                                      <w:rFonts w:hint="eastAsia" w:hAnsi="宋体" w:eastAsia="宋体"/>
                                      <w:szCs w:val="24"/>
                                    </w:rPr>
                                    <w:t>的非甲烷总烃</w:t>
                                  </w:r>
                                </w:p>
                              </w:txbxContent>
                            </wps:txbx>
                            <wps:bodyPr upright="1"/>
                          </wps:wsp>
                        </a:graphicData>
                      </a:graphic>
                    </wp:anchor>
                  </w:drawing>
                </mc:Choice>
                <mc:Fallback>
                  <w:pict>
                    <v:shape id="_x0000_s1026" o:spid="_x0000_s1026" o:spt="202" type="#_x0000_t202" style="position:absolute;left:0pt;margin-left:0.95pt;margin-top:8.9pt;height:44.35pt;width:132.1pt;z-index:251660288;mso-width-relative:page;mso-height-relative:page;" fillcolor="#FFFFFF" filled="t" stroked="t" coordsize="21600,21600" o:gfxdata="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jDXyNUAAAAIAQAADwAAAAAAAAAB&#10;ACAAAAAiAAAAZHJzL2Rvd25yZXYueG1sUEsBAhQAFAAAAAgAh07iQH9qmAsTAgAARAQAAA4AAAAA&#10;AAAAAQAgAAAAJAEAAGRycy9lMm9Eb2MueG1sUEsFBgAAAAAGAAYAWQEAAKkFAAAAAA==&#10;">
                      <v:fill on="t" focussize="0,0"/>
                      <v:stroke color="#000000" joinstyle="miter"/>
                      <v:imagedata o:title=""/>
                      <o:lock v:ext="edit" aspectratio="f"/>
                      <v:textbox>
                        <w:txbxContent>
                          <w:p>
                            <w:pPr>
                              <w:rPr>
                                <w:szCs w:val="24"/>
                              </w:rPr>
                            </w:pPr>
                            <w:r>
                              <w:rPr>
                                <w:rFonts w:hint="eastAsia" w:hAnsi="宋体" w:eastAsia="宋体"/>
                              </w:rPr>
                              <w:t>熔融、发泡、挤塑</w:t>
                            </w:r>
                            <w:r>
                              <w:rPr>
                                <w:rFonts w:hAnsi="宋体" w:eastAsia="宋体"/>
                              </w:rPr>
                              <w:t>工序</w:t>
                            </w:r>
                            <w:r>
                              <w:rPr>
                                <w:rFonts w:hAnsi="宋体" w:eastAsia="宋体"/>
                                <w:szCs w:val="24"/>
                              </w:rPr>
                              <w:t>产生</w:t>
                            </w:r>
                            <w:r>
                              <w:rPr>
                                <w:rFonts w:hint="eastAsia" w:hAnsi="宋体" w:eastAsia="宋体"/>
                                <w:szCs w:val="24"/>
                              </w:rPr>
                              <w:t>的非甲烷总烃</w:t>
                            </w:r>
                          </w:p>
                        </w:txbxContent>
                      </v:textbox>
                    </v:shape>
                  </w:pict>
                </mc:Fallback>
              </mc:AlternateContent>
            </w:r>
          </w:p>
          <w:p>
            <w:pPr>
              <w:spacing w:line="360" w:lineRule="auto"/>
              <w:rPr>
                <w:rFonts w:eastAsia="宋体"/>
                <w:color w:val="auto"/>
              </w:rPr>
            </w:pPr>
            <w:r>
              <w:rPr>
                <w:rFonts w:eastAsia="宋体"/>
                <w:b/>
                <w:bCs/>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3402330</wp:posOffset>
                      </wp:positionH>
                      <wp:positionV relativeFrom="paragraph">
                        <wp:posOffset>99695</wp:posOffset>
                      </wp:positionV>
                      <wp:extent cx="297180" cy="0"/>
                      <wp:effectExtent l="0" t="38100" r="7620" b="38100"/>
                      <wp:wrapNone/>
                      <wp:docPr id="4" name="直接连接符 4"/>
                      <wp:cNvGraphicFramePr/>
                      <a:graphic xmlns:a="http://schemas.openxmlformats.org/drawingml/2006/main">
                        <a:graphicData uri="http://schemas.microsoft.com/office/word/2010/wordprocessingShape">
                          <wps:wsp>
                            <wps:cNvCnPr/>
                            <wps:spPr>
                              <a:xfrm>
                                <a:off x="0" y="0"/>
                                <a:ext cx="29718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7.9pt;margin-top:7.85pt;height:0pt;width:23.4pt;z-index:251663360;mso-width-relative:page;mso-height-relative:page;" filled="f" stroked="t" coordsize="21600,21600" o:gfxdata="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w/yc9kAAAAJAQAADwAAAAAAAAABACAAAAAiAAAAZHJzL2Rv&#10;d25yZXYueG1sUEsBAhQAFAAAAAgAh07iQDnv0hQAAgAA9QMAAA4AAAAAAAAAAQAgAAAAKAEAAGRy&#10;cy9lMm9Eb2MueG1sUEsFBgAAAAAGAAYAWQEAAJoFAAAAAA==&#10;">
                      <v:fill on="f" focussize="0,0"/>
                      <v:stroke color="#000000" joinstyle="round" endarrow="block"/>
                      <v:imagedata o:title=""/>
                      <o:lock v:ext="edit" aspectratio="f"/>
                    </v:line>
                  </w:pict>
                </mc:Fallback>
              </mc:AlternateContent>
            </w:r>
            <w:r>
              <w:rPr>
                <w:rFonts w:eastAsia="宋体"/>
                <w:b/>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1712595</wp:posOffset>
                      </wp:positionH>
                      <wp:positionV relativeFrom="paragraph">
                        <wp:posOffset>118110</wp:posOffset>
                      </wp:positionV>
                      <wp:extent cx="297180" cy="0"/>
                      <wp:effectExtent l="0" t="38100" r="7620" b="38100"/>
                      <wp:wrapNone/>
                      <wp:docPr id="9" name="直接连接符 9"/>
                      <wp:cNvGraphicFramePr/>
                      <a:graphic xmlns:a="http://schemas.openxmlformats.org/drawingml/2006/main">
                        <a:graphicData uri="http://schemas.microsoft.com/office/word/2010/wordprocessingShape">
                          <wps:wsp>
                            <wps:cNvCnPr/>
                            <wps:spPr>
                              <a:xfrm>
                                <a:off x="0" y="0"/>
                                <a:ext cx="29718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4.85pt;margin-top:9.3pt;height:0pt;width:23.4pt;z-index:251661312;mso-width-relative:page;mso-height-relative:page;" filled="f" stroked="t" coordsize="21600,21600" o:gfxdata="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9tq3nYAAAACQEAAA8AAAAAAAAAAQAgAAAAIgAAAGRycy9kb3du&#10;cmV2LnhtbFBLAQIUABQAAAAIAIdO4kCnNLsU/wEAAPUDAAAOAAAAAAAAAAEAIAAAACcBAABkcnMv&#10;ZTJvRG9jLnhtbFBLBQYAAAAABgAGAFkBAACYBQAAAAA=&#10;">
                      <v:fill on="f" focussize="0,0"/>
                      <v:stroke color="#000000" joinstyle="round" endarrow="block"/>
                      <v:imagedata o:title=""/>
                      <o:lock v:ext="edit" aspectratio="f"/>
                    </v:line>
                  </w:pict>
                </mc:Fallback>
              </mc:AlternateContent>
            </w:r>
          </w:p>
          <w:p>
            <w:pPr>
              <w:pStyle w:val="32"/>
              <w:adjustRightInd/>
              <w:spacing w:line="360" w:lineRule="auto"/>
              <w:ind w:firstLine="420" w:firstLineChars="200"/>
              <w:textAlignment w:val="auto"/>
              <w:rPr>
                <w:rFonts w:eastAsia="宋体"/>
                <w:color w:val="auto"/>
                <w:kern w:val="0"/>
              </w:rPr>
            </w:pPr>
          </w:p>
          <w:p>
            <w:pPr>
              <w:pStyle w:val="32"/>
              <w:adjustRightInd/>
              <w:spacing w:line="360" w:lineRule="auto"/>
              <w:ind w:firstLine="422" w:firstLineChars="200"/>
              <w:jc w:val="center"/>
              <w:textAlignment w:val="auto"/>
              <w:rPr>
                <w:rFonts w:eastAsia="宋体"/>
                <w:color w:val="auto"/>
                <w:kern w:val="0"/>
              </w:rPr>
            </w:pPr>
            <w:r>
              <w:rPr>
                <w:rFonts w:hAnsi="宋体" w:eastAsia="宋体"/>
                <w:b/>
                <w:color w:val="auto"/>
              </w:rPr>
              <w:t>图</w:t>
            </w:r>
            <w:r>
              <w:rPr>
                <w:rFonts w:hint="eastAsia" w:eastAsia="宋体"/>
                <w:b/>
                <w:color w:val="auto"/>
              </w:rPr>
              <w:t>4</w:t>
            </w:r>
            <w:r>
              <w:rPr>
                <w:rFonts w:eastAsia="宋体"/>
                <w:b/>
                <w:color w:val="auto"/>
              </w:rPr>
              <w:t>-1</w:t>
            </w:r>
            <w:r>
              <w:rPr>
                <w:rFonts w:hAnsi="宋体" w:eastAsia="宋体"/>
                <w:b/>
                <w:color w:val="auto"/>
              </w:rPr>
              <w:t>废气处理工艺流程图</w:t>
            </w:r>
          </w:p>
          <w:p>
            <w:pPr>
              <w:numPr>
                <w:ilvl w:val="0"/>
                <w:numId w:val="4"/>
              </w:numPr>
              <w:snapToGrid w:val="0"/>
              <w:spacing w:line="360" w:lineRule="auto"/>
              <w:ind w:firstLine="480" w:firstLineChars="200"/>
              <w:rPr>
                <w:rFonts w:hAnsi="宋体" w:eastAsia="宋体"/>
                <w:color w:val="auto"/>
                <w:sz w:val="24"/>
                <w:szCs w:val="24"/>
              </w:rPr>
            </w:pPr>
            <w:r>
              <w:rPr>
                <w:rFonts w:hint="eastAsia" w:hAnsi="宋体" w:eastAsia="宋体"/>
                <w:color w:val="auto"/>
                <w:sz w:val="24"/>
                <w:szCs w:val="24"/>
              </w:rPr>
              <w:t>废气处理原理及去除效率分析</w:t>
            </w:r>
          </w:p>
          <w:p>
            <w:pPr>
              <w:spacing w:line="360" w:lineRule="auto"/>
              <w:ind w:firstLine="480" w:firstLineChars="200"/>
              <w:rPr>
                <w:color w:val="auto"/>
                <w:sz w:val="24"/>
                <w:szCs w:val="24"/>
              </w:rPr>
            </w:pPr>
            <w:r>
              <w:rPr>
                <w:rFonts w:hAnsi="宋体" w:eastAsia="宋体"/>
                <w:color w:val="auto"/>
                <w:sz w:val="24"/>
                <w:szCs w:val="24"/>
              </w:rPr>
              <w:t>活性炭吸附：</w:t>
            </w:r>
            <w:r>
              <w:rPr>
                <w:rFonts w:hint="eastAsia" w:eastAsia="宋体"/>
                <w:color w:val="auto"/>
                <w:sz w:val="24"/>
                <w:szCs w:val="24"/>
              </w:rPr>
              <w:t>活性炭对有机分子具有吸附作用，其依靠</w:t>
            </w:r>
            <w:r>
              <w:rPr>
                <w:color w:val="auto"/>
                <w:sz w:val="24"/>
                <w:szCs w:val="24"/>
              </w:rPr>
              <w:t>Ⅰ</w:t>
            </w:r>
            <w:r>
              <w:rPr>
                <w:rFonts w:hint="eastAsia" w:eastAsia="宋体"/>
                <w:color w:val="auto"/>
                <w:sz w:val="24"/>
                <w:szCs w:val="24"/>
              </w:rPr>
              <w:t>自身独特的孔隙结构：活性炭是一种主要由含碳材料制成的外观呈黑色，内部孔隙结构发达、比表面积大、吸附能力强的一类微晶质碳素材料。活性炭材料中有大量肉眼看不见的微孔，</w:t>
            </w:r>
            <w:r>
              <w:rPr>
                <w:color w:val="auto"/>
                <w:sz w:val="24"/>
                <w:szCs w:val="24"/>
              </w:rPr>
              <w:t>1</w:t>
            </w:r>
            <w:r>
              <w:rPr>
                <w:rFonts w:hint="eastAsia" w:eastAsia="宋体"/>
                <w:color w:val="auto"/>
                <w:sz w:val="24"/>
                <w:szCs w:val="24"/>
              </w:rPr>
              <w:t>克活性炭材料中微孔，将其展开后表面积可高达</w:t>
            </w:r>
            <w:r>
              <w:rPr>
                <w:color w:val="auto"/>
                <w:sz w:val="24"/>
                <w:szCs w:val="24"/>
              </w:rPr>
              <w:t>800~1500</w:t>
            </w:r>
            <w:r>
              <w:rPr>
                <w:rFonts w:hint="eastAsia" w:eastAsia="宋体"/>
                <w:color w:val="auto"/>
                <w:sz w:val="24"/>
                <w:szCs w:val="24"/>
              </w:rPr>
              <w:t>平方米，特殊用途的更高。在一个米粒大小的活性炭颗粒中，微孔的内表面积可能相当于一个客厅面积的大小。正是这些高度发达，如人体毛细血管般的孔隙结构，使活性炭拥有了优良的吸附性能。</w:t>
            </w:r>
            <w:r>
              <w:rPr>
                <w:color w:val="auto"/>
                <w:sz w:val="24"/>
                <w:szCs w:val="24"/>
              </w:rPr>
              <w:t>Ⅱ</w:t>
            </w:r>
            <w:r>
              <w:rPr>
                <w:rFonts w:hint="eastAsia" w:eastAsia="宋体"/>
                <w:color w:val="auto"/>
                <w:sz w:val="24"/>
                <w:szCs w:val="24"/>
              </w:rPr>
              <w:t>分子之间相互吸附的作用力：也叫</w:t>
            </w:r>
            <w:r>
              <w:rPr>
                <w:color w:val="auto"/>
                <w:sz w:val="24"/>
                <w:szCs w:val="24"/>
              </w:rPr>
              <w:t>“</w:t>
            </w:r>
            <w:r>
              <w:rPr>
                <w:rFonts w:hint="eastAsia" w:eastAsia="宋体"/>
                <w:color w:val="auto"/>
                <w:sz w:val="24"/>
                <w:szCs w:val="24"/>
              </w:rPr>
              <w:t>范德瓦引力</w:t>
            </w:r>
            <w:r>
              <w:rPr>
                <w:color w:val="auto"/>
                <w:sz w:val="24"/>
                <w:szCs w:val="24"/>
              </w:rPr>
              <w:t>”</w:t>
            </w:r>
            <w:r>
              <w:rPr>
                <w:rFonts w:hint="eastAsia" w:eastAsia="宋体"/>
                <w:color w:val="auto"/>
                <w:sz w:val="24"/>
                <w:szCs w:val="24"/>
              </w:rPr>
              <w:t>。虽然分子运动速度受温度和材质等原因的影响，但它在微环境下始终是不停运动的。由于分子之间拥有相互吸引的作用力，当一个分子被活性炭内孔捕捉进入到活性炭内孔隙中后，由于分子之间相互吸引的原因，会导致更多的分子不断被吸引，直到添满活性炭内孔隙为止。</w:t>
            </w:r>
          </w:p>
          <w:p>
            <w:pPr>
              <w:spacing w:line="360" w:lineRule="auto"/>
              <w:ind w:firstLine="480" w:firstLineChars="200"/>
              <w:rPr>
                <w:color w:val="auto"/>
                <w:sz w:val="24"/>
                <w:szCs w:val="24"/>
              </w:rPr>
            </w:pPr>
            <w:r>
              <w:rPr>
                <w:rFonts w:hint="eastAsia" w:eastAsia="宋体"/>
                <w:color w:val="auto"/>
                <w:sz w:val="24"/>
                <w:szCs w:val="24"/>
              </w:rPr>
              <w:t>利用活性炭多微孔的吸附特性吸附有机废气是一种最有效的工业处理手段。活性炭吸附装置采用新型活性炭，该活性炭比表面积和孔隙率大，吸附能力强，具有较好的机械强度、化学稳定性和热稳定性。有机废气通过吸附装置，与活性炭接触，废气中的有机污染物被吸附在活性炭表面，从而从气流中脱离出来，达到净化效果。</w:t>
            </w:r>
          </w:p>
          <w:p>
            <w:pPr>
              <w:spacing w:line="360" w:lineRule="auto"/>
              <w:ind w:firstLine="480" w:firstLineChars="200"/>
              <w:rPr>
                <w:rFonts w:eastAsia="宋体"/>
                <w:color w:val="auto"/>
                <w:sz w:val="24"/>
                <w:szCs w:val="24"/>
              </w:rPr>
            </w:pPr>
            <w:r>
              <w:rPr>
                <w:rFonts w:hint="eastAsia" w:eastAsia="宋体"/>
                <w:color w:val="auto"/>
                <w:sz w:val="24"/>
                <w:szCs w:val="24"/>
              </w:rPr>
              <w:t>根据同类企业的类比调查，且根据范李科，刘旭，卢冬梅《颗粒活性炭对挥发性有机气体的吸附研究》范李科（山东化工，</w:t>
            </w:r>
            <w:r>
              <w:rPr>
                <w:color w:val="auto"/>
                <w:sz w:val="24"/>
                <w:szCs w:val="24"/>
              </w:rPr>
              <w:t>2016(15</w:t>
            </w:r>
            <w:r>
              <w:rPr>
                <w:rFonts w:hint="eastAsia" w:eastAsia="宋体"/>
                <w:color w:val="auto"/>
                <w:sz w:val="24"/>
                <w:szCs w:val="24"/>
              </w:rPr>
              <w:t>期）可知，活性炭对有机废气气体的的吸收率可达</w:t>
            </w:r>
            <w:r>
              <w:rPr>
                <w:rFonts w:hint="eastAsia" w:eastAsia="宋体"/>
                <w:color w:val="auto"/>
                <w:sz w:val="24"/>
                <w:szCs w:val="24"/>
                <w:lang w:val="en-US" w:eastAsia="zh-CN"/>
              </w:rPr>
              <w:t>60-70%，本项目吸附率取中间值：</w:t>
            </w:r>
            <w:r>
              <w:rPr>
                <w:rFonts w:hint="eastAsia" w:eastAsia="宋体"/>
                <w:color w:val="auto"/>
                <w:sz w:val="24"/>
                <w:szCs w:val="24"/>
              </w:rPr>
              <w:t>6</w:t>
            </w:r>
            <w:r>
              <w:rPr>
                <w:rFonts w:hint="eastAsia" w:eastAsia="宋体"/>
                <w:color w:val="auto"/>
                <w:sz w:val="24"/>
                <w:szCs w:val="24"/>
                <w:lang w:val="en-US" w:eastAsia="zh-CN"/>
              </w:rPr>
              <w:t>5</w:t>
            </w:r>
            <w:r>
              <w:rPr>
                <w:rFonts w:hint="eastAsia" w:eastAsia="宋体"/>
                <w:color w:val="auto"/>
                <w:sz w:val="24"/>
                <w:szCs w:val="24"/>
              </w:rPr>
              <w:t>％。</w:t>
            </w:r>
          </w:p>
          <w:p>
            <w:pPr>
              <w:spacing w:line="360" w:lineRule="auto"/>
              <w:ind w:firstLine="480" w:firstLineChars="200"/>
              <w:rPr>
                <w:rFonts w:eastAsia="宋体"/>
                <w:color w:val="auto"/>
                <w:sz w:val="24"/>
                <w:szCs w:val="24"/>
              </w:rPr>
            </w:pPr>
            <w:r>
              <w:rPr>
                <w:rFonts w:hAnsi="宋体" w:eastAsia="宋体"/>
                <w:color w:val="auto"/>
                <w:sz w:val="24"/>
                <w:szCs w:val="24"/>
              </w:rPr>
              <w:t>（</w:t>
            </w:r>
            <w:r>
              <w:rPr>
                <w:rFonts w:eastAsia="宋体"/>
                <w:color w:val="auto"/>
                <w:sz w:val="24"/>
                <w:szCs w:val="24"/>
              </w:rPr>
              <w:t>3</w:t>
            </w:r>
            <w:r>
              <w:rPr>
                <w:rFonts w:hAnsi="宋体" w:eastAsia="宋体"/>
                <w:color w:val="auto"/>
                <w:sz w:val="24"/>
                <w:szCs w:val="24"/>
              </w:rPr>
              <w:t>）废气污染物达标排放分析</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u w:val="single"/>
              </w:rPr>
              <w:t>由于各类废气的发生比例与操作温度、原料性能等诸多因素有关，较难进行准确定量计算，以非甲烷总烃来计。根据</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第二次全国污染源普查产排污核算系数手册292塑料制品业系数手册</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，非甲烷总烃的排放系数为</w:t>
            </w:r>
            <w:r>
              <w:rPr>
                <w:rFonts w:hint="eastAsia" w:ascii="宋体" w:hAnsi="宋体" w:eastAsia="宋体"/>
                <w:color w:val="auto"/>
                <w:sz w:val="24"/>
                <w:szCs w:val="24"/>
                <w:u w:val="single"/>
                <w:lang w:val="en-US" w:eastAsia="zh-CN"/>
              </w:rPr>
              <w:t>1.5</w:t>
            </w:r>
            <w:r>
              <w:rPr>
                <w:rFonts w:hint="eastAsia" w:ascii="宋体" w:hAnsi="宋体" w:eastAsia="宋体"/>
                <w:color w:val="auto"/>
                <w:sz w:val="24"/>
                <w:szCs w:val="24"/>
                <w:u w:val="single"/>
              </w:rPr>
              <w:t>kg/t</w:t>
            </w:r>
            <w:r>
              <w:rPr>
                <w:rFonts w:hint="eastAsia" w:ascii="宋体" w:hAnsi="宋体" w:eastAsia="宋体"/>
                <w:color w:val="auto"/>
                <w:sz w:val="24"/>
                <w:szCs w:val="24"/>
                <w:u w:val="single"/>
                <w:lang w:val="en-US" w:eastAsia="zh-CN"/>
              </w:rPr>
              <w:t>产品</w:t>
            </w:r>
            <w:r>
              <w:rPr>
                <w:rFonts w:hint="eastAsia" w:ascii="宋体" w:hAnsi="宋体" w:eastAsia="宋体"/>
                <w:color w:val="auto"/>
                <w:sz w:val="24"/>
                <w:szCs w:val="24"/>
                <w:u w:val="single"/>
              </w:rPr>
              <w:t>，本项目</w:t>
            </w:r>
            <w:r>
              <w:rPr>
                <w:rFonts w:hint="eastAsia" w:ascii="宋体" w:hAnsi="宋体" w:eastAsia="宋体"/>
                <w:color w:val="auto"/>
                <w:sz w:val="24"/>
                <w:szCs w:val="24"/>
                <w:u w:val="single"/>
                <w:lang w:val="en-US" w:eastAsia="zh-CN"/>
              </w:rPr>
              <w:t>产品</w:t>
            </w:r>
            <w:r>
              <w:rPr>
                <w:rFonts w:hint="eastAsia" w:ascii="宋体" w:hAnsi="宋体" w:eastAsia="宋体"/>
                <w:color w:val="auto"/>
                <w:sz w:val="24"/>
                <w:szCs w:val="24"/>
                <w:u w:val="single"/>
              </w:rPr>
              <w:t>量共</w:t>
            </w:r>
            <w:r>
              <w:rPr>
                <w:rFonts w:hint="eastAsia" w:ascii="宋体" w:hAnsi="宋体" w:eastAsia="宋体"/>
                <w:color w:val="auto"/>
                <w:sz w:val="24"/>
                <w:szCs w:val="24"/>
                <w:u w:val="single"/>
                <w:lang w:val="en-US" w:eastAsia="zh-CN"/>
              </w:rPr>
              <w:t>1500</w:t>
            </w:r>
            <w:r>
              <w:rPr>
                <w:rFonts w:hint="eastAsia" w:ascii="宋体" w:hAnsi="宋体" w:eastAsia="宋体"/>
                <w:color w:val="auto"/>
                <w:sz w:val="24"/>
                <w:szCs w:val="24"/>
                <w:u w:val="single"/>
              </w:rPr>
              <w:t>t/a，则非甲烷总烃产生量为</w:t>
            </w:r>
            <w:r>
              <w:rPr>
                <w:rFonts w:hint="eastAsia" w:ascii="宋体" w:hAnsi="宋体" w:eastAsia="宋体"/>
                <w:color w:val="auto"/>
                <w:sz w:val="24"/>
                <w:szCs w:val="24"/>
                <w:u w:val="single"/>
                <w:lang w:val="en-US" w:eastAsia="zh-CN"/>
              </w:rPr>
              <w:t>2.25</w:t>
            </w:r>
            <w:r>
              <w:rPr>
                <w:rFonts w:hint="eastAsia" w:ascii="宋体" w:hAnsi="宋体" w:eastAsia="宋体"/>
                <w:color w:val="auto"/>
                <w:sz w:val="24"/>
                <w:szCs w:val="24"/>
                <w:u w:val="single"/>
              </w:rPr>
              <w:t>t/a。根据</w:t>
            </w:r>
            <w:r>
              <w:rPr>
                <w:rFonts w:hint="eastAsia" w:hAnsi="宋体"/>
                <w:bCs/>
                <w:sz w:val="24"/>
                <w:u w:val="single"/>
              </w:rPr>
              <w:t>《挥发性有机物治理排查工作方案》（环大气〔2021〕65号）</w:t>
            </w:r>
            <w:r>
              <w:rPr>
                <w:rFonts w:hint="eastAsia" w:hAnsi="宋体"/>
                <w:bCs/>
                <w:sz w:val="24"/>
                <w:u w:val="single"/>
                <w:lang w:eastAsia="zh-CN"/>
              </w:rPr>
              <w:t>，</w:t>
            </w:r>
            <w:r>
              <w:rPr>
                <w:rFonts w:hint="eastAsia" w:hAnsi="宋体"/>
                <w:bCs/>
                <w:sz w:val="24"/>
                <w:u w:val="single"/>
              </w:rPr>
              <w:t>产生VOCs的生产环节优先采用密闭设备、在密闭空间中操作或采用全密闭集气罩收集方式，并保持负压运行</w:t>
            </w:r>
            <w:r>
              <w:rPr>
                <w:rFonts w:hint="eastAsia" w:ascii="宋体" w:hAnsi="宋体" w:eastAsia="宋体"/>
                <w:color w:val="auto"/>
                <w:sz w:val="24"/>
                <w:szCs w:val="24"/>
                <w:u w:val="single"/>
              </w:rPr>
              <w:t>，建设单位将熔融挤出机密闭，并在上方设置集气罩收集，将废气引至排气总管道后，送至UV光氧催化+活性炭吸附装置处理，设计收集效率90%，根据《湖南省制造业（工业涂装）VOCs排放量测算技术指南》中制造业（工业涂装）通用系数，光催化氧化法处理效率为70%，活性炭吸附法处理效率与温度、湿度有关关，去除效率50%-80%，项目取中间值65%，集气罩收集效率为90%，风机风量为</w:t>
            </w:r>
            <w:r>
              <w:rPr>
                <w:rFonts w:hint="eastAsia" w:ascii="宋体" w:hAnsi="宋体" w:eastAsia="宋体"/>
                <w:color w:val="auto"/>
                <w:sz w:val="24"/>
                <w:szCs w:val="24"/>
                <w:u w:val="single"/>
                <w:lang w:val="en-US" w:eastAsia="zh-CN"/>
              </w:rPr>
              <w:t>12</w:t>
            </w:r>
            <w:r>
              <w:rPr>
                <w:rFonts w:hint="eastAsia" w:ascii="宋体" w:hAnsi="宋体" w:eastAsia="宋体"/>
                <w:color w:val="auto"/>
                <w:sz w:val="24"/>
                <w:szCs w:val="24"/>
                <w:u w:val="single"/>
              </w:rPr>
              <w:t>000m³/h</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rPr>
              <w:t>因此，项目非甲烷总烃有组织排放量为</w:t>
            </w:r>
            <w:r>
              <w:rPr>
                <w:rFonts w:hint="eastAsia" w:ascii="宋体" w:hAnsi="宋体" w:eastAsia="宋体"/>
                <w:color w:val="auto"/>
                <w:sz w:val="24"/>
                <w:szCs w:val="24"/>
                <w:u w:val="single"/>
                <w:lang w:val="en-US" w:eastAsia="zh-CN"/>
              </w:rPr>
              <w:t>0.2126</w:t>
            </w:r>
            <w:r>
              <w:rPr>
                <w:rFonts w:hint="eastAsia" w:ascii="宋体" w:hAnsi="宋体" w:eastAsia="宋体"/>
                <w:color w:val="auto"/>
                <w:sz w:val="24"/>
                <w:szCs w:val="24"/>
                <w:u w:val="single"/>
              </w:rPr>
              <w:t>t/a，排放速率为</w:t>
            </w:r>
            <w:r>
              <w:rPr>
                <w:rFonts w:hint="eastAsia" w:ascii="宋体" w:hAnsi="宋体" w:eastAsia="宋体"/>
                <w:color w:val="auto"/>
                <w:sz w:val="24"/>
                <w:szCs w:val="24"/>
                <w:u w:val="single"/>
                <w:lang w:val="en-US" w:eastAsia="zh-CN"/>
              </w:rPr>
              <w:t>0.055</w:t>
            </w:r>
            <w:r>
              <w:rPr>
                <w:rFonts w:hint="eastAsia" w:ascii="宋体" w:hAnsi="宋体" w:eastAsia="宋体"/>
                <w:color w:val="auto"/>
                <w:sz w:val="24"/>
                <w:szCs w:val="24"/>
                <w:u w:val="single"/>
              </w:rPr>
              <w:t>kg/h，排放浓度为</w:t>
            </w:r>
            <w:r>
              <w:rPr>
                <w:rFonts w:hint="eastAsia" w:ascii="宋体" w:hAnsi="宋体" w:eastAsia="宋体"/>
                <w:color w:val="auto"/>
                <w:sz w:val="24"/>
                <w:szCs w:val="24"/>
                <w:u w:val="single"/>
                <w:lang w:val="en-US" w:eastAsia="zh-CN"/>
              </w:rPr>
              <w:t>4.61</w:t>
            </w:r>
            <w:r>
              <w:rPr>
                <w:rFonts w:hint="eastAsia" w:ascii="宋体" w:hAnsi="宋体" w:eastAsia="宋体"/>
                <w:color w:val="auto"/>
                <w:sz w:val="24"/>
                <w:szCs w:val="24"/>
                <w:u w:val="single"/>
              </w:rPr>
              <w:t>mg/m³；项目未经集气罩收集的非甲烷总烃呈无组织排放，排放量为</w:t>
            </w:r>
            <w:r>
              <w:rPr>
                <w:rFonts w:hint="eastAsia" w:ascii="宋体" w:hAnsi="宋体" w:eastAsia="宋体"/>
                <w:color w:val="auto"/>
                <w:sz w:val="24"/>
                <w:szCs w:val="24"/>
                <w:u w:val="single"/>
                <w:lang w:val="en-US" w:eastAsia="zh-CN"/>
              </w:rPr>
              <w:t>0.225</w:t>
            </w:r>
            <w:r>
              <w:rPr>
                <w:rFonts w:hint="eastAsia" w:ascii="宋体" w:hAnsi="宋体" w:eastAsia="宋体"/>
                <w:color w:val="auto"/>
                <w:sz w:val="24"/>
                <w:szCs w:val="24"/>
                <w:u w:val="single"/>
              </w:rPr>
              <w:t>t/a，排放速率为</w:t>
            </w:r>
            <w:r>
              <w:rPr>
                <w:rFonts w:hint="eastAsia" w:ascii="宋体" w:hAnsi="宋体" w:eastAsia="宋体"/>
                <w:color w:val="auto"/>
                <w:sz w:val="24"/>
                <w:szCs w:val="24"/>
                <w:u w:val="single"/>
                <w:lang w:val="en-US" w:eastAsia="zh-CN"/>
              </w:rPr>
              <w:t>0.0586</w:t>
            </w:r>
            <w:r>
              <w:rPr>
                <w:rFonts w:hint="eastAsia" w:ascii="宋体" w:hAnsi="宋体" w:eastAsia="宋体"/>
                <w:color w:val="auto"/>
                <w:sz w:val="24"/>
                <w:szCs w:val="24"/>
                <w:u w:val="single"/>
              </w:rPr>
              <w:t>kg/h</w:t>
            </w:r>
            <w:r>
              <w:rPr>
                <w:rFonts w:hint="eastAsia" w:ascii="宋体" w:hAnsi="宋体" w:eastAsia="宋体"/>
                <w:color w:val="auto"/>
                <w:sz w:val="24"/>
                <w:szCs w:val="24"/>
                <w:u w:val="single"/>
                <w:lang w:eastAsia="zh-CN"/>
              </w:rPr>
              <w:t>，非甲烷总烃排放浓度</w:t>
            </w:r>
            <w:r>
              <w:rPr>
                <w:rFonts w:hint="eastAsia" w:ascii="宋体" w:hAnsi="宋体" w:eastAsia="宋体"/>
                <w:color w:val="auto"/>
                <w:sz w:val="24"/>
                <w:szCs w:val="24"/>
                <w:u w:val="single"/>
                <w:lang w:val="en-US" w:eastAsia="zh-CN"/>
              </w:rPr>
              <w:t>能达到</w:t>
            </w:r>
            <w:r>
              <w:rPr>
                <w:rFonts w:hint="eastAsia" w:ascii="宋体" w:hAnsi="宋体" w:eastAsia="宋体"/>
                <w:color w:val="auto"/>
                <w:sz w:val="24"/>
                <w:szCs w:val="24"/>
                <w:u w:val="single"/>
                <w:lang w:eastAsia="zh-CN"/>
              </w:rPr>
              <w:t>《合成树脂工业污染物排放标准》（GB31572-2015）表</w:t>
            </w:r>
            <w:r>
              <w:rPr>
                <w:rFonts w:hint="eastAsia" w:ascii="宋体" w:hAnsi="宋体" w:eastAsia="宋体"/>
                <w:color w:val="auto"/>
                <w:sz w:val="24"/>
                <w:szCs w:val="24"/>
                <w:u w:val="single"/>
                <w:lang w:val="en-US" w:eastAsia="zh-CN"/>
              </w:rPr>
              <w:t>4</w:t>
            </w:r>
            <w:r>
              <w:rPr>
                <w:rFonts w:hint="eastAsia" w:ascii="宋体" w:hAnsi="宋体" w:eastAsia="宋体"/>
                <w:color w:val="auto"/>
                <w:sz w:val="24"/>
                <w:szCs w:val="24"/>
                <w:u w:val="single"/>
                <w:lang w:eastAsia="zh-CN"/>
              </w:rPr>
              <w:t>、表9标准</w:t>
            </w:r>
            <w:r>
              <w:rPr>
                <w:rFonts w:ascii="宋体" w:hAnsi="宋体" w:eastAsia="宋体"/>
                <w:color w:val="auto"/>
                <w:szCs w:val="21"/>
              </w:rPr>
              <w:t>。</w:t>
            </w:r>
          </w:p>
          <w:p>
            <w:pPr>
              <w:numPr>
                <w:ilvl w:val="0"/>
                <w:numId w:val="0"/>
              </w:numPr>
              <w:snapToGrid w:val="0"/>
              <w:spacing w:line="360" w:lineRule="auto"/>
              <w:ind w:leftChars="200"/>
              <w:rPr>
                <w:rFonts w:hint="eastAsia" w:ascii="宋体" w:hAnsi="宋体" w:eastAsia="宋体"/>
                <w:color w:val="auto"/>
                <w:sz w:val="24"/>
                <w:szCs w:val="24"/>
                <w:u w:val="single"/>
                <w:lang w:val="en-US" w:eastAsia="zh-CN"/>
              </w:rPr>
            </w:pPr>
            <w:r>
              <w:rPr>
                <w:rFonts w:hint="eastAsia" w:ascii="宋体" w:hAnsi="宋体" w:eastAsia="宋体"/>
                <w:color w:val="auto"/>
                <w:sz w:val="24"/>
                <w:szCs w:val="24"/>
                <w:u w:val="single"/>
                <w:lang w:val="en-US" w:eastAsia="zh-CN"/>
              </w:rPr>
              <w:t>（4）废气处理设施相关要求</w:t>
            </w:r>
          </w:p>
          <w:p>
            <w:pPr>
              <w:numPr>
                <w:ilvl w:val="0"/>
                <w:numId w:val="0"/>
              </w:numPr>
              <w:snapToGrid w:val="0"/>
              <w:spacing w:line="360" w:lineRule="auto"/>
              <w:ind w:firstLine="480" w:firstLineChars="200"/>
              <w:rPr>
                <w:rFonts w:hint="eastAsia" w:ascii="宋体" w:hAnsi="宋体" w:eastAsia="宋体"/>
                <w:color w:val="auto"/>
                <w:sz w:val="24"/>
                <w:szCs w:val="24"/>
                <w:u w:val="single"/>
                <w:lang w:eastAsia="zh-CN"/>
              </w:rPr>
            </w:pPr>
            <w:r>
              <w:rPr>
                <w:rFonts w:hint="eastAsia" w:ascii="宋体" w:hAnsi="宋体" w:eastAsia="宋体"/>
                <w:color w:val="auto"/>
                <w:sz w:val="24"/>
                <w:szCs w:val="24"/>
                <w:u w:val="single"/>
                <w:lang w:val="en-US" w:eastAsia="zh-CN"/>
              </w:rPr>
              <w:t>根据《挥发性有机物治理排查工作方案》（环大气〔2021〕65号），项目废气处理设施集气罩边缘风速必须满足大于0.3m/s风速要求</w:t>
            </w:r>
            <w:r>
              <w:rPr>
                <w:rFonts w:hint="eastAsia" w:ascii="宋体" w:hAnsi="宋体" w:eastAsia="宋体"/>
                <w:color w:val="auto"/>
                <w:sz w:val="24"/>
                <w:szCs w:val="24"/>
                <w:u w:val="single"/>
                <w:lang w:eastAsia="zh-CN"/>
              </w:rPr>
              <w:t>；为确保活性炭处于有效吸附状态，建议企业确保定期更换活性炭，建立活性炭更换记录台账，废活性炭在厂内暂存必须符合暂存要求，存放在密闭的桶内，防止被吸附的有机废气解析释放出来，并且暂存处应做好防风、防雨、防渗漏措施，避免对环境产生二次污染。</w:t>
            </w:r>
          </w:p>
          <w:p>
            <w:pPr>
              <w:spacing w:line="360" w:lineRule="auto"/>
              <w:rPr>
                <w:rFonts w:ascii="Times New Roman" w:hAnsi="Times New Roman" w:eastAsia="Times New Roman"/>
                <w:b/>
                <w:bCs/>
                <w:color w:val="auto"/>
                <w:szCs w:val="21"/>
              </w:rPr>
            </w:pPr>
            <w:r>
              <w:rPr>
                <w:rFonts w:hint="eastAsia" w:ascii="Times New Roman" w:hAnsi="Times New Roman" w:eastAsia="宋体"/>
                <w:b/>
                <w:bCs/>
                <w:color w:val="auto"/>
                <w:szCs w:val="21"/>
                <w:lang w:val="en-US" w:eastAsia="zh-CN"/>
              </w:rPr>
              <w:t>3</w:t>
            </w:r>
            <w:r>
              <w:rPr>
                <w:rFonts w:ascii="Times New Roman" w:hAnsi="Times New Roman" w:eastAsia="Times New Roman"/>
                <w:b/>
                <w:bCs/>
                <w:color w:val="auto"/>
                <w:szCs w:val="21"/>
              </w:rPr>
              <w:t>）</w:t>
            </w:r>
            <w:r>
              <w:rPr>
                <w:rFonts w:hint="eastAsia" w:ascii="Times New Roman" w:hAnsi="Times New Roman" w:eastAsia="Times New Roman"/>
                <w:b/>
                <w:bCs/>
                <w:color w:val="auto"/>
                <w:szCs w:val="21"/>
              </w:rPr>
              <w:t>食堂油烟</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本项目厂内用餐人员10人，年工作240天。根据类比调查，人均食用油消耗量以3kg/100人·餐计算，则项目员工食用油消耗量约为0.9kg/d(216kg/a)，由于烹饪时温度较高，故有少量油分解、挥发，据类比估计，分解、挥发量按3%计算，则厨房油烟产生量为6.48kg/a。食堂每天运行3小时，油烟排放量约为2000m</w:t>
            </w:r>
            <w:r>
              <w:rPr>
                <w:rFonts w:hint="eastAsia" w:ascii="宋体" w:hAnsi="宋体" w:eastAsia="宋体"/>
                <w:color w:val="auto"/>
                <w:sz w:val="24"/>
                <w:szCs w:val="24"/>
                <w:vertAlign w:val="superscript"/>
              </w:rPr>
              <w:t>3</w:t>
            </w:r>
            <w:r>
              <w:rPr>
                <w:rFonts w:hint="eastAsia" w:ascii="宋体" w:hAnsi="宋体" w:eastAsia="宋体"/>
                <w:color w:val="auto"/>
                <w:sz w:val="24"/>
                <w:szCs w:val="24"/>
              </w:rPr>
              <w:t>/h,食堂厨房油烟产生浓度约为4.5mg/m</w:t>
            </w:r>
            <w:r>
              <w:rPr>
                <w:rFonts w:hint="eastAsia" w:ascii="宋体" w:hAnsi="宋体" w:eastAsia="宋体"/>
                <w:color w:val="auto"/>
                <w:sz w:val="24"/>
                <w:szCs w:val="24"/>
                <w:vertAlign w:val="superscript"/>
              </w:rPr>
              <w:t>3</w:t>
            </w:r>
            <w:r>
              <w:rPr>
                <w:rFonts w:hint="eastAsia" w:ascii="宋体" w:hAnsi="宋体" w:eastAsia="宋体"/>
                <w:color w:val="auto"/>
                <w:sz w:val="24"/>
                <w:szCs w:val="24"/>
              </w:rPr>
              <w:t>，项目采用中型油烟净化器（净化效率75%）净化处理后排放浓度为1.125mg/m</w:t>
            </w:r>
            <w:r>
              <w:rPr>
                <w:rFonts w:hint="eastAsia" w:ascii="宋体" w:hAnsi="宋体" w:eastAsia="宋体"/>
                <w:color w:val="auto"/>
                <w:sz w:val="24"/>
                <w:szCs w:val="24"/>
                <w:vertAlign w:val="superscript"/>
              </w:rPr>
              <w:t>3</w:t>
            </w:r>
            <w:r>
              <w:rPr>
                <w:rFonts w:hint="eastAsia" w:ascii="宋体" w:hAnsi="宋体" w:eastAsia="宋体"/>
                <w:color w:val="auto"/>
                <w:sz w:val="24"/>
                <w:szCs w:val="24"/>
              </w:rPr>
              <w:t>，满足《饮食业油烟排放标准》（GB18483-2001）中排放标准</w:t>
            </w:r>
            <w:r>
              <w:rPr>
                <w:rFonts w:ascii="宋体" w:hAnsi="宋体" w:eastAsia="宋体"/>
                <w:color w:val="auto"/>
                <w:szCs w:val="21"/>
              </w:rPr>
              <w:t>。</w:t>
            </w:r>
          </w:p>
          <w:p>
            <w:pPr>
              <w:pStyle w:val="6"/>
              <w:jc w:val="both"/>
              <w:rPr>
                <w:rFonts w:ascii="宋体" w:hAnsi="宋体" w:eastAsia="宋体"/>
                <w:color w:val="auto"/>
                <w:sz w:val="21"/>
                <w:szCs w:val="21"/>
              </w:rPr>
            </w:pPr>
            <w:r>
              <w:rPr>
                <w:rFonts w:hint="eastAsia" w:ascii="Times New Roman" w:hAnsi="Times New Roman" w:eastAsia="宋体"/>
                <w:color w:val="auto"/>
                <w:sz w:val="21"/>
                <w:szCs w:val="21"/>
              </w:rPr>
              <w:t>5</w:t>
            </w:r>
            <w:r>
              <w:rPr>
                <w:rFonts w:ascii="Times New Roman" w:hAnsi="Times New Roman" w:eastAsia="Times New Roman"/>
                <w:color w:val="auto"/>
                <w:sz w:val="21"/>
                <w:szCs w:val="21"/>
              </w:rPr>
              <w:t>）排放量</w:t>
            </w:r>
            <w:r>
              <w:rPr>
                <w:rFonts w:ascii="宋体" w:hAnsi="宋体" w:eastAsia="宋体"/>
                <w:color w:val="auto"/>
                <w:sz w:val="21"/>
                <w:szCs w:val="21"/>
              </w:rPr>
              <w:t>核算</w:t>
            </w:r>
          </w:p>
          <w:p>
            <w:pPr>
              <w:jc w:val="center"/>
              <w:rPr>
                <w:rFonts w:hint="default" w:eastAsia="宋体"/>
                <w:b/>
                <w:bCs/>
                <w:sz w:val="21"/>
                <w:szCs w:val="21"/>
                <w:u w:val="none"/>
                <w:lang w:val="en-US" w:eastAsia="zh-CN"/>
              </w:rPr>
            </w:pPr>
            <w:r>
              <w:rPr>
                <w:rFonts w:hint="eastAsia"/>
                <w:b/>
                <w:bCs/>
                <w:sz w:val="21"/>
                <w:szCs w:val="21"/>
                <w:u w:val="none"/>
                <w:lang w:val="en-US" w:eastAsia="zh-CN"/>
              </w:rPr>
              <w:t>表4-1废气污染源基本情况</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39"/>
              <w:gridCol w:w="989"/>
              <w:gridCol w:w="702"/>
              <w:gridCol w:w="1376"/>
              <w:gridCol w:w="686"/>
              <w:gridCol w:w="686"/>
              <w:gridCol w:w="686"/>
              <w:gridCol w:w="611"/>
              <w:gridCol w:w="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774"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none"/>
                      <w:lang w:val="en-US" w:eastAsia="zh-CN"/>
                    </w:rPr>
                  </w:pPr>
                  <w:r>
                    <w:rPr>
                      <w:rFonts w:hint="eastAsia"/>
                      <w:color w:val="000000"/>
                      <w:sz w:val="21"/>
                      <w:szCs w:val="21"/>
                      <w:u w:val="none"/>
                      <w:lang w:val="en-US" w:eastAsia="zh-CN"/>
                    </w:rPr>
                    <w:t>产排污环节</w:t>
                  </w:r>
                </w:p>
              </w:tc>
              <w:tc>
                <w:tcPr>
                  <w:tcW w:w="739"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none"/>
                      <w:lang w:val="en-US" w:eastAsia="zh-CN"/>
                    </w:rPr>
                  </w:pPr>
                  <w:r>
                    <w:rPr>
                      <w:rFonts w:hint="eastAsia"/>
                      <w:color w:val="000000"/>
                      <w:sz w:val="21"/>
                      <w:szCs w:val="21"/>
                      <w:u w:val="none"/>
                      <w:lang w:val="en-US" w:eastAsia="zh-CN"/>
                    </w:rPr>
                    <w:t>污染物种类</w:t>
                  </w:r>
                </w:p>
              </w:tc>
              <w:tc>
                <w:tcPr>
                  <w:tcW w:w="989"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none"/>
                      <w:lang w:val="en-US" w:eastAsia="zh-CN"/>
                    </w:rPr>
                  </w:pPr>
                  <w:r>
                    <w:rPr>
                      <w:rFonts w:hint="eastAsia"/>
                      <w:color w:val="000000"/>
                      <w:sz w:val="21"/>
                      <w:szCs w:val="21"/>
                      <w:u w:val="none"/>
                      <w:lang w:val="en-US" w:eastAsia="zh-CN"/>
                    </w:rPr>
                    <w:t>污染物产生量及浓度</w:t>
                  </w:r>
                </w:p>
              </w:tc>
              <w:tc>
                <w:tcPr>
                  <w:tcW w:w="702"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none"/>
                      <w:lang w:val="en-US" w:eastAsia="zh-CN"/>
                    </w:rPr>
                  </w:pPr>
                  <w:r>
                    <w:rPr>
                      <w:rFonts w:hint="eastAsia"/>
                      <w:color w:val="000000"/>
                      <w:sz w:val="21"/>
                      <w:szCs w:val="21"/>
                      <w:u w:val="none"/>
                      <w:lang w:val="en-US" w:eastAsia="zh-CN"/>
                    </w:rPr>
                    <w:t>排放形式</w:t>
                  </w:r>
                </w:p>
              </w:tc>
              <w:tc>
                <w:tcPr>
                  <w:tcW w:w="1376"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none"/>
                      <w:lang w:val="en-US" w:eastAsia="zh-CN"/>
                    </w:rPr>
                  </w:pPr>
                  <w:r>
                    <w:rPr>
                      <w:rFonts w:hint="eastAsia"/>
                      <w:color w:val="000000"/>
                      <w:sz w:val="21"/>
                      <w:szCs w:val="21"/>
                      <w:u w:val="none"/>
                      <w:lang w:val="en-US" w:eastAsia="zh-CN"/>
                    </w:rPr>
                    <w:t>治理设施</w:t>
                  </w:r>
                </w:p>
              </w:tc>
              <w:tc>
                <w:tcPr>
                  <w:tcW w:w="686" w:type="dxa"/>
                  <w:tcBorders>
                    <w:tl2br w:val="nil"/>
                    <w:tr2bl w:val="nil"/>
                  </w:tcBorders>
                  <w:noWrap w:val="0"/>
                  <w:vAlign w:val="center"/>
                </w:tcPr>
                <w:p>
                  <w:pPr>
                    <w:spacing w:before="62" w:beforeLines="20" w:after="62" w:afterLines="20" w:line="240" w:lineRule="auto"/>
                    <w:jc w:val="center"/>
                    <w:rPr>
                      <w:rFonts w:hint="default"/>
                      <w:color w:val="000000"/>
                      <w:sz w:val="21"/>
                      <w:szCs w:val="21"/>
                      <w:u w:val="none"/>
                      <w:lang w:val="en-US" w:eastAsia="zh-CN"/>
                    </w:rPr>
                  </w:pPr>
                  <w:r>
                    <w:rPr>
                      <w:rFonts w:hint="eastAsia"/>
                      <w:color w:val="000000"/>
                      <w:sz w:val="21"/>
                      <w:szCs w:val="21"/>
                      <w:u w:val="none"/>
                      <w:lang w:val="en-US" w:eastAsia="zh-CN"/>
                    </w:rPr>
                    <w:t>收集效率</w:t>
                  </w:r>
                </w:p>
              </w:tc>
              <w:tc>
                <w:tcPr>
                  <w:tcW w:w="686" w:type="dxa"/>
                  <w:tcBorders>
                    <w:tl2br w:val="nil"/>
                    <w:tr2bl w:val="nil"/>
                  </w:tcBorders>
                  <w:noWrap w:val="0"/>
                  <w:vAlign w:val="center"/>
                </w:tcPr>
                <w:p>
                  <w:pPr>
                    <w:spacing w:before="62" w:beforeLines="20" w:after="62" w:afterLines="20" w:line="240" w:lineRule="auto"/>
                    <w:jc w:val="center"/>
                    <w:rPr>
                      <w:rFonts w:hint="default"/>
                      <w:color w:val="000000"/>
                      <w:sz w:val="21"/>
                      <w:szCs w:val="21"/>
                      <w:u w:val="none"/>
                      <w:lang w:val="en-US" w:eastAsia="zh-CN"/>
                    </w:rPr>
                  </w:pPr>
                  <w:r>
                    <w:rPr>
                      <w:rFonts w:hint="eastAsia"/>
                      <w:color w:val="000000"/>
                      <w:sz w:val="21"/>
                      <w:szCs w:val="21"/>
                      <w:u w:val="none"/>
                      <w:lang w:val="en-US" w:eastAsia="zh-CN"/>
                    </w:rPr>
                    <w:t>治理工艺去除率</w:t>
                  </w:r>
                </w:p>
              </w:tc>
              <w:tc>
                <w:tcPr>
                  <w:tcW w:w="686"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排放速率</w:t>
                  </w:r>
                </w:p>
              </w:tc>
              <w:tc>
                <w:tcPr>
                  <w:tcW w:w="611"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none"/>
                      <w:lang w:val="en-US" w:eastAsia="zh-CN"/>
                    </w:rPr>
                  </w:pPr>
                  <w:r>
                    <w:rPr>
                      <w:rFonts w:hint="eastAsia"/>
                      <w:color w:val="000000"/>
                      <w:sz w:val="21"/>
                      <w:szCs w:val="21"/>
                      <w:u w:val="none"/>
                      <w:lang w:val="en-US" w:eastAsia="zh-CN"/>
                    </w:rPr>
                    <w:t>排放量</w:t>
                  </w:r>
                </w:p>
              </w:tc>
              <w:tc>
                <w:tcPr>
                  <w:tcW w:w="621"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none"/>
                      <w:lang w:val="en-US" w:eastAsia="zh-CN"/>
                    </w:rPr>
                  </w:pPr>
                  <w:r>
                    <w:rPr>
                      <w:rFonts w:hint="eastAsia"/>
                      <w:szCs w:val="21"/>
                      <w:u w:val="none"/>
                      <w:lang w:val="en-US" w:eastAsia="zh-CN"/>
                    </w:rPr>
                    <w:t>设施工艺可行性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single"/>
                      <w:lang w:val="en-US" w:eastAsia="zh-CN"/>
                    </w:rPr>
                  </w:pPr>
                  <w:r>
                    <w:rPr>
                      <w:rFonts w:hint="eastAsia"/>
                      <w:color w:val="000000"/>
                      <w:sz w:val="21"/>
                      <w:szCs w:val="21"/>
                      <w:u w:val="single"/>
                      <w:lang w:val="en-US" w:eastAsia="zh-CN"/>
                    </w:rPr>
                    <w:t>项目熔融、发泡、挤塑</w:t>
                  </w:r>
                </w:p>
              </w:tc>
              <w:tc>
                <w:tcPr>
                  <w:tcW w:w="739"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single"/>
                      <w:lang w:val="en-US" w:eastAsia="zh-CN"/>
                    </w:rPr>
                  </w:pPr>
                  <w:r>
                    <w:rPr>
                      <w:rFonts w:hint="eastAsia"/>
                      <w:color w:val="000000"/>
                      <w:sz w:val="21"/>
                      <w:szCs w:val="21"/>
                      <w:u w:val="single"/>
                      <w:lang w:val="en-US" w:eastAsia="zh-CN"/>
                    </w:rPr>
                    <w:t>非甲烷总烃</w:t>
                  </w:r>
                </w:p>
              </w:tc>
              <w:tc>
                <w:tcPr>
                  <w:tcW w:w="989" w:type="dxa"/>
                  <w:tcBorders>
                    <w:tl2br w:val="nil"/>
                    <w:tr2bl w:val="nil"/>
                  </w:tcBorders>
                  <w:noWrap w:val="0"/>
                  <w:vAlign w:val="center"/>
                </w:tcPr>
                <w:p>
                  <w:pPr>
                    <w:spacing w:before="62" w:beforeLines="20" w:after="62" w:afterLines="20" w:line="240" w:lineRule="auto"/>
                    <w:jc w:val="center"/>
                    <w:rPr>
                      <w:rFonts w:hint="eastAsia"/>
                      <w:color w:val="auto"/>
                      <w:sz w:val="21"/>
                      <w:szCs w:val="21"/>
                      <w:u w:val="single"/>
                    </w:rPr>
                  </w:pPr>
                  <w:r>
                    <w:rPr>
                      <w:rFonts w:hint="eastAsia"/>
                      <w:color w:val="auto"/>
                      <w:u w:val="single"/>
                      <w:lang w:val="en-US" w:eastAsia="zh-CN"/>
                    </w:rPr>
                    <w:t>2.025</w:t>
                  </w:r>
                  <w:r>
                    <w:rPr>
                      <w:color w:val="auto"/>
                      <w:u w:val="single"/>
                    </w:rPr>
                    <w:t>t/</w:t>
                  </w:r>
                  <w:r>
                    <w:rPr>
                      <w:rFonts w:hint="eastAsia"/>
                      <w:color w:val="auto"/>
                      <w:u w:val="single"/>
                      <w:lang w:val="en-US" w:eastAsia="zh-CN"/>
                    </w:rPr>
                    <w:t>a</w:t>
                  </w:r>
                  <w:r>
                    <w:rPr>
                      <w:rFonts w:hint="eastAsia"/>
                      <w:color w:val="auto"/>
                      <w:u w:val="single"/>
                      <w:lang w:eastAsia="zh-CN"/>
                    </w:rPr>
                    <w:t>，</w:t>
                  </w:r>
                  <w:r>
                    <w:rPr>
                      <w:rFonts w:hint="eastAsia"/>
                      <w:color w:val="auto"/>
                      <w:u w:val="single"/>
                      <w:lang w:val="en-US" w:eastAsia="zh-CN"/>
                    </w:rPr>
                    <w:t>43.95</w:t>
                  </w:r>
                  <w:r>
                    <w:rPr>
                      <w:color w:val="auto"/>
                      <w:u w:val="single"/>
                    </w:rPr>
                    <w:t>mg/m</w:t>
                  </w:r>
                  <w:r>
                    <w:rPr>
                      <w:color w:val="auto"/>
                      <w:u w:val="single"/>
                      <w:vertAlign w:val="superscript"/>
                    </w:rPr>
                    <w:t>3</w:t>
                  </w:r>
                </w:p>
              </w:tc>
              <w:tc>
                <w:tcPr>
                  <w:tcW w:w="702"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single"/>
                      <w:lang w:val="en-US" w:eastAsia="zh-CN"/>
                    </w:rPr>
                  </w:pPr>
                  <w:r>
                    <w:rPr>
                      <w:rFonts w:hint="eastAsia"/>
                      <w:color w:val="000000"/>
                      <w:sz w:val="21"/>
                      <w:szCs w:val="21"/>
                      <w:u w:val="single"/>
                      <w:lang w:val="en-US" w:eastAsia="zh-CN"/>
                    </w:rPr>
                    <w:t>有组织</w:t>
                  </w:r>
                </w:p>
              </w:tc>
              <w:tc>
                <w:tcPr>
                  <w:tcW w:w="1376"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szCs w:val="21"/>
                      <w:u w:val="single"/>
                      <w:lang w:val="en-US" w:eastAsia="zh-CN"/>
                    </w:rPr>
                    <w:t>生产线全封闭+喷淋+UV光氧催化+活性炭吸附</w:t>
                  </w:r>
                  <w:r>
                    <w:rPr>
                      <w:rFonts w:hint="eastAsia"/>
                      <w:color w:val="auto"/>
                      <w:szCs w:val="21"/>
                      <w:u w:val="single"/>
                    </w:rPr>
                    <w:t>+15m排气筒(DA001)</w:t>
                  </w:r>
                </w:p>
              </w:tc>
              <w:tc>
                <w:tcPr>
                  <w:tcW w:w="686" w:type="dxa"/>
                  <w:tcBorders>
                    <w:tl2br w:val="nil"/>
                    <w:tr2bl w:val="nil"/>
                  </w:tcBorders>
                  <w:noWrap w:val="0"/>
                  <w:vAlign w:val="center"/>
                </w:tcPr>
                <w:p>
                  <w:pPr>
                    <w:spacing w:before="62" w:beforeLines="20" w:after="62" w:afterLines="20" w:line="240" w:lineRule="auto"/>
                    <w:jc w:val="center"/>
                    <w:rPr>
                      <w:rFonts w:hint="default"/>
                      <w:color w:val="auto"/>
                      <w:u w:val="single"/>
                      <w:lang w:val="en-US" w:eastAsia="zh-CN"/>
                    </w:rPr>
                  </w:pPr>
                  <w:r>
                    <w:rPr>
                      <w:rFonts w:hint="eastAsia"/>
                      <w:color w:val="auto"/>
                      <w:u w:val="single"/>
                      <w:lang w:val="en-US" w:eastAsia="zh-CN"/>
                    </w:rPr>
                    <w:t>90%</w:t>
                  </w:r>
                </w:p>
              </w:tc>
              <w:tc>
                <w:tcPr>
                  <w:tcW w:w="686" w:type="dxa"/>
                  <w:tcBorders>
                    <w:tl2br w:val="nil"/>
                    <w:tr2bl w:val="nil"/>
                  </w:tcBorders>
                  <w:noWrap w:val="0"/>
                  <w:vAlign w:val="center"/>
                </w:tcPr>
                <w:p>
                  <w:pPr>
                    <w:spacing w:before="62" w:beforeLines="20" w:after="62" w:afterLines="20" w:line="240" w:lineRule="auto"/>
                    <w:jc w:val="center"/>
                    <w:rPr>
                      <w:rFonts w:hint="default"/>
                      <w:color w:val="auto"/>
                      <w:u w:val="single"/>
                      <w:lang w:val="en-US" w:eastAsia="zh-CN"/>
                    </w:rPr>
                  </w:pPr>
                  <w:r>
                    <w:rPr>
                      <w:rFonts w:hint="eastAsia"/>
                      <w:color w:val="auto"/>
                      <w:u w:val="single"/>
                      <w:lang w:val="en-US" w:eastAsia="zh-CN"/>
                    </w:rPr>
                    <w:t>65%+70%</w:t>
                  </w:r>
                </w:p>
              </w:tc>
              <w:tc>
                <w:tcPr>
                  <w:tcW w:w="686"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u w:val="single"/>
                      <w:lang w:val="en-US" w:eastAsia="zh-CN"/>
                    </w:rPr>
                    <w:t>0.055</w:t>
                  </w:r>
                  <w:r>
                    <w:rPr>
                      <w:rFonts w:hint="eastAsia"/>
                      <w:color w:val="auto"/>
                      <w:u w:val="single"/>
                    </w:rPr>
                    <w:t>kg/h</w:t>
                  </w:r>
                </w:p>
              </w:tc>
              <w:tc>
                <w:tcPr>
                  <w:tcW w:w="611"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u w:val="single"/>
                      <w:lang w:val="en-US" w:eastAsia="zh-CN"/>
                    </w:rPr>
                    <w:t>0.2126</w:t>
                  </w:r>
                  <w:r>
                    <w:rPr>
                      <w:color w:val="auto"/>
                      <w:u w:val="single"/>
                    </w:rPr>
                    <w:t>t/a</w:t>
                  </w:r>
                </w:p>
              </w:tc>
              <w:tc>
                <w:tcPr>
                  <w:tcW w:w="621" w:type="dxa"/>
                  <w:tcBorders>
                    <w:tl2br w:val="nil"/>
                    <w:tr2bl w:val="nil"/>
                  </w:tcBorders>
                  <w:noWrap w:val="0"/>
                  <w:vAlign w:val="center"/>
                </w:tcPr>
                <w:p>
                  <w:pPr>
                    <w:spacing w:before="62" w:beforeLines="20" w:after="62" w:afterLines="20" w:line="240" w:lineRule="auto"/>
                    <w:jc w:val="center"/>
                    <w:rPr>
                      <w:rFonts w:hint="eastAsia" w:eastAsia="宋体"/>
                      <w:color w:val="auto"/>
                      <w:u w:val="single"/>
                      <w:lang w:val="en-US" w:eastAsia="zh-CN"/>
                    </w:rPr>
                  </w:pPr>
                  <w:r>
                    <w:rPr>
                      <w:rFonts w:hint="eastAsia"/>
                      <w:color w:val="auto"/>
                      <w:u w:val="single"/>
                      <w:lang w:val="en-US" w:eastAsia="zh-CN"/>
                    </w:rPr>
                    <w:t>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bCs/>
                      <w:color w:val="auto"/>
                      <w:szCs w:val="21"/>
                      <w:u w:val="single"/>
                      <w:lang w:val="en-US" w:eastAsia="zh-CN"/>
                    </w:rPr>
                    <w:t>破碎、</w:t>
                  </w:r>
                  <w:r>
                    <w:rPr>
                      <w:rFonts w:hint="eastAsia"/>
                      <w:bCs/>
                      <w:color w:val="auto"/>
                      <w:szCs w:val="21"/>
                      <w:u w:val="single"/>
                    </w:rPr>
                    <w:t>切割粉尘</w:t>
                  </w:r>
                </w:p>
              </w:tc>
              <w:tc>
                <w:tcPr>
                  <w:tcW w:w="739"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szCs w:val="21"/>
                      <w:u w:val="single"/>
                    </w:rPr>
                    <w:t>颗粒物</w:t>
                  </w:r>
                </w:p>
              </w:tc>
              <w:tc>
                <w:tcPr>
                  <w:tcW w:w="989" w:type="dxa"/>
                  <w:tcBorders>
                    <w:tl2br w:val="nil"/>
                    <w:tr2bl w:val="nil"/>
                  </w:tcBorders>
                  <w:noWrap w:val="0"/>
                  <w:vAlign w:val="center"/>
                </w:tcPr>
                <w:p>
                  <w:pPr>
                    <w:spacing w:line="240" w:lineRule="auto"/>
                    <w:jc w:val="center"/>
                    <w:rPr>
                      <w:rFonts w:hint="eastAsia" w:eastAsia="宋体"/>
                      <w:color w:val="auto"/>
                      <w:sz w:val="21"/>
                      <w:szCs w:val="21"/>
                      <w:u w:val="single"/>
                      <w:lang w:eastAsia="zh-CN"/>
                    </w:rPr>
                  </w:pPr>
                  <w:r>
                    <w:rPr>
                      <w:rFonts w:hint="eastAsia"/>
                      <w:color w:val="auto"/>
                      <w:u w:val="single"/>
                      <w:lang w:val="en-US" w:eastAsia="zh-CN"/>
                    </w:rPr>
                    <w:t>1.197</w:t>
                  </w:r>
                  <w:r>
                    <w:rPr>
                      <w:color w:val="auto"/>
                      <w:u w:val="single"/>
                    </w:rPr>
                    <w:t>t/a</w:t>
                  </w:r>
                  <w:r>
                    <w:rPr>
                      <w:rFonts w:hint="eastAsia"/>
                      <w:color w:val="auto"/>
                      <w:u w:val="single"/>
                      <w:lang w:eastAsia="zh-CN"/>
                    </w:rPr>
                    <w:t>，</w:t>
                  </w:r>
                  <w:r>
                    <w:rPr>
                      <w:rFonts w:hint="eastAsia"/>
                      <w:color w:val="auto"/>
                      <w:u w:val="single"/>
                      <w:lang w:val="en-US" w:eastAsia="zh-CN"/>
                    </w:rPr>
                    <w:t>25.98</w:t>
                  </w:r>
                  <w:r>
                    <w:rPr>
                      <w:color w:val="auto"/>
                      <w:u w:val="single"/>
                    </w:rPr>
                    <w:t>mg/m</w:t>
                  </w:r>
                  <w:r>
                    <w:rPr>
                      <w:color w:val="auto"/>
                      <w:u w:val="single"/>
                      <w:vertAlign w:val="superscript"/>
                    </w:rPr>
                    <w:t>3</w:t>
                  </w:r>
                </w:p>
              </w:tc>
              <w:tc>
                <w:tcPr>
                  <w:tcW w:w="702"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single"/>
                      <w:lang w:val="en-US" w:eastAsia="zh-CN"/>
                    </w:rPr>
                  </w:pPr>
                  <w:r>
                    <w:rPr>
                      <w:rFonts w:hint="eastAsia"/>
                      <w:color w:val="000000"/>
                      <w:sz w:val="21"/>
                      <w:szCs w:val="21"/>
                      <w:u w:val="single"/>
                      <w:lang w:val="en-US" w:eastAsia="zh-CN"/>
                    </w:rPr>
                    <w:t>有组织</w:t>
                  </w:r>
                </w:p>
              </w:tc>
              <w:tc>
                <w:tcPr>
                  <w:tcW w:w="1376"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szCs w:val="21"/>
                      <w:u w:val="single"/>
                      <w:lang w:val="en-US" w:eastAsia="zh-CN"/>
                    </w:rPr>
                    <w:t>生产线封闭+</w:t>
                  </w:r>
                  <w:r>
                    <w:rPr>
                      <w:rFonts w:hint="eastAsia"/>
                      <w:color w:val="auto"/>
                      <w:szCs w:val="21"/>
                      <w:u w:val="single"/>
                    </w:rPr>
                    <w:t>布袋除尘器+</w:t>
                  </w:r>
                  <w:r>
                    <w:rPr>
                      <w:rFonts w:hint="eastAsia"/>
                      <w:color w:val="auto"/>
                      <w:szCs w:val="21"/>
                      <w:u w:val="single"/>
                      <w:lang w:val="en-US" w:eastAsia="zh-CN"/>
                    </w:rPr>
                    <w:t>喷淋+</w:t>
                  </w:r>
                  <w:r>
                    <w:rPr>
                      <w:rFonts w:hint="eastAsia"/>
                      <w:color w:val="auto"/>
                      <w:szCs w:val="21"/>
                      <w:u w:val="single"/>
                    </w:rPr>
                    <w:t>15m排气筒(DA001)</w:t>
                  </w:r>
                </w:p>
              </w:tc>
              <w:tc>
                <w:tcPr>
                  <w:tcW w:w="686" w:type="dxa"/>
                  <w:tcBorders>
                    <w:tl2br w:val="nil"/>
                    <w:tr2bl w:val="nil"/>
                  </w:tcBorders>
                  <w:noWrap w:val="0"/>
                  <w:vAlign w:val="center"/>
                </w:tcPr>
                <w:p>
                  <w:pPr>
                    <w:spacing w:before="62" w:beforeLines="20" w:after="62" w:afterLines="20" w:line="240" w:lineRule="auto"/>
                    <w:jc w:val="center"/>
                    <w:rPr>
                      <w:rFonts w:hint="default" w:eastAsia="宋体"/>
                      <w:color w:val="auto"/>
                      <w:u w:val="single"/>
                      <w:lang w:val="en-US" w:eastAsia="zh-CN"/>
                    </w:rPr>
                  </w:pPr>
                  <w:r>
                    <w:rPr>
                      <w:rFonts w:hint="eastAsia"/>
                      <w:color w:val="auto"/>
                      <w:u w:val="single"/>
                      <w:lang w:val="en-US" w:eastAsia="zh-CN"/>
                    </w:rPr>
                    <w:t>90%</w:t>
                  </w:r>
                </w:p>
              </w:tc>
              <w:tc>
                <w:tcPr>
                  <w:tcW w:w="686" w:type="dxa"/>
                  <w:tcBorders>
                    <w:tl2br w:val="nil"/>
                    <w:tr2bl w:val="nil"/>
                  </w:tcBorders>
                  <w:noWrap w:val="0"/>
                  <w:vAlign w:val="center"/>
                </w:tcPr>
                <w:p>
                  <w:pPr>
                    <w:spacing w:before="62" w:beforeLines="20" w:after="62" w:afterLines="20" w:line="240" w:lineRule="auto"/>
                    <w:jc w:val="center"/>
                    <w:rPr>
                      <w:rFonts w:hint="default" w:eastAsia="宋体"/>
                      <w:color w:val="auto"/>
                      <w:u w:val="single"/>
                      <w:lang w:val="en-US" w:eastAsia="zh-CN"/>
                    </w:rPr>
                  </w:pPr>
                  <w:r>
                    <w:rPr>
                      <w:rFonts w:hint="eastAsia"/>
                      <w:color w:val="auto"/>
                      <w:u w:val="single"/>
                      <w:lang w:val="en-US" w:eastAsia="zh-CN"/>
                    </w:rPr>
                    <w:t>90%</w:t>
                  </w:r>
                </w:p>
              </w:tc>
              <w:tc>
                <w:tcPr>
                  <w:tcW w:w="686"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u w:val="single"/>
                      <w:lang w:val="en-US" w:eastAsia="zh-CN"/>
                    </w:rPr>
                    <w:t>0.1247</w:t>
                  </w:r>
                  <w:r>
                    <w:rPr>
                      <w:rFonts w:hint="eastAsia"/>
                      <w:color w:val="auto"/>
                      <w:u w:val="single"/>
                    </w:rPr>
                    <w:t>kg/h</w:t>
                  </w:r>
                </w:p>
              </w:tc>
              <w:tc>
                <w:tcPr>
                  <w:tcW w:w="611"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u w:val="single"/>
                      <w:lang w:val="en-US" w:eastAsia="zh-CN"/>
                    </w:rPr>
                    <w:t>0.4788</w:t>
                  </w:r>
                  <w:r>
                    <w:rPr>
                      <w:color w:val="auto"/>
                      <w:u w:val="single"/>
                    </w:rPr>
                    <w:t>t/a</w:t>
                  </w:r>
                </w:p>
              </w:tc>
              <w:tc>
                <w:tcPr>
                  <w:tcW w:w="621" w:type="dxa"/>
                  <w:tcBorders>
                    <w:tl2br w:val="nil"/>
                    <w:tr2bl w:val="nil"/>
                  </w:tcBorders>
                  <w:noWrap w:val="0"/>
                  <w:vAlign w:val="center"/>
                </w:tcPr>
                <w:p>
                  <w:pPr>
                    <w:spacing w:line="240" w:lineRule="auto"/>
                    <w:jc w:val="center"/>
                    <w:rPr>
                      <w:rFonts w:hint="eastAsia"/>
                      <w:color w:val="auto"/>
                      <w:u w:val="single"/>
                    </w:rPr>
                  </w:pPr>
                  <w:r>
                    <w:rPr>
                      <w:rFonts w:hint="eastAsia"/>
                      <w:color w:val="auto"/>
                      <w:u w:val="single"/>
                      <w:lang w:val="en-US" w:eastAsia="zh-CN"/>
                    </w:rPr>
                    <w:t>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000000"/>
                      <w:sz w:val="21"/>
                      <w:szCs w:val="21"/>
                      <w:u w:val="single"/>
                      <w:lang w:val="en-US" w:eastAsia="zh-CN"/>
                    </w:rPr>
                    <w:t>项目熔融、发泡、挤塑</w:t>
                  </w:r>
                </w:p>
              </w:tc>
              <w:tc>
                <w:tcPr>
                  <w:tcW w:w="739" w:type="dxa"/>
                  <w:tcBorders>
                    <w:tl2br w:val="nil"/>
                    <w:tr2bl w:val="nil"/>
                  </w:tcBorders>
                  <w:noWrap w:val="0"/>
                  <w:vAlign w:val="center"/>
                </w:tcPr>
                <w:p>
                  <w:pPr>
                    <w:spacing w:line="240" w:lineRule="auto"/>
                    <w:jc w:val="center"/>
                    <w:rPr>
                      <w:rFonts w:hint="eastAsia" w:asciiTheme="minorHAnsi" w:hAnsiTheme="minorHAnsi" w:eastAsiaTheme="minorEastAsia" w:cstheme="minorBidi"/>
                      <w:color w:val="000000"/>
                      <w:kern w:val="2"/>
                      <w:sz w:val="21"/>
                      <w:szCs w:val="21"/>
                      <w:u w:val="single"/>
                      <w:lang w:val="en-US" w:eastAsia="zh-CN" w:bidi="ar-SA"/>
                    </w:rPr>
                  </w:pPr>
                  <w:r>
                    <w:rPr>
                      <w:rFonts w:hint="eastAsia"/>
                      <w:color w:val="auto"/>
                      <w:szCs w:val="21"/>
                      <w:u w:val="single"/>
                    </w:rPr>
                    <w:t>非甲烷总烃</w:t>
                  </w:r>
                </w:p>
              </w:tc>
              <w:tc>
                <w:tcPr>
                  <w:tcW w:w="989" w:type="dxa"/>
                  <w:tcBorders>
                    <w:tl2br w:val="nil"/>
                    <w:tr2bl w:val="nil"/>
                  </w:tcBorders>
                  <w:noWrap w:val="0"/>
                  <w:vAlign w:val="center"/>
                </w:tcPr>
                <w:p>
                  <w:pPr>
                    <w:spacing w:line="240" w:lineRule="auto"/>
                    <w:jc w:val="center"/>
                    <w:rPr>
                      <w:rFonts w:hint="default" w:eastAsia="宋体" w:asciiTheme="minorHAnsi" w:hAnsiTheme="minorHAnsi" w:cstheme="minorBidi"/>
                      <w:color w:val="000000"/>
                      <w:kern w:val="2"/>
                      <w:sz w:val="21"/>
                      <w:szCs w:val="21"/>
                      <w:u w:val="single"/>
                      <w:lang w:val="en-US" w:eastAsia="zh-CN" w:bidi="ar-SA"/>
                    </w:rPr>
                  </w:pPr>
                  <w:r>
                    <w:rPr>
                      <w:rFonts w:hint="eastAsia"/>
                      <w:color w:val="auto"/>
                      <w:u w:val="single"/>
                      <w:lang w:val="en-US" w:eastAsia="zh-CN"/>
                    </w:rPr>
                    <w:t>0.225</w:t>
                  </w:r>
                  <w:r>
                    <w:rPr>
                      <w:rFonts w:hint="eastAsia"/>
                      <w:color w:val="auto"/>
                      <w:u w:val="single"/>
                    </w:rPr>
                    <w:t>t/a</w:t>
                  </w:r>
                  <w:r>
                    <w:rPr>
                      <w:rFonts w:hint="eastAsia"/>
                      <w:color w:val="auto"/>
                      <w:u w:val="single"/>
                      <w:lang w:eastAsia="zh-CN"/>
                    </w:rPr>
                    <w:t>，</w:t>
                  </w:r>
                  <w:r>
                    <w:rPr>
                      <w:rFonts w:hint="eastAsia"/>
                      <w:color w:val="auto"/>
                      <w:u w:val="single"/>
                      <w:lang w:val="en-US" w:eastAsia="zh-CN"/>
                    </w:rPr>
                    <w:t>0.0586kg/h</w:t>
                  </w:r>
                </w:p>
              </w:tc>
              <w:tc>
                <w:tcPr>
                  <w:tcW w:w="702" w:type="dxa"/>
                  <w:tcBorders>
                    <w:tl2br w:val="nil"/>
                    <w:tr2bl w:val="nil"/>
                  </w:tcBorders>
                  <w:noWrap w:val="0"/>
                  <w:vAlign w:val="center"/>
                </w:tcPr>
                <w:p>
                  <w:pPr>
                    <w:spacing w:before="62" w:beforeLines="20" w:after="62" w:afterLines="20" w:line="240" w:lineRule="auto"/>
                    <w:jc w:val="center"/>
                    <w:rPr>
                      <w:rFonts w:hint="default" w:eastAsia="宋体"/>
                      <w:color w:val="000000"/>
                      <w:sz w:val="21"/>
                      <w:szCs w:val="21"/>
                      <w:u w:val="single"/>
                      <w:lang w:val="en-US" w:eastAsia="zh-CN"/>
                    </w:rPr>
                  </w:pPr>
                  <w:r>
                    <w:rPr>
                      <w:rFonts w:hint="eastAsia" w:eastAsia="宋体"/>
                      <w:color w:val="000000"/>
                      <w:sz w:val="21"/>
                      <w:szCs w:val="21"/>
                      <w:u w:val="single"/>
                      <w:lang w:val="en-US" w:eastAsia="zh-CN"/>
                    </w:rPr>
                    <w:t>无组织</w:t>
                  </w:r>
                </w:p>
              </w:tc>
              <w:tc>
                <w:tcPr>
                  <w:tcW w:w="1376" w:type="dxa"/>
                  <w:vMerge w:val="restart"/>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szCs w:val="21"/>
                      <w:u w:val="single"/>
                    </w:rPr>
                    <w:t>厂房会进行全场封闭处理，定期采用工业吸尘器清扫</w:t>
                  </w:r>
                </w:p>
              </w:tc>
              <w:tc>
                <w:tcPr>
                  <w:tcW w:w="686" w:type="dxa"/>
                  <w:tcBorders>
                    <w:tl2br w:val="nil"/>
                    <w:tr2bl w:val="nil"/>
                  </w:tcBorders>
                  <w:noWrap w:val="0"/>
                  <w:vAlign w:val="center"/>
                </w:tcPr>
                <w:p>
                  <w:pPr>
                    <w:spacing w:before="62" w:beforeLines="20" w:after="62" w:afterLines="20" w:line="240" w:lineRule="auto"/>
                    <w:jc w:val="center"/>
                    <w:rPr>
                      <w:rFonts w:hint="eastAsia" w:eastAsia="宋体"/>
                      <w:color w:val="auto"/>
                      <w:u w:val="single"/>
                      <w:lang w:val="en-US" w:eastAsia="zh-CN"/>
                    </w:rPr>
                  </w:pPr>
                  <w:r>
                    <w:rPr>
                      <w:rFonts w:hint="eastAsia"/>
                      <w:color w:val="auto"/>
                      <w:u w:val="single"/>
                      <w:lang w:val="en-US" w:eastAsia="zh-CN"/>
                    </w:rPr>
                    <w:t>/</w:t>
                  </w:r>
                </w:p>
              </w:tc>
              <w:tc>
                <w:tcPr>
                  <w:tcW w:w="686" w:type="dxa"/>
                  <w:tcBorders>
                    <w:tl2br w:val="nil"/>
                    <w:tr2bl w:val="nil"/>
                  </w:tcBorders>
                  <w:noWrap w:val="0"/>
                  <w:vAlign w:val="center"/>
                </w:tcPr>
                <w:p>
                  <w:pPr>
                    <w:spacing w:before="62" w:beforeLines="20" w:after="62" w:afterLines="20" w:line="240" w:lineRule="auto"/>
                    <w:jc w:val="center"/>
                    <w:rPr>
                      <w:rFonts w:hint="default" w:eastAsia="宋体"/>
                      <w:color w:val="auto"/>
                      <w:u w:val="single"/>
                      <w:lang w:val="en-US" w:eastAsia="zh-CN"/>
                    </w:rPr>
                  </w:pPr>
                  <w:r>
                    <w:rPr>
                      <w:rFonts w:hint="eastAsia"/>
                      <w:color w:val="auto"/>
                      <w:u w:val="single"/>
                      <w:lang w:val="en-US" w:eastAsia="zh-CN"/>
                    </w:rPr>
                    <w:t>0%</w:t>
                  </w:r>
                </w:p>
              </w:tc>
              <w:tc>
                <w:tcPr>
                  <w:tcW w:w="686"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u w:val="single"/>
                      <w:lang w:val="en-US" w:eastAsia="zh-CN"/>
                    </w:rPr>
                    <w:t>0.0586kg/h</w:t>
                  </w:r>
                </w:p>
              </w:tc>
              <w:tc>
                <w:tcPr>
                  <w:tcW w:w="611"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u w:val="single"/>
                      <w:lang w:val="en-US" w:eastAsia="zh-CN"/>
                    </w:rPr>
                    <w:t>0.225</w:t>
                  </w:r>
                  <w:r>
                    <w:rPr>
                      <w:rFonts w:hint="eastAsia"/>
                      <w:color w:val="auto"/>
                      <w:u w:val="single"/>
                    </w:rPr>
                    <w:t>t/a</w:t>
                  </w:r>
                </w:p>
              </w:tc>
              <w:tc>
                <w:tcPr>
                  <w:tcW w:w="621" w:type="dxa"/>
                  <w:tcBorders>
                    <w:tl2br w:val="nil"/>
                    <w:tr2bl w:val="nil"/>
                  </w:tcBorders>
                  <w:noWrap w:val="0"/>
                  <w:vAlign w:val="center"/>
                </w:tcPr>
                <w:p>
                  <w:pPr>
                    <w:spacing w:line="240" w:lineRule="auto"/>
                    <w:jc w:val="center"/>
                    <w:rPr>
                      <w:rFonts w:hint="eastAsia"/>
                      <w:color w:val="auto"/>
                      <w:u w:val="single"/>
                    </w:rPr>
                  </w:pPr>
                  <w:r>
                    <w:rPr>
                      <w:rFonts w:hint="eastAsia"/>
                      <w:color w:val="auto"/>
                      <w:u w:val="single"/>
                      <w:lang w:val="en-US" w:eastAsia="zh-CN"/>
                    </w:rPr>
                    <w:t>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bCs/>
                      <w:color w:val="auto"/>
                      <w:szCs w:val="21"/>
                      <w:u w:val="single"/>
                    </w:rPr>
                    <w:t>切割</w:t>
                  </w:r>
                  <w:r>
                    <w:rPr>
                      <w:rFonts w:hint="eastAsia"/>
                      <w:bCs/>
                      <w:color w:val="auto"/>
                      <w:szCs w:val="21"/>
                      <w:u w:val="single"/>
                      <w:lang w:eastAsia="zh-CN"/>
                    </w:rPr>
                    <w:t>、破碎</w:t>
                  </w:r>
                  <w:r>
                    <w:rPr>
                      <w:rFonts w:hint="eastAsia"/>
                      <w:bCs/>
                      <w:color w:val="auto"/>
                      <w:szCs w:val="21"/>
                      <w:u w:val="single"/>
                    </w:rPr>
                    <w:t>粉尘</w:t>
                  </w:r>
                </w:p>
              </w:tc>
              <w:tc>
                <w:tcPr>
                  <w:tcW w:w="739"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szCs w:val="21"/>
                      <w:u w:val="single"/>
                    </w:rPr>
                    <w:t>颗粒物</w:t>
                  </w:r>
                </w:p>
              </w:tc>
              <w:tc>
                <w:tcPr>
                  <w:tcW w:w="989" w:type="dxa"/>
                  <w:tcBorders>
                    <w:tl2br w:val="nil"/>
                    <w:tr2bl w:val="nil"/>
                  </w:tcBorders>
                  <w:noWrap w:val="0"/>
                  <w:vAlign w:val="center"/>
                </w:tcPr>
                <w:p>
                  <w:pPr>
                    <w:spacing w:line="240" w:lineRule="auto"/>
                    <w:jc w:val="center"/>
                    <w:rPr>
                      <w:rFonts w:hint="eastAsia" w:eastAsia="宋体"/>
                      <w:color w:val="000000"/>
                      <w:sz w:val="21"/>
                      <w:szCs w:val="21"/>
                      <w:u w:val="single"/>
                      <w:lang w:eastAsia="zh-CN"/>
                    </w:rPr>
                  </w:pPr>
                  <w:r>
                    <w:rPr>
                      <w:rFonts w:hint="eastAsia"/>
                      <w:color w:val="auto"/>
                      <w:u w:val="single"/>
                      <w:lang w:val="en-US" w:eastAsia="zh-CN"/>
                    </w:rPr>
                    <w:t>0.513t/a,0.1335kg/h</w:t>
                  </w:r>
                </w:p>
              </w:tc>
              <w:tc>
                <w:tcPr>
                  <w:tcW w:w="702" w:type="dxa"/>
                  <w:tcBorders>
                    <w:tl2br w:val="nil"/>
                    <w:tr2bl w:val="nil"/>
                  </w:tcBorders>
                  <w:noWrap w:val="0"/>
                  <w:vAlign w:val="center"/>
                </w:tcPr>
                <w:p>
                  <w:pPr>
                    <w:spacing w:before="62" w:beforeLines="20" w:after="62" w:afterLines="20" w:line="240" w:lineRule="auto"/>
                    <w:jc w:val="center"/>
                    <w:rPr>
                      <w:rFonts w:hint="eastAsia" w:eastAsia="宋体"/>
                      <w:color w:val="000000"/>
                      <w:sz w:val="21"/>
                      <w:szCs w:val="21"/>
                      <w:u w:val="single"/>
                      <w:lang w:val="en-US" w:eastAsia="zh-CN"/>
                    </w:rPr>
                  </w:pPr>
                  <w:r>
                    <w:rPr>
                      <w:rFonts w:hint="eastAsia"/>
                      <w:color w:val="000000"/>
                      <w:sz w:val="21"/>
                      <w:szCs w:val="21"/>
                      <w:u w:val="single"/>
                      <w:lang w:val="en-US" w:eastAsia="zh-CN"/>
                    </w:rPr>
                    <w:t>无组织</w:t>
                  </w:r>
                </w:p>
              </w:tc>
              <w:tc>
                <w:tcPr>
                  <w:tcW w:w="1376"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686" w:type="dxa"/>
                  <w:tcBorders>
                    <w:tl2br w:val="nil"/>
                    <w:tr2bl w:val="nil"/>
                  </w:tcBorders>
                  <w:noWrap w:val="0"/>
                  <w:vAlign w:val="center"/>
                </w:tcPr>
                <w:p>
                  <w:pPr>
                    <w:spacing w:before="62" w:beforeLines="20" w:after="62" w:afterLines="20" w:line="240" w:lineRule="auto"/>
                    <w:jc w:val="center"/>
                    <w:rPr>
                      <w:rFonts w:hint="default" w:eastAsia="宋体"/>
                      <w:color w:val="auto"/>
                      <w:u w:val="single"/>
                      <w:lang w:val="en-US" w:eastAsia="zh-CN"/>
                    </w:rPr>
                  </w:pPr>
                  <w:r>
                    <w:rPr>
                      <w:rFonts w:hint="eastAsia"/>
                      <w:color w:val="auto"/>
                      <w:u w:val="single"/>
                      <w:lang w:val="en-US" w:eastAsia="zh-CN"/>
                    </w:rPr>
                    <w:t>/</w:t>
                  </w:r>
                </w:p>
              </w:tc>
              <w:tc>
                <w:tcPr>
                  <w:tcW w:w="686" w:type="dxa"/>
                  <w:tcBorders>
                    <w:tl2br w:val="nil"/>
                    <w:tr2bl w:val="nil"/>
                  </w:tcBorders>
                  <w:noWrap w:val="0"/>
                  <w:vAlign w:val="center"/>
                </w:tcPr>
                <w:p>
                  <w:pPr>
                    <w:spacing w:before="62" w:beforeLines="20" w:after="62" w:afterLines="20" w:line="240" w:lineRule="auto"/>
                    <w:jc w:val="center"/>
                    <w:rPr>
                      <w:rFonts w:hint="default" w:eastAsia="宋体"/>
                      <w:color w:val="auto"/>
                      <w:u w:val="single"/>
                      <w:lang w:val="en-US" w:eastAsia="zh-CN"/>
                    </w:rPr>
                  </w:pPr>
                  <w:r>
                    <w:rPr>
                      <w:rFonts w:hint="eastAsia"/>
                      <w:color w:val="auto"/>
                      <w:u w:val="single"/>
                      <w:lang w:val="en-US" w:eastAsia="zh-CN"/>
                    </w:rPr>
                    <w:t>0%</w:t>
                  </w:r>
                </w:p>
              </w:tc>
              <w:tc>
                <w:tcPr>
                  <w:tcW w:w="686"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u w:val="single"/>
                      <w:lang w:val="en-US" w:eastAsia="zh-CN"/>
                    </w:rPr>
                    <w:t>0.1335</w:t>
                  </w:r>
                  <w:r>
                    <w:rPr>
                      <w:rFonts w:hint="eastAsia"/>
                      <w:color w:val="auto"/>
                      <w:u w:val="single"/>
                    </w:rPr>
                    <w:t>kg/h</w:t>
                  </w:r>
                </w:p>
              </w:tc>
              <w:tc>
                <w:tcPr>
                  <w:tcW w:w="611" w:type="dxa"/>
                  <w:tcBorders>
                    <w:tl2br w:val="nil"/>
                    <w:tr2bl w:val="nil"/>
                  </w:tcBorders>
                  <w:noWrap w:val="0"/>
                  <w:vAlign w:val="center"/>
                </w:tcPr>
                <w:p>
                  <w:pPr>
                    <w:spacing w:line="240" w:lineRule="auto"/>
                    <w:jc w:val="center"/>
                    <w:rPr>
                      <w:rFonts w:hint="eastAsia"/>
                      <w:color w:val="000000"/>
                      <w:sz w:val="21"/>
                      <w:szCs w:val="21"/>
                      <w:u w:val="single"/>
                    </w:rPr>
                  </w:pPr>
                  <w:r>
                    <w:rPr>
                      <w:rFonts w:hint="eastAsia"/>
                      <w:color w:val="auto"/>
                      <w:u w:val="single"/>
                      <w:lang w:val="en-US" w:eastAsia="zh-CN"/>
                    </w:rPr>
                    <w:t>0.513</w:t>
                  </w:r>
                  <w:r>
                    <w:rPr>
                      <w:color w:val="auto"/>
                      <w:u w:val="single"/>
                    </w:rPr>
                    <w:t>t/a</w:t>
                  </w:r>
                </w:p>
              </w:tc>
              <w:tc>
                <w:tcPr>
                  <w:tcW w:w="621" w:type="dxa"/>
                  <w:tcBorders>
                    <w:tl2br w:val="nil"/>
                    <w:tr2bl w:val="nil"/>
                  </w:tcBorders>
                  <w:noWrap w:val="0"/>
                  <w:vAlign w:val="center"/>
                </w:tcPr>
                <w:p>
                  <w:pPr>
                    <w:spacing w:line="240" w:lineRule="auto"/>
                    <w:jc w:val="center"/>
                    <w:rPr>
                      <w:rFonts w:hint="eastAsia"/>
                      <w:color w:val="auto"/>
                      <w:u w:val="single"/>
                    </w:rPr>
                  </w:pPr>
                  <w:r>
                    <w:rPr>
                      <w:rFonts w:hint="eastAsia"/>
                      <w:color w:val="auto"/>
                      <w:u w:val="single"/>
                      <w:lang w:val="en-US" w:eastAsia="zh-CN"/>
                    </w:rPr>
                    <w:t>可行</w:t>
                  </w:r>
                </w:p>
              </w:tc>
            </w:tr>
          </w:tbl>
          <w:p>
            <w:pPr>
              <w:pStyle w:val="37"/>
              <w:numPr>
                <w:ilvl w:val="0"/>
                <w:numId w:val="0"/>
              </w:numPr>
              <w:jc w:val="center"/>
              <w:rPr>
                <w:b/>
                <w:bCs/>
                <w:sz w:val="21"/>
                <w:u w:val="none"/>
              </w:rPr>
            </w:pPr>
            <w:r>
              <w:rPr>
                <w:rFonts w:hint="eastAsia"/>
                <w:b/>
                <w:bCs/>
                <w:sz w:val="21"/>
                <w:u w:val="none"/>
                <w:lang w:val="en-US" w:eastAsia="zh-CN"/>
              </w:rPr>
              <w:t>表4-2</w:t>
            </w:r>
            <w:r>
              <w:rPr>
                <w:rFonts w:hint="eastAsia"/>
                <w:b/>
                <w:bCs/>
                <w:sz w:val="21"/>
                <w:u w:val="none"/>
              </w:rPr>
              <w:t>大气排放口基本</w:t>
            </w:r>
            <w:r>
              <w:rPr>
                <w:b/>
                <w:bCs/>
                <w:sz w:val="21"/>
                <w:u w:val="none"/>
              </w:rPr>
              <w:t>情况表</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48"/>
              <w:gridCol w:w="754"/>
              <w:gridCol w:w="936"/>
              <w:gridCol w:w="1429"/>
              <w:gridCol w:w="1112"/>
              <w:gridCol w:w="1112"/>
              <w:gridCol w:w="694"/>
              <w:gridCol w:w="699"/>
              <w:gridCol w:w="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vMerge w:val="restart"/>
                  <w:tcBorders>
                    <w:tl2br w:val="nil"/>
                    <w:tr2bl w:val="nil"/>
                  </w:tcBorders>
                  <w:noWrap w:val="0"/>
                  <w:vAlign w:val="center"/>
                </w:tcPr>
                <w:p>
                  <w:pPr>
                    <w:pStyle w:val="38"/>
                    <w:keepNext/>
                    <w:rPr>
                      <w:szCs w:val="21"/>
                      <w:u w:val="none"/>
                    </w:rPr>
                  </w:pPr>
                  <w:r>
                    <w:rPr>
                      <w:szCs w:val="21"/>
                      <w:u w:val="none"/>
                    </w:rPr>
                    <w:t>序号</w:t>
                  </w:r>
                </w:p>
              </w:tc>
              <w:tc>
                <w:tcPr>
                  <w:tcW w:w="479" w:type="pct"/>
                  <w:vMerge w:val="restart"/>
                  <w:tcBorders>
                    <w:tl2br w:val="nil"/>
                    <w:tr2bl w:val="nil"/>
                  </w:tcBorders>
                  <w:noWrap w:val="0"/>
                  <w:vAlign w:val="center"/>
                </w:tcPr>
                <w:p>
                  <w:pPr>
                    <w:pStyle w:val="38"/>
                    <w:keepNext/>
                    <w:rPr>
                      <w:szCs w:val="21"/>
                      <w:u w:val="none"/>
                    </w:rPr>
                  </w:pPr>
                  <w:r>
                    <w:rPr>
                      <w:szCs w:val="21"/>
                      <w:u w:val="none"/>
                    </w:rPr>
                    <w:t>排放口编号</w:t>
                  </w:r>
                </w:p>
              </w:tc>
              <w:tc>
                <w:tcPr>
                  <w:tcW w:w="594" w:type="pct"/>
                  <w:vMerge w:val="restart"/>
                  <w:tcBorders>
                    <w:tl2br w:val="nil"/>
                    <w:tr2bl w:val="nil"/>
                  </w:tcBorders>
                  <w:noWrap w:val="0"/>
                  <w:vAlign w:val="center"/>
                </w:tcPr>
                <w:p>
                  <w:pPr>
                    <w:pStyle w:val="38"/>
                    <w:keepNext/>
                    <w:rPr>
                      <w:szCs w:val="21"/>
                      <w:u w:val="none"/>
                    </w:rPr>
                  </w:pPr>
                  <w:r>
                    <w:rPr>
                      <w:rFonts w:hint="eastAsia"/>
                      <w:szCs w:val="21"/>
                      <w:u w:val="none"/>
                    </w:rPr>
                    <w:t>排放口</w:t>
                  </w:r>
                </w:p>
                <w:p>
                  <w:pPr>
                    <w:pStyle w:val="38"/>
                    <w:keepNext/>
                    <w:rPr>
                      <w:szCs w:val="21"/>
                      <w:u w:val="none"/>
                    </w:rPr>
                  </w:pPr>
                  <w:r>
                    <w:rPr>
                      <w:rFonts w:hint="eastAsia"/>
                      <w:szCs w:val="21"/>
                      <w:u w:val="none"/>
                    </w:rPr>
                    <w:t>名称</w:t>
                  </w:r>
                </w:p>
              </w:tc>
              <w:tc>
                <w:tcPr>
                  <w:tcW w:w="907" w:type="pct"/>
                  <w:vMerge w:val="restart"/>
                  <w:tcBorders>
                    <w:tl2br w:val="nil"/>
                    <w:tr2bl w:val="nil"/>
                  </w:tcBorders>
                  <w:noWrap w:val="0"/>
                  <w:vAlign w:val="center"/>
                </w:tcPr>
                <w:p>
                  <w:pPr>
                    <w:pStyle w:val="38"/>
                    <w:keepNext/>
                    <w:rPr>
                      <w:szCs w:val="21"/>
                      <w:u w:val="none"/>
                    </w:rPr>
                  </w:pPr>
                  <w:r>
                    <w:rPr>
                      <w:rFonts w:hint="eastAsia"/>
                      <w:szCs w:val="21"/>
                      <w:u w:val="none"/>
                    </w:rPr>
                    <w:t>污染物种类</w:t>
                  </w:r>
                </w:p>
              </w:tc>
              <w:tc>
                <w:tcPr>
                  <w:tcW w:w="1413" w:type="pct"/>
                  <w:gridSpan w:val="2"/>
                  <w:tcBorders>
                    <w:tl2br w:val="nil"/>
                    <w:tr2bl w:val="nil"/>
                  </w:tcBorders>
                  <w:noWrap w:val="0"/>
                  <w:vAlign w:val="center"/>
                </w:tcPr>
                <w:p>
                  <w:pPr>
                    <w:pStyle w:val="38"/>
                    <w:keepNext/>
                    <w:rPr>
                      <w:kern w:val="20"/>
                      <w:szCs w:val="21"/>
                      <w:u w:val="none"/>
                    </w:rPr>
                  </w:pPr>
                  <w:r>
                    <w:rPr>
                      <w:szCs w:val="21"/>
                      <w:u w:val="none"/>
                    </w:rPr>
                    <w:t>排放口地理坐标</w:t>
                  </w:r>
                </w:p>
              </w:tc>
              <w:tc>
                <w:tcPr>
                  <w:tcW w:w="440" w:type="pct"/>
                  <w:vMerge w:val="restart"/>
                  <w:tcBorders>
                    <w:tl2br w:val="nil"/>
                    <w:tr2bl w:val="nil"/>
                  </w:tcBorders>
                  <w:noWrap w:val="0"/>
                  <w:vAlign w:val="center"/>
                </w:tcPr>
                <w:p>
                  <w:pPr>
                    <w:pStyle w:val="38"/>
                    <w:keepNext/>
                    <w:rPr>
                      <w:szCs w:val="21"/>
                      <w:u w:val="none"/>
                    </w:rPr>
                  </w:pPr>
                  <w:r>
                    <w:rPr>
                      <w:szCs w:val="21"/>
                      <w:u w:val="none"/>
                    </w:rPr>
                    <w:t>排气筒高度（m）</w:t>
                  </w:r>
                </w:p>
              </w:tc>
              <w:tc>
                <w:tcPr>
                  <w:tcW w:w="444" w:type="pct"/>
                  <w:vMerge w:val="restart"/>
                  <w:tcBorders>
                    <w:tl2br w:val="nil"/>
                    <w:tr2bl w:val="nil"/>
                  </w:tcBorders>
                  <w:noWrap w:val="0"/>
                  <w:vAlign w:val="center"/>
                </w:tcPr>
                <w:p>
                  <w:pPr>
                    <w:pStyle w:val="38"/>
                    <w:keepNext/>
                    <w:rPr>
                      <w:szCs w:val="21"/>
                      <w:u w:val="none"/>
                    </w:rPr>
                  </w:pPr>
                  <w:r>
                    <w:rPr>
                      <w:szCs w:val="21"/>
                      <w:u w:val="none"/>
                    </w:rPr>
                    <w:t>排气筒出口内径</w:t>
                  </w:r>
                  <w:r>
                    <w:rPr>
                      <w:rFonts w:hint="eastAsia"/>
                      <w:szCs w:val="21"/>
                      <w:u w:val="none"/>
                    </w:rPr>
                    <w:t>（m）</w:t>
                  </w:r>
                </w:p>
              </w:tc>
              <w:tc>
                <w:tcPr>
                  <w:tcW w:w="435" w:type="pct"/>
                  <w:vMerge w:val="restart"/>
                  <w:tcBorders>
                    <w:tl2br w:val="nil"/>
                    <w:tr2bl w:val="nil"/>
                  </w:tcBorders>
                  <w:noWrap w:val="0"/>
                  <w:vAlign w:val="center"/>
                </w:tcPr>
                <w:p>
                  <w:pPr>
                    <w:pStyle w:val="38"/>
                    <w:keepNext/>
                    <w:rPr>
                      <w:szCs w:val="21"/>
                      <w:u w:val="none"/>
                    </w:rPr>
                  </w:pPr>
                  <w:r>
                    <w:rPr>
                      <w:szCs w:val="21"/>
                      <w:u w:val="none"/>
                    </w:rPr>
                    <w:t>排气温度</w:t>
                  </w:r>
                  <w:r>
                    <w:rPr>
                      <w:rFonts w:hint="eastAsia"/>
                      <w:szCs w:val="21"/>
                      <w:u w:val="none"/>
                    </w:rPr>
                    <w:t>（</w:t>
                  </w:r>
                  <w:r>
                    <w:rPr>
                      <w:szCs w:val="21"/>
                      <w:u w:val="none"/>
                    </w:rPr>
                    <w:t>℃</w:t>
                  </w:r>
                  <w:r>
                    <w:rPr>
                      <w:rFonts w:hint="eastAsia"/>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vMerge w:val="continue"/>
                  <w:tcBorders>
                    <w:tl2br w:val="nil"/>
                    <w:tr2bl w:val="nil"/>
                  </w:tcBorders>
                  <w:noWrap w:val="0"/>
                  <w:vAlign w:val="center"/>
                </w:tcPr>
                <w:p>
                  <w:pPr>
                    <w:pStyle w:val="38"/>
                    <w:rPr>
                      <w:szCs w:val="21"/>
                      <w:u w:val="none"/>
                    </w:rPr>
                  </w:pPr>
                </w:p>
              </w:tc>
              <w:tc>
                <w:tcPr>
                  <w:tcW w:w="479" w:type="pct"/>
                  <w:vMerge w:val="continue"/>
                  <w:tcBorders>
                    <w:tl2br w:val="nil"/>
                    <w:tr2bl w:val="nil"/>
                  </w:tcBorders>
                  <w:noWrap w:val="0"/>
                  <w:vAlign w:val="center"/>
                </w:tcPr>
                <w:p>
                  <w:pPr>
                    <w:pStyle w:val="38"/>
                    <w:rPr>
                      <w:szCs w:val="21"/>
                      <w:u w:val="none"/>
                    </w:rPr>
                  </w:pPr>
                </w:p>
              </w:tc>
              <w:tc>
                <w:tcPr>
                  <w:tcW w:w="594" w:type="pct"/>
                  <w:vMerge w:val="continue"/>
                  <w:tcBorders>
                    <w:tl2br w:val="nil"/>
                    <w:tr2bl w:val="nil"/>
                  </w:tcBorders>
                  <w:noWrap w:val="0"/>
                  <w:vAlign w:val="center"/>
                </w:tcPr>
                <w:p>
                  <w:pPr>
                    <w:pStyle w:val="38"/>
                    <w:rPr>
                      <w:szCs w:val="21"/>
                      <w:u w:val="none"/>
                    </w:rPr>
                  </w:pPr>
                </w:p>
              </w:tc>
              <w:tc>
                <w:tcPr>
                  <w:tcW w:w="907" w:type="pct"/>
                  <w:vMerge w:val="continue"/>
                  <w:tcBorders>
                    <w:tl2br w:val="nil"/>
                    <w:tr2bl w:val="nil"/>
                  </w:tcBorders>
                  <w:noWrap w:val="0"/>
                  <w:vAlign w:val="center"/>
                </w:tcPr>
                <w:p>
                  <w:pPr>
                    <w:pStyle w:val="38"/>
                    <w:rPr>
                      <w:szCs w:val="21"/>
                      <w:u w:val="none"/>
                    </w:rPr>
                  </w:pPr>
                </w:p>
              </w:tc>
              <w:tc>
                <w:tcPr>
                  <w:tcW w:w="706" w:type="pct"/>
                  <w:tcBorders>
                    <w:tl2br w:val="nil"/>
                    <w:tr2bl w:val="nil"/>
                  </w:tcBorders>
                  <w:noWrap w:val="0"/>
                  <w:vAlign w:val="center"/>
                </w:tcPr>
                <w:p>
                  <w:pPr>
                    <w:pStyle w:val="38"/>
                    <w:rPr>
                      <w:szCs w:val="21"/>
                      <w:u w:val="none"/>
                    </w:rPr>
                  </w:pPr>
                  <w:r>
                    <w:rPr>
                      <w:szCs w:val="21"/>
                      <w:u w:val="none"/>
                    </w:rPr>
                    <w:t>经度</w:t>
                  </w:r>
                </w:p>
              </w:tc>
              <w:tc>
                <w:tcPr>
                  <w:tcW w:w="706" w:type="pct"/>
                  <w:tcBorders>
                    <w:tl2br w:val="nil"/>
                    <w:tr2bl w:val="nil"/>
                  </w:tcBorders>
                  <w:noWrap w:val="0"/>
                  <w:vAlign w:val="center"/>
                </w:tcPr>
                <w:p>
                  <w:pPr>
                    <w:pStyle w:val="38"/>
                    <w:rPr>
                      <w:kern w:val="20"/>
                      <w:szCs w:val="21"/>
                      <w:u w:val="none"/>
                    </w:rPr>
                  </w:pPr>
                  <w:r>
                    <w:rPr>
                      <w:szCs w:val="21"/>
                      <w:u w:val="none"/>
                    </w:rPr>
                    <w:t>纬度</w:t>
                  </w:r>
                </w:p>
              </w:tc>
              <w:tc>
                <w:tcPr>
                  <w:tcW w:w="440" w:type="pct"/>
                  <w:vMerge w:val="continue"/>
                  <w:tcBorders>
                    <w:tl2br w:val="nil"/>
                    <w:tr2bl w:val="nil"/>
                  </w:tcBorders>
                  <w:noWrap w:val="0"/>
                  <w:vAlign w:val="center"/>
                </w:tcPr>
                <w:p>
                  <w:pPr>
                    <w:pStyle w:val="38"/>
                    <w:rPr>
                      <w:szCs w:val="21"/>
                      <w:u w:val="none"/>
                    </w:rPr>
                  </w:pPr>
                </w:p>
              </w:tc>
              <w:tc>
                <w:tcPr>
                  <w:tcW w:w="444" w:type="pct"/>
                  <w:vMerge w:val="continue"/>
                  <w:tcBorders>
                    <w:tl2br w:val="nil"/>
                    <w:tr2bl w:val="nil"/>
                  </w:tcBorders>
                  <w:noWrap w:val="0"/>
                  <w:vAlign w:val="center"/>
                </w:tcPr>
                <w:p>
                  <w:pPr>
                    <w:pStyle w:val="38"/>
                    <w:rPr>
                      <w:szCs w:val="21"/>
                      <w:u w:val="none"/>
                    </w:rPr>
                  </w:pPr>
                </w:p>
              </w:tc>
              <w:tc>
                <w:tcPr>
                  <w:tcW w:w="435" w:type="pct"/>
                  <w:vMerge w:val="continue"/>
                  <w:tcBorders>
                    <w:tl2br w:val="nil"/>
                    <w:tr2bl w:val="nil"/>
                  </w:tcBorders>
                  <w:noWrap w:val="0"/>
                  <w:vAlign w:val="center"/>
                </w:tcPr>
                <w:p>
                  <w:pPr>
                    <w:pStyle w:val="38"/>
                    <w:rPr>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tcBorders>
                    <w:tl2br w:val="nil"/>
                    <w:tr2bl w:val="nil"/>
                  </w:tcBorders>
                  <w:noWrap w:val="0"/>
                  <w:vAlign w:val="center"/>
                </w:tcPr>
                <w:p>
                  <w:pPr>
                    <w:pStyle w:val="38"/>
                    <w:rPr>
                      <w:szCs w:val="21"/>
                      <w:u w:val="single"/>
                    </w:rPr>
                  </w:pPr>
                  <w:r>
                    <w:rPr>
                      <w:rFonts w:hint="eastAsia"/>
                      <w:szCs w:val="21"/>
                      <w:u w:val="single"/>
                    </w:rPr>
                    <w:t>1</w:t>
                  </w:r>
                </w:p>
              </w:tc>
              <w:tc>
                <w:tcPr>
                  <w:tcW w:w="479" w:type="pct"/>
                  <w:tcBorders>
                    <w:tl2br w:val="nil"/>
                    <w:tr2bl w:val="nil"/>
                  </w:tcBorders>
                  <w:noWrap w:val="0"/>
                  <w:vAlign w:val="center"/>
                </w:tcPr>
                <w:p>
                  <w:pPr>
                    <w:pStyle w:val="38"/>
                    <w:rPr>
                      <w:color w:val="auto"/>
                      <w:szCs w:val="21"/>
                      <w:u w:val="single"/>
                    </w:rPr>
                  </w:pPr>
                  <w:r>
                    <w:rPr>
                      <w:rFonts w:hint="eastAsia"/>
                      <w:color w:val="auto"/>
                      <w:szCs w:val="21"/>
                      <w:u w:val="single"/>
                    </w:rPr>
                    <w:t>DA001</w:t>
                  </w:r>
                </w:p>
              </w:tc>
              <w:tc>
                <w:tcPr>
                  <w:tcW w:w="594" w:type="pct"/>
                  <w:tcBorders>
                    <w:tl2br w:val="nil"/>
                    <w:tr2bl w:val="nil"/>
                  </w:tcBorders>
                  <w:noWrap w:val="0"/>
                  <w:vAlign w:val="center"/>
                </w:tcPr>
                <w:p>
                  <w:pPr>
                    <w:pStyle w:val="38"/>
                    <w:rPr>
                      <w:rFonts w:eastAsia="仿宋_GB2312"/>
                      <w:color w:val="auto"/>
                      <w:sz w:val="21"/>
                      <w:szCs w:val="21"/>
                      <w:u w:val="single"/>
                    </w:rPr>
                  </w:pPr>
                  <w:r>
                    <w:rPr>
                      <w:rFonts w:hint="eastAsia" w:ascii="宋体" w:hAnsi="宋体"/>
                      <w:color w:val="auto"/>
                      <w:szCs w:val="21"/>
                      <w:u w:val="single"/>
                    </w:rPr>
                    <w:t>废气排气筒</w:t>
                  </w:r>
                </w:p>
              </w:tc>
              <w:tc>
                <w:tcPr>
                  <w:tcW w:w="907" w:type="pct"/>
                  <w:tcBorders>
                    <w:tl2br w:val="nil"/>
                    <w:tr2bl w:val="nil"/>
                  </w:tcBorders>
                  <w:noWrap w:val="0"/>
                  <w:vAlign w:val="center"/>
                </w:tcPr>
                <w:p>
                  <w:pPr>
                    <w:pStyle w:val="38"/>
                    <w:rPr>
                      <w:rFonts w:hint="default" w:eastAsia="仿宋_GB2312"/>
                      <w:color w:val="auto"/>
                      <w:sz w:val="21"/>
                      <w:szCs w:val="21"/>
                      <w:u w:val="single"/>
                      <w:lang w:val="en-US" w:eastAsia="zh-CN"/>
                    </w:rPr>
                  </w:pPr>
                  <w:r>
                    <w:rPr>
                      <w:rFonts w:hint="eastAsia" w:ascii="宋体" w:hAnsi="宋体" w:eastAsia="宋体" w:cs="Times New Roman"/>
                      <w:color w:val="auto"/>
                      <w:sz w:val="21"/>
                      <w:szCs w:val="21"/>
                      <w:u w:val="single"/>
                      <w:lang w:val="en-US" w:eastAsia="zh-CN"/>
                    </w:rPr>
                    <w:t>非甲烷总烃</w:t>
                  </w:r>
                  <w:r>
                    <w:rPr>
                      <w:rFonts w:hint="eastAsia" w:ascii="宋体" w:hAnsi="宋体" w:cs="Times New Roman"/>
                      <w:color w:val="auto"/>
                      <w:sz w:val="21"/>
                      <w:szCs w:val="21"/>
                      <w:u w:val="single"/>
                      <w:lang w:val="en-US" w:eastAsia="zh-CN"/>
                    </w:rPr>
                    <w:t>、颗粒物</w:t>
                  </w:r>
                </w:p>
              </w:tc>
              <w:tc>
                <w:tcPr>
                  <w:tcW w:w="706" w:type="pct"/>
                  <w:tcBorders>
                    <w:tl2br w:val="nil"/>
                    <w:tr2bl w:val="nil"/>
                  </w:tcBorders>
                  <w:noWrap w:val="0"/>
                  <w:vAlign w:val="center"/>
                </w:tcPr>
                <w:p>
                  <w:pPr>
                    <w:spacing w:before="62" w:beforeLines="20" w:after="62" w:afterLines="20"/>
                    <w:jc w:val="center"/>
                    <w:rPr>
                      <w:rFonts w:hint="default" w:ascii="Times New Roman" w:hAnsi="Times New Roman" w:eastAsia="宋体" w:cs="Times New Roman"/>
                      <w:bCs/>
                      <w:spacing w:val="-10"/>
                      <w:szCs w:val="21"/>
                      <w:u w:val="single"/>
                      <w:lang w:val="en-US" w:eastAsia="zh-CN"/>
                    </w:rPr>
                  </w:pPr>
                  <w:r>
                    <w:rPr>
                      <w:rFonts w:hint="eastAsia"/>
                      <w:color w:val="000000"/>
                      <w:sz w:val="21"/>
                      <w:szCs w:val="21"/>
                      <w:u w:val="single"/>
                    </w:rPr>
                    <w:t>111.84956721</w:t>
                  </w:r>
                </w:p>
              </w:tc>
              <w:tc>
                <w:tcPr>
                  <w:tcW w:w="706" w:type="pct"/>
                  <w:tcBorders>
                    <w:tl2br w:val="nil"/>
                    <w:tr2bl w:val="nil"/>
                  </w:tcBorders>
                  <w:noWrap w:val="0"/>
                  <w:vAlign w:val="center"/>
                </w:tcPr>
                <w:p>
                  <w:pPr>
                    <w:spacing w:before="62" w:beforeLines="20" w:after="62" w:afterLines="20"/>
                    <w:jc w:val="center"/>
                    <w:rPr>
                      <w:rFonts w:hint="default" w:ascii="Times New Roman" w:hAnsi="Times New Roman" w:eastAsia="宋体" w:cs="Times New Roman"/>
                      <w:bCs/>
                      <w:spacing w:val="-10"/>
                      <w:szCs w:val="21"/>
                      <w:u w:val="single"/>
                      <w:lang w:val="en-US" w:eastAsia="zh-CN"/>
                    </w:rPr>
                  </w:pPr>
                  <w:r>
                    <w:rPr>
                      <w:rFonts w:hint="eastAsia"/>
                      <w:color w:val="000000"/>
                      <w:sz w:val="21"/>
                      <w:szCs w:val="21"/>
                      <w:u w:val="single"/>
                    </w:rPr>
                    <w:t>29.56885891</w:t>
                  </w:r>
                </w:p>
              </w:tc>
              <w:tc>
                <w:tcPr>
                  <w:tcW w:w="440" w:type="pct"/>
                  <w:tcBorders>
                    <w:tl2br w:val="nil"/>
                    <w:tr2bl w:val="nil"/>
                  </w:tcBorders>
                  <w:noWrap w:val="0"/>
                  <w:vAlign w:val="center"/>
                </w:tcPr>
                <w:p>
                  <w:pPr>
                    <w:spacing w:before="62" w:beforeLines="20" w:after="62" w:afterLines="20"/>
                    <w:jc w:val="center"/>
                    <w:rPr>
                      <w:rFonts w:hint="default" w:eastAsia="仿宋_GB2312"/>
                      <w:sz w:val="21"/>
                      <w:szCs w:val="21"/>
                      <w:u w:val="single"/>
                      <w:lang w:val="en-US" w:eastAsia="zh-CN"/>
                    </w:rPr>
                  </w:pPr>
                  <w:r>
                    <w:rPr>
                      <w:rFonts w:hint="eastAsia"/>
                      <w:color w:val="000000"/>
                      <w:sz w:val="21"/>
                      <w:szCs w:val="21"/>
                      <w:u w:val="single"/>
                    </w:rPr>
                    <w:t>15</w:t>
                  </w:r>
                </w:p>
              </w:tc>
              <w:tc>
                <w:tcPr>
                  <w:tcW w:w="444" w:type="pct"/>
                  <w:tcBorders>
                    <w:tl2br w:val="nil"/>
                    <w:tr2bl w:val="nil"/>
                  </w:tcBorders>
                  <w:noWrap w:val="0"/>
                  <w:vAlign w:val="center"/>
                </w:tcPr>
                <w:p>
                  <w:pPr>
                    <w:spacing w:before="62" w:beforeLines="20" w:after="62" w:afterLines="20"/>
                    <w:jc w:val="center"/>
                    <w:rPr>
                      <w:rFonts w:hint="eastAsia" w:eastAsiaTheme="minorEastAsia"/>
                      <w:sz w:val="21"/>
                      <w:szCs w:val="21"/>
                      <w:u w:val="single"/>
                      <w:lang w:val="en-US" w:eastAsia="zh-CN"/>
                    </w:rPr>
                  </w:pPr>
                  <w:r>
                    <w:rPr>
                      <w:rFonts w:hint="eastAsia"/>
                      <w:color w:val="000000"/>
                      <w:sz w:val="21"/>
                      <w:szCs w:val="21"/>
                      <w:u w:val="single"/>
                    </w:rPr>
                    <w:t>0.</w:t>
                  </w:r>
                  <w:r>
                    <w:rPr>
                      <w:rFonts w:hint="eastAsia"/>
                      <w:color w:val="000000"/>
                      <w:sz w:val="21"/>
                      <w:szCs w:val="21"/>
                      <w:u w:val="single"/>
                      <w:lang w:val="en-US" w:eastAsia="zh-CN"/>
                    </w:rPr>
                    <w:t>3</w:t>
                  </w:r>
                </w:p>
              </w:tc>
              <w:tc>
                <w:tcPr>
                  <w:tcW w:w="435" w:type="pct"/>
                  <w:tcBorders>
                    <w:tl2br w:val="nil"/>
                    <w:tr2bl w:val="nil"/>
                  </w:tcBorders>
                  <w:noWrap w:val="0"/>
                  <w:vAlign w:val="center"/>
                </w:tcPr>
                <w:p>
                  <w:pPr>
                    <w:pStyle w:val="38"/>
                    <w:rPr>
                      <w:rFonts w:hint="default" w:eastAsia="仿宋_GB2312"/>
                      <w:sz w:val="21"/>
                      <w:szCs w:val="21"/>
                      <w:u w:val="single"/>
                      <w:lang w:val="en-US" w:eastAsia="zh-CN"/>
                    </w:rPr>
                  </w:pPr>
                  <w:r>
                    <w:rPr>
                      <w:rFonts w:hint="eastAsia" w:eastAsia="仿宋_GB2312"/>
                      <w:sz w:val="21"/>
                      <w:szCs w:val="21"/>
                      <w:u w:val="single"/>
                      <w:lang w:val="en-US" w:eastAsia="zh-CN"/>
                    </w:rPr>
                    <w:t>25</w:t>
                  </w:r>
                </w:p>
              </w:tc>
            </w:tr>
          </w:tbl>
          <w:p>
            <w:pPr>
              <w:pStyle w:val="37"/>
              <w:numPr>
                <w:ilvl w:val="0"/>
                <w:numId w:val="0"/>
              </w:numPr>
              <w:jc w:val="center"/>
              <w:rPr>
                <w:b/>
                <w:bCs/>
                <w:sz w:val="21"/>
                <w:u w:val="none"/>
              </w:rPr>
            </w:pPr>
            <w:r>
              <w:rPr>
                <w:rFonts w:hint="eastAsia"/>
                <w:b/>
                <w:bCs/>
                <w:sz w:val="21"/>
                <w:u w:val="none"/>
                <w:lang w:val="en-US" w:eastAsia="zh-CN"/>
              </w:rPr>
              <w:t>表4-3</w:t>
            </w:r>
            <w:r>
              <w:rPr>
                <w:rFonts w:hint="eastAsia"/>
                <w:b/>
                <w:bCs/>
                <w:sz w:val="21"/>
                <w:u w:val="none"/>
              </w:rPr>
              <w:t>废气有组织排放源及达标排放情况</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15"/>
              <w:gridCol w:w="816"/>
              <w:gridCol w:w="637"/>
              <w:gridCol w:w="702"/>
              <w:gridCol w:w="852"/>
              <w:gridCol w:w="702"/>
              <w:gridCol w:w="852"/>
              <w:gridCol w:w="1996"/>
              <w:gridCol w:w="5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54" w:type="pct"/>
                  <w:vMerge w:val="restart"/>
                  <w:tcBorders>
                    <w:tl2br w:val="nil"/>
                    <w:tr2bl w:val="nil"/>
                  </w:tcBorders>
                  <w:noWrap w:val="0"/>
                  <w:vAlign w:val="center"/>
                </w:tcPr>
                <w:p>
                  <w:pPr>
                    <w:pStyle w:val="38"/>
                    <w:keepNext/>
                    <w:rPr>
                      <w:szCs w:val="21"/>
                      <w:u w:val="none"/>
                    </w:rPr>
                  </w:pPr>
                  <w:r>
                    <w:rPr>
                      <w:szCs w:val="21"/>
                      <w:u w:val="none"/>
                    </w:rPr>
                    <w:t>排放口编号</w:t>
                  </w:r>
                </w:p>
              </w:tc>
              <w:tc>
                <w:tcPr>
                  <w:tcW w:w="518" w:type="pct"/>
                  <w:vMerge w:val="restart"/>
                  <w:tcBorders>
                    <w:tl2br w:val="nil"/>
                    <w:tr2bl w:val="nil"/>
                  </w:tcBorders>
                  <w:noWrap w:val="0"/>
                  <w:vAlign w:val="center"/>
                </w:tcPr>
                <w:p>
                  <w:pPr>
                    <w:pStyle w:val="38"/>
                    <w:keepNext/>
                    <w:rPr>
                      <w:szCs w:val="21"/>
                      <w:u w:val="none"/>
                    </w:rPr>
                  </w:pPr>
                  <w:r>
                    <w:rPr>
                      <w:rFonts w:hint="eastAsia"/>
                      <w:szCs w:val="21"/>
                      <w:u w:val="none"/>
                    </w:rPr>
                    <w:t>污染物</w:t>
                  </w:r>
                </w:p>
              </w:tc>
              <w:tc>
                <w:tcPr>
                  <w:tcW w:w="404" w:type="pct"/>
                  <w:vMerge w:val="restart"/>
                  <w:tcBorders>
                    <w:tl2br w:val="nil"/>
                    <w:tr2bl w:val="nil"/>
                  </w:tcBorders>
                  <w:noWrap w:val="0"/>
                  <w:vAlign w:val="center"/>
                </w:tcPr>
                <w:p>
                  <w:pPr>
                    <w:pStyle w:val="38"/>
                    <w:keepNext/>
                    <w:rPr>
                      <w:szCs w:val="21"/>
                      <w:u w:val="none"/>
                    </w:rPr>
                  </w:pPr>
                  <w:r>
                    <w:rPr>
                      <w:rFonts w:hint="eastAsia"/>
                      <w:szCs w:val="21"/>
                      <w:u w:val="none"/>
                    </w:rPr>
                    <w:t>排气筒高度/</w:t>
                  </w:r>
                  <w:r>
                    <w:rPr>
                      <w:szCs w:val="21"/>
                      <w:u w:val="none"/>
                    </w:rPr>
                    <w:t>m</w:t>
                  </w:r>
                </w:p>
              </w:tc>
              <w:tc>
                <w:tcPr>
                  <w:tcW w:w="987" w:type="pct"/>
                  <w:gridSpan w:val="2"/>
                  <w:tcBorders>
                    <w:tl2br w:val="nil"/>
                    <w:tr2bl w:val="nil"/>
                  </w:tcBorders>
                  <w:noWrap w:val="0"/>
                  <w:vAlign w:val="center"/>
                </w:tcPr>
                <w:p>
                  <w:pPr>
                    <w:pStyle w:val="38"/>
                    <w:keepNext/>
                    <w:rPr>
                      <w:szCs w:val="21"/>
                      <w:u w:val="none"/>
                    </w:rPr>
                  </w:pPr>
                  <w:r>
                    <w:rPr>
                      <w:rFonts w:hint="eastAsia"/>
                      <w:szCs w:val="21"/>
                      <w:u w:val="none"/>
                    </w:rPr>
                    <w:t>排放情况</w:t>
                  </w:r>
                </w:p>
              </w:tc>
              <w:tc>
                <w:tcPr>
                  <w:tcW w:w="987" w:type="pct"/>
                  <w:gridSpan w:val="2"/>
                  <w:tcBorders>
                    <w:tl2br w:val="nil"/>
                    <w:tr2bl w:val="nil"/>
                  </w:tcBorders>
                  <w:noWrap w:val="0"/>
                  <w:vAlign w:val="center"/>
                </w:tcPr>
                <w:p>
                  <w:pPr>
                    <w:pStyle w:val="38"/>
                    <w:keepNext/>
                    <w:rPr>
                      <w:szCs w:val="21"/>
                      <w:u w:val="none"/>
                    </w:rPr>
                  </w:pPr>
                  <w:r>
                    <w:rPr>
                      <w:rFonts w:hint="eastAsia"/>
                      <w:szCs w:val="21"/>
                      <w:u w:val="none"/>
                    </w:rPr>
                    <w:t>标准</w:t>
                  </w:r>
                  <w:r>
                    <w:rPr>
                      <w:szCs w:val="21"/>
                      <w:u w:val="none"/>
                    </w:rPr>
                    <w:t>限值</w:t>
                  </w:r>
                </w:p>
              </w:tc>
              <w:tc>
                <w:tcPr>
                  <w:tcW w:w="1268" w:type="pct"/>
                  <w:vMerge w:val="restart"/>
                  <w:tcBorders>
                    <w:tl2br w:val="nil"/>
                    <w:tr2bl w:val="nil"/>
                  </w:tcBorders>
                  <w:noWrap w:val="0"/>
                  <w:vAlign w:val="center"/>
                </w:tcPr>
                <w:p>
                  <w:pPr>
                    <w:pStyle w:val="38"/>
                    <w:keepNext/>
                    <w:rPr>
                      <w:szCs w:val="21"/>
                      <w:u w:val="none"/>
                    </w:rPr>
                  </w:pPr>
                  <w:r>
                    <w:rPr>
                      <w:rFonts w:hint="eastAsia"/>
                      <w:szCs w:val="21"/>
                      <w:u w:val="none"/>
                    </w:rPr>
                    <w:t>执行标准</w:t>
                  </w:r>
                </w:p>
              </w:tc>
              <w:tc>
                <w:tcPr>
                  <w:tcW w:w="379" w:type="pct"/>
                  <w:vMerge w:val="restart"/>
                  <w:tcBorders>
                    <w:tl2br w:val="nil"/>
                    <w:tr2bl w:val="nil"/>
                  </w:tcBorders>
                  <w:noWrap w:val="0"/>
                  <w:vAlign w:val="center"/>
                </w:tcPr>
                <w:p>
                  <w:pPr>
                    <w:pStyle w:val="38"/>
                    <w:keepNext/>
                    <w:rPr>
                      <w:szCs w:val="21"/>
                      <w:u w:val="none"/>
                    </w:rPr>
                  </w:pPr>
                  <w:r>
                    <w:rPr>
                      <w:rFonts w:hint="eastAsia"/>
                      <w:szCs w:val="21"/>
                      <w:u w:val="none"/>
                    </w:rPr>
                    <w:t>是否</w:t>
                  </w:r>
                </w:p>
                <w:p>
                  <w:pPr>
                    <w:pStyle w:val="38"/>
                    <w:keepNext/>
                    <w:rPr>
                      <w:szCs w:val="21"/>
                      <w:u w:val="none"/>
                    </w:rPr>
                  </w:pPr>
                  <w:r>
                    <w:rPr>
                      <w:szCs w:val="21"/>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54" w:type="pct"/>
                  <w:vMerge w:val="continue"/>
                  <w:tcBorders>
                    <w:tl2br w:val="nil"/>
                    <w:tr2bl w:val="nil"/>
                  </w:tcBorders>
                  <w:noWrap w:val="0"/>
                  <w:vAlign w:val="center"/>
                </w:tcPr>
                <w:p>
                  <w:pPr>
                    <w:pStyle w:val="38"/>
                    <w:rPr>
                      <w:szCs w:val="21"/>
                      <w:u w:val="none"/>
                    </w:rPr>
                  </w:pPr>
                </w:p>
              </w:tc>
              <w:tc>
                <w:tcPr>
                  <w:tcW w:w="518" w:type="pct"/>
                  <w:vMerge w:val="continue"/>
                  <w:tcBorders>
                    <w:tl2br w:val="nil"/>
                    <w:tr2bl w:val="nil"/>
                  </w:tcBorders>
                  <w:noWrap w:val="0"/>
                  <w:vAlign w:val="center"/>
                </w:tcPr>
                <w:p>
                  <w:pPr>
                    <w:pStyle w:val="38"/>
                    <w:rPr>
                      <w:szCs w:val="21"/>
                      <w:u w:val="none"/>
                    </w:rPr>
                  </w:pPr>
                </w:p>
              </w:tc>
              <w:tc>
                <w:tcPr>
                  <w:tcW w:w="404" w:type="pct"/>
                  <w:vMerge w:val="continue"/>
                  <w:tcBorders>
                    <w:tl2br w:val="nil"/>
                    <w:tr2bl w:val="nil"/>
                  </w:tcBorders>
                  <w:noWrap w:val="0"/>
                  <w:vAlign w:val="center"/>
                </w:tcPr>
                <w:p>
                  <w:pPr>
                    <w:pStyle w:val="38"/>
                    <w:rPr>
                      <w:szCs w:val="21"/>
                      <w:u w:val="none"/>
                    </w:rPr>
                  </w:pPr>
                </w:p>
              </w:tc>
              <w:tc>
                <w:tcPr>
                  <w:tcW w:w="446" w:type="pct"/>
                  <w:tcBorders>
                    <w:tl2br w:val="nil"/>
                    <w:tr2bl w:val="nil"/>
                  </w:tcBorders>
                  <w:noWrap w:val="0"/>
                  <w:vAlign w:val="center"/>
                </w:tcPr>
                <w:p>
                  <w:pPr>
                    <w:pStyle w:val="38"/>
                    <w:rPr>
                      <w:szCs w:val="21"/>
                      <w:u w:val="none"/>
                    </w:rPr>
                  </w:pPr>
                  <w:r>
                    <w:rPr>
                      <w:szCs w:val="21"/>
                      <w:u w:val="none"/>
                    </w:rPr>
                    <w:t>速率</w:t>
                  </w:r>
                  <w:r>
                    <w:rPr>
                      <w:rFonts w:hint="eastAsia"/>
                      <w:szCs w:val="21"/>
                      <w:u w:val="none"/>
                    </w:rPr>
                    <w:t>/(kg/h</w:t>
                  </w:r>
                  <w:r>
                    <w:rPr>
                      <w:szCs w:val="21"/>
                      <w:u w:val="none"/>
                    </w:rPr>
                    <w:t>)</w:t>
                  </w:r>
                </w:p>
              </w:tc>
              <w:tc>
                <w:tcPr>
                  <w:tcW w:w="541" w:type="pct"/>
                  <w:tcBorders>
                    <w:tl2br w:val="nil"/>
                    <w:tr2bl w:val="nil"/>
                  </w:tcBorders>
                  <w:noWrap w:val="0"/>
                  <w:vAlign w:val="center"/>
                </w:tcPr>
                <w:p>
                  <w:pPr>
                    <w:pStyle w:val="38"/>
                    <w:rPr>
                      <w:szCs w:val="21"/>
                      <w:u w:val="none"/>
                    </w:rPr>
                  </w:pPr>
                  <w:r>
                    <w:rPr>
                      <w:szCs w:val="21"/>
                      <w:u w:val="none"/>
                    </w:rPr>
                    <w:t>浓度</w:t>
                  </w:r>
                  <w:r>
                    <w:rPr>
                      <w:rFonts w:hint="eastAsia"/>
                      <w:szCs w:val="21"/>
                      <w:u w:val="none"/>
                    </w:rPr>
                    <w:t>/(mg/m</w:t>
                  </w:r>
                  <w:r>
                    <w:rPr>
                      <w:rFonts w:hint="eastAsia"/>
                      <w:szCs w:val="21"/>
                      <w:u w:val="none"/>
                      <w:vertAlign w:val="superscript"/>
                    </w:rPr>
                    <w:t>3</w:t>
                  </w:r>
                  <w:r>
                    <w:rPr>
                      <w:szCs w:val="21"/>
                      <w:u w:val="none"/>
                    </w:rPr>
                    <w:t>)</w:t>
                  </w:r>
                </w:p>
              </w:tc>
              <w:tc>
                <w:tcPr>
                  <w:tcW w:w="446" w:type="pct"/>
                  <w:tcBorders>
                    <w:tl2br w:val="nil"/>
                    <w:tr2bl w:val="nil"/>
                  </w:tcBorders>
                  <w:noWrap w:val="0"/>
                  <w:vAlign w:val="center"/>
                </w:tcPr>
                <w:p>
                  <w:pPr>
                    <w:pStyle w:val="38"/>
                    <w:rPr>
                      <w:szCs w:val="21"/>
                      <w:u w:val="none"/>
                    </w:rPr>
                  </w:pPr>
                  <w:r>
                    <w:rPr>
                      <w:szCs w:val="21"/>
                      <w:u w:val="none"/>
                    </w:rPr>
                    <w:t>速率</w:t>
                  </w:r>
                  <w:r>
                    <w:rPr>
                      <w:rFonts w:hint="eastAsia"/>
                      <w:szCs w:val="21"/>
                      <w:u w:val="none"/>
                    </w:rPr>
                    <w:t>/(kg/h</w:t>
                  </w:r>
                  <w:r>
                    <w:rPr>
                      <w:szCs w:val="21"/>
                      <w:u w:val="none"/>
                    </w:rPr>
                    <w:t>)</w:t>
                  </w:r>
                </w:p>
              </w:tc>
              <w:tc>
                <w:tcPr>
                  <w:tcW w:w="541" w:type="pct"/>
                  <w:tcBorders>
                    <w:tl2br w:val="nil"/>
                    <w:tr2bl w:val="nil"/>
                  </w:tcBorders>
                  <w:noWrap w:val="0"/>
                  <w:vAlign w:val="center"/>
                </w:tcPr>
                <w:p>
                  <w:pPr>
                    <w:pStyle w:val="38"/>
                    <w:rPr>
                      <w:szCs w:val="21"/>
                      <w:u w:val="none"/>
                    </w:rPr>
                  </w:pPr>
                  <w:r>
                    <w:rPr>
                      <w:szCs w:val="21"/>
                      <w:u w:val="none"/>
                    </w:rPr>
                    <w:t>浓度</w:t>
                  </w:r>
                  <w:r>
                    <w:rPr>
                      <w:rFonts w:hint="eastAsia"/>
                      <w:szCs w:val="21"/>
                      <w:u w:val="none"/>
                    </w:rPr>
                    <w:t>/(mg/m</w:t>
                  </w:r>
                  <w:r>
                    <w:rPr>
                      <w:rFonts w:hint="eastAsia"/>
                      <w:szCs w:val="21"/>
                      <w:u w:val="none"/>
                      <w:vertAlign w:val="superscript"/>
                    </w:rPr>
                    <w:t>3</w:t>
                  </w:r>
                  <w:r>
                    <w:rPr>
                      <w:szCs w:val="21"/>
                      <w:u w:val="none"/>
                    </w:rPr>
                    <w:t>)</w:t>
                  </w:r>
                </w:p>
              </w:tc>
              <w:tc>
                <w:tcPr>
                  <w:tcW w:w="1268" w:type="pct"/>
                  <w:vMerge w:val="continue"/>
                  <w:tcBorders>
                    <w:tl2br w:val="nil"/>
                    <w:tr2bl w:val="nil"/>
                  </w:tcBorders>
                  <w:noWrap w:val="0"/>
                  <w:vAlign w:val="center"/>
                </w:tcPr>
                <w:p>
                  <w:pPr>
                    <w:pStyle w:val="38"/>
                    <w:rPr>
                      <w:szCs w:val="21"/>
                      <w:u w:val="none"/>
                    </w:rPr>
                  </w:pPr>
                </w:p>
              </w:tc>
              <w:tc>
                <w:tcPr>
                  <w:tcW w:w="379" w:type="pct"/>
                  <w:vMerge w:val="continue"/>
                  <w:tcBorders>
                    <w:tl2br w:val="nil"/>
                    <w:tr2bl w:val="nil"/>
                  </w:tcBorders>
                  <w:noWrap w:val="0"/>
                  <w:vAlign w:val="center"/>
                </w:tcPr>
                <w:p>
                  <w:pPr>
                    <w:pStyle w:val="38"/>
                    <w:rPr>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4" w:type="pct"/>
                  <w:vMerge w:val="restart"/>
                  <w:tcBorders>
                    <w:tl2br w:val="nil"/>
                    <w:tr2bl w:val="nil"/>
                  </w:tcBorders>
                  <w:noWrap w:val="0"/>
                  <w:vAlign w:val="center"/>
                </w:tcPr>
                <w:p>
                  <w:pPr>
                    <w:pStyle w:val="38"/>
                    <w:rPr>
                      <w:rFonts w:hint="default" w:eastAsia="宋体"/>
                      <w:szCs w:val="21"/>
                      <w:u w:val="none"/>
                      <w:lang w:val="en-US" w:eastAsia="zh-CN"/>
                    </w:rPr>
                  </w:pPr>
                  <w:r>
                    <w:rPr>
                      <w:rFonts w:hint="eastAsia"/>
                      <w:color w:val="auto"/>
                      <w:szCs w:val="21"/>
                      <w:u w:val="none"/>
                    </w:rPr>
                    <w:t>DA001</w:t>
                  </w:r>
                </w:p>
              </w:tc>
              <w:tc>
                <w:tcPr>
                  <w:tcW w:w="518" w:type="pct"/>
                  <w:tcBorders>
                    <w:tl2br w:val="nil"/>
                    <w:tr2bl w:val="nil"/>
                  </w:tcBorders>
                  <w:noWrap w:val="0"/>
                  <w:vAlign w:val="center"/>
                </w:tcPr>
                <w:p>
                  <w:pPr>
                    <w:pStyle w:val="38"/>
                    <w:rPr>
                      <w:rFonts w:hint="eastAsia" w:eastAsia="宋体"/>
                      <w:kern w:val="24"/>
                      <w:szCs w:val="21"/>
                      <w:u w:val="none"/>
                      <w:lang w:val="en-US" w:eastAsia="zh-CN"/>
                    </w:rPr>
                  </w:pPr>
                  <w:r>
                    <w:rPr>
                      <w:rFonts w:hint="eastAsia"/>
                      <w:kern w:val="24"/>
                      <w:szCs w:val="21"/>
                      <w:u w:val="none"/>
                      <w:lang w:val="en-US" w:eastAsia="zh-CN"/>
                    </w:rPr>
                    <w:t>非甲烷总烃</w:t>
                  </w:r>
                </w:p>
              </w:tc>
              <w:tc>
                <w:tcPr>
                  <w:tcW w:w="404" w:type="pct"/>
                  <w:vMerge w:val="restart"/>
                  <w:tcBorders>
                    <w:tl2br w:val="nil"/>
                    <w:tr2bl w:val="nil"/>
                  </w:tcBorders>
                  <w:noWrap w:val="0"/>
                  <w:vAlign w:val="center"/>
                </w:tcPr>
                <w:p>
                  <w:pPr>
                    <w:pStyle w:val="38"/>
                    <w:rPr>
                      <w:rFonts w:hint="default"/>
                      <w:szCs w:val="21"/>
                      <w:u w:val="single"/>
                      <w:lang w:val="en-US" w:eastAsia="zh-CN"/>
                    </w:rPr>
                  </w:pPr>
                  <w:r>
                    <w:rPr>
                      <w:rFonts w:hint="eastAsia"/>
                      <w:szCs w:val="21"/>
                      <w:u w:val="single"/>
                      <w:lang w:val="en-US" w:eastAsia="zh-CN"/>
                    </w:rPr>
                    <w:t>15</w:t>
                  </w:r>
                </w:p>
              </w:tc>
              <w:tc>
                <w:tcPr>
                  <w:tcW w:w="446" w:type="pct"/>
                  <w:tcBorders>
                    <w:tl2br w:val="nil"/>
                    <w:tr2bl w:val="nil"/>
                  </w:tcBorders>
                  <w:noWrap w:val="0"/>
                  <w:vAlign w:val="center"/>
                </w:tcPr>
                <w:p>
                  <w:pPr>
                    <w:pStyle w:val="38"/>
                    <w:rPr>
                      <w:rFonts w:hint="default" w:eastAsia="宋体"/>
                      <w:szCs w:val="21"/>
                      <w:u w:val="single"/>
                      <w:lang w:val="en-US" w:eastAsia="zh-CN"/>
                    </w:rPr>
                  </w:pPr>
                  <w:r>
                    <w:rPr>
                      <w:rFonts w:hint="eastAsia"/>
                      <w:szCs w:val="21"/>
                      <w:u w:val="single"/>
                      <w:lang w:val="en-US" w:eastAsia="zh-CN"/>
                    </w:rPr>
                    <w:t>0.055</w:t>
                  </w:r>
                </w:p>
              </w:tc>
              <w:tc>
                <w:tcPr>
                  <w:tcW w:w="541" w:type="pct"/>
                  <w:tcBorders>
                    <w:tl2br w:val="nil"/>
                    <w:tr2bl w:val="nil"/>
                  </w:tcBorders>
                  <w:noWrap w:val="0"/>
                  <w:vAlign w:val="center"/>
                </w:tcPr>
                <w:p>
                  <w:pPr>
                    <w:pStyle w:val="38"/>
                    <w:rPr>
                      <w:rFonts w:hint="default" w:eastAsia="宋体"/>
                      <w:szCs w:val="21"/>
                      <w:u w:val="single"/>
                      <w:lang w:val="en-US" w:eastAsia="zh-CN"/>
                    </w:rPr>
                  </w:pPr>
                  <w:r>
                    <w:rPr>
                      <w:rFonts w:hint="eastAsia"/>
                      <w:szCs w:val="21"/>
                      <w:u w:val="single"/>
                      <w:lang w:val="en-US" w:eastAsia="zh-CN"/>
                    </w:rPr>
                    <w:t>4.61</w:t>
                  </w:r>
                </w:p>
              </w:tc>
              <w:tc>
                <w:tcPr>
                  <w:tcW w:w="446" w:type="pct"/>
                  <w:tcBorders>
                    <w:tl2br w:val="nil"/>
                    <w:tr2bl w:val="nil"/>
                  </w:tcBorders>
                  <w:noWrap w:val="0"/>
                  <w:vAlign w:val="center"/>
                </w:tcPr>
                <w:p>
                  <w:pPr>
                    <w:pStyle w:val="38"/>
                    <w:rPr>
                      <w:rFonts w:hint="default" w:eastAsia="宋体"/>
                      <w:szCs w:val="21"/>
                      <w:u w:val="single"/>
                      <w:lang w:val="en-US" w:eastAsia="zh-CN"/>
                    </w:rPr>
                  </w:pPr>
                  <w:r>
                    <w:rPr>
                      <w:rFonts w:hint="eastAsia"/>
                      <w:szCs w:val="21"/>
                      <w:u w:val="single"/>
                      <w:lang w:val="en-US" w:eastAsia="zh-CN"/>
                    </w:rPr>
                    <w:t>/</w:t>
                  </w:r>
                </w:p>
              </w:tc>
              <w:tc>
                <w:tcPr>
                  <w:tcW w:w="541" w:type="pct"/>
                  <w:tcBorders>
                    <w:tl2br w:val="nil"/>
                    <w:tr2bl w:val="nil"/>
                  </w:tcBorders>
                  <w:noWrap w:val="0"/>
                  <w:vAlign w:val="center"/>
                </w:tcPr>
                <w:p>
                  <w:pPr>
                    <w:pStyle w:val="38"/>
                    <w:rPr>
                      <w:rFonts w:hint="default" w:eastAsia="宋体"/>
                      <w:szCs w:val="21"/>
                      <w:u w:val="single"/>
                      <w:lang w:val="en-US" w:eastAsia="zh-CN"/>
                    </w:rPr>
                  </w:pPr>
                  <w:r>
                    <w:rPr>
                      <w:rFonts w:hint="eastAsia"/>
                      <w:szCs w:val="21"/>
                      <w:u w:val="single"/>
                      <w:lang w:val="en-US" w:eastAsia="zh-CN"/>
                    </w:rPr>
                    <w:t>100</w:t>
                  </w:r>
                </w:p>
              </w:tc>
              <w:tc>
                <w:tcPr>
                  <w:tcW w:w="1268" w:type="pct"/>
                  <w:vMerge w:val="restart"/>
                  <w:tcBorders>
                    <w:tl2br w:val="nil"/>
                    <w:tr2bl w:val="nil"/>
                  </w:tcBorders>
                  <w:noWrap w:val="0"/>
                  <w:vAlign w:val="center"/>
                </w:tcPr>
                <w:p>
                  <w:pPr>
                    <w:pStyle w:val="38"/>
                    <w:rPr>
                      <w:szCs w:val="21"/>
                      <w:u w:val="none"/>
                    </w:rPr>
                  </w:pPr>
                  <w:r>
                    <w:rPr>
                      <w:rFonts w:hint="eastAsia"/>
                      <w:color w:val="000000"/>
                      <w:sz w:val="21"/>
                      <w:szCs w:val="21"/>
                      <w:u w:val="none"/>
                    </w:rPr>
                    <w:t>《合成树脂工业污染物排放标准》（GB31572-2015）中表</w:t>
                  </w:r>
                  <w:r>
                    <w:rPr>
                      <w:rFonts w:hint="eastAsia"/>
                      <w:color w:val="000000"/>
                      <w:sz w:val="21"/>
                      <w:szCs w:val="21"/>
                      <w:u w:val="none"/>
                      <w:lang w:val="en-US" w:eastAsia="zh-CN"/>
                    </w:rPr>
                    <w:t>4、表5</w:t>
                  </w:r>
                  <w:r>
                    <w:rPr>
                      <w:rFonts w:hint="eastAsia"/>
                      <w:color w:val="000000"/>
                      <w:sz w:val="21"/>
                      <w:szCs w:val="21"/>
                      <w:u w:val="none"/>
                    </w:rPr>
                    <w:t>标准</w:t>
                  </w:r>
                </w:p>
              </w:tc>
              <w:tc>
                <w:tcPr>
                  <w:tcW w:w="379" w:type="pct"/>
                  <w:tcBorders>
                    <w:tl2br w:val="nil"/>
                    <w:tr2bl w:val="nil"/>
                  </w:tcBorders>
                  <w:noWrap w:val="0"/>
                  <w:vAlign w:val="center"/>
                </w:tcPr>
                <w:p>
                  <w:pPr>
                    <w:pStyle w:val="38"/>
                    <w:rPr>
                      <w:rFonts w:hint="eastAsia" w:eastAsia="宋体"/>
                      <w:szCs w:val="21"/>
                      <w:u w:val="none"/>
                      <w:lang w:val="en-US" w:eastAsia="zh-CN"/>
                    </w:rPr>
                  </w:pPr>
                  <w:r>
                    <w:rPr>
                      <w:rFonts w:hint="eastAsia"/>
                      <w:szCs w:val="21"/>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54" w:type="pct"/>
                  <w:vMerge w:val="continue"/>
                  <w:tcBorders>
                    <w:tl2br w:val="nil"/>
                    <w:tr2bl w:val="nil"/>
                  </w:tcBorders>
                  <w:noWrap w:val="0"/>
                  <w:vAlign w:val="center"/>
                </w:tcPr>
                <w:p>
                  <w:pPr>
                    <w:pStyle w:val="38"/>
                    <w:rPr>
                      <w:rFonts w:hint="eastAsia"/>
                      <w:szCs w:val="21"/>
                      <w:u w:val="none"/>
                      <w:lang w:val="en-US" w:eastAsia="zh-CN"/>
                    </w:rPr>
                  </w:pPr>
                </w:p>
              </w:tc>
              <w:tc>
                <w:tcPr>
                  <w:tcW w:w="518" w:type="pct"/>
                  <w:tcBorders>
                    <w:tl2br w:val="nil"/>
                    <w:tr2bl w:val="nil"/>
                  </w:tcBorders>
                  <w:noWrap w:val="0"/>
                  <w:vAlign w:val="center"/>
                </w:tcPr>
                <w:p>
                  <w:pPr>
                    <w:pStyle w:val="38"/>
                    <w:rPr>
                      <w:rFonts w:hint="eastAsia"/>
                      <w:kern w:val="24"/>
                      <w:szCs w:val="21"/>
                      <w:u w:val="none"/>
                      <w:lang w:val="en-US" w:eastAsia="zh-CN"/>
                    </w:rPr>
                  </w:pPr>
                  <w:r>
                    <w:rPr>
                      <w:rFonts w:hint="eastAsia"/>
                      <w:kern w:val="24"/>
                      <w:szCs w:val="21"/>
                      <w:u w:val="none"/>
                      <w:lang w:val="en-US" w:eastAsia="zh-CN"/>
                    </w:rPr>
                    <w:t>颗粒物</w:t>
                  </w:r>
                </w:p>
              </w:tc>
              <w:tc>
                <w:tcPr>
                  <w:tcW w:w="404" w:type="pct"/>
                  <w:vMerge w:val="continue"/>
                  <w:tcBorders>
                    <w:tl2br w:val="nil"/>
                    <w:tr2bl w:val="nil"/>
                  </w:tcBorders>
                  <w:noWrap w:val="0"/>
                  <w:vAlign w:val="center"/>
                </w:tcPr>
                <w:p>
                  <w:pPr>
                    <w:pStyle w:val="38"/>
                    <w:rPr>
                      <w:rFonts w:hint="eastAsia"/>
                      <w:szCs w:val="21"/>
                      <w:u w:val="single"/>
                      <w:lang w:val="en-US" w:eastAsia="zh-CN"/>
                    </w:rPr>
                  </w:pPr>
                </w:p>
              </w:tc>
              <w:tc>
                <w:tcPr>
                  <w:tcW w:w="446" w:type="pct"/>
                  <w:tcBorders>
                    <w:tl2br w:val="nil"/>
                    <w:tr2bl w:val="nil"/>
                  </w:tcBorders>
                  <w:noWrap w:val="0"/>
                  <w:vAlign w:val="center"/>
                </w:tcPr>
                <w:p>
                  <w:pPr>
                    <w:pStyle w:val="38"/>
                    <w:rPr>
                      <w:rFonts w:hint="default"/>
                      <w:szCs w:val="21"/>
                      <w:u w:val="single"/>
                      <w:lang w:val="en-US" w:eastAsia="zh-CN"/>
                    </w:rPr>
                  </w:pPr>
                  <w:r>
                    <w:rPr>
                      <w:rFonts w:hint="eastAsia"/>
                      <w:szCs w:val="21"/>
                      <w:u w:val="single"/>
                      <w:lang w:val="en-US" w:eastAsia="zh-CN"/>
                    </w:rPr>
                    <w:t>0.1247</w:t>
                  </w:r>
                </w:p>
              </w:tc>
              <w:tc>
                <w:tcPr>
                  <w:tcW w:w="541" w:type="pct"/>
                  <w:tcBorders>
                    <w:tl2br w:val="nil"/>
                    <w:tr2bl w:val="nil"/>
                  </w:tcBorders>
                  <w:noWrap w:val="0"/>
                  <w:vAlign w:val="center"/>
                </w:tcPr>
                <w:p>
                  <w:pPr>
                    <w:pStyle w:val="38"/>
                    <w:rPr>
                      <w:rFonts w:hint="default"/>
                      <w:szCs w:val="21"/>
                      <w:u w:val="single"/>
                      <w:lang w:val="en-US" w:eastAsia="zh-CN"/>
                    </w:rPr>
                  </w:pPr>
                  <w:r>
                    <w:rPr>
                      <w:rFonts w:hint="eastAsia"/>
                      <w:szCs w:val="21"/>
                      <w:u w:val="single"/>
                      <w:lang w:val="en-US" w:eastAsia="zh-CN"/>
                    </w:rPr>
                    <w:t>10.39</w:t>
                  </w:r>
                </w:p>
              </w:tc>
              <w:tc>
                <w:tcPr>
                  <w:tcW w:w="446" w:type="pct"/>
                  <w:tcBorders>
                    <w:tl2br w:val="nil"/>
                    <w:tr2bl w:val="nil"/>
                  </w:tcBorders>
                  <w:noWrap w:val="0"/>
                  <w:vAlign w:val="center"/>
                </w:tcPr>
                <w:p>
                  <w:pPr>
                    <w:pStyle w:val="38"/>
                    <w:rPr>
                      <w:rFonts w:hint="default"/>
                      <w:szCs w:val="21"/>
                      <w:u w:val="single"/>
                      <w:lang w:val="en-US" w:eastAsia="zh-CN"/>
                    </w:rPr>
                  </w:pPr>
                  <w:r>
                    <w:rPr>
                      <w:rFonts w:hint="eastAsia"/>
                      <w:szCs w:val="21"/>
                      <w:u w:val="single"/>
                      <w:lang w:val="en-US" w:eastAsia="zh-CN"/>
                    </w:rPr>
                    <w:t>/</w:t>
                  </w:r>
                </w:p>
              </w:tc>
              <w:tc>
                <w:tcPr>
                  <w:tcW w:w="541" w:type="pct"/>
                  <w:tcBorders>
                    <w:tl2br w:val="nil"/>
                    <w:tr2bl w:val="nil"/>
                  </w:tcBorders>
                  <w:noWrap w:val="0"/>
                  <w:vAlign w:val="center"/>
                </w:tcPr>
                <w:p>
                  <w:pPr>
                    <w:pStyle w:val="38"/>
                    <w:rPr>
                      <w:rFonts w:hint="default"/>
                      <w:szCs w:val="21"/>
                      <w:u w:val="single"/>
                      <w:lang w:val="en-US" w:eastAsia="zh-CN"/>
                    </w:rPr>
                  </w:pPr>
                  <w:r>
                    <w:rPr>
                      <w:rFonts w:hint="eastAsia"/>
                      <w:szCs w:val="21"/>
                      <w:u w:val="single"/>
                      <w:lang w:val="en-US" w:eastAsia="zh-CN"/>
                    </w:rPr>
                    <w:t>20</w:t>
                  </w:r>
                </w:p>
              </w:tc>
              <w:tc>
                <w:tcPr>
                  <w:tcW w:w="1268" w:type="pct"/>
                  <w:vMerge w:val="continue"/>
                  <w:tcBorders>
                    <w:tl2br w:val="nil"/>
                    <w:tr2bl w:val="nil"/>
                  </w:tcBorders>
                  <w:noWrap w:val="0"/>
                  <w:vAlign w:val="center"/>
                </w:tcPr>
                <w:p>
                  <w:pPr>
                    <w:pStyle w:val="38"/>
                    <w:rPr>
                      <w:bCs/>
                      <w:sz w:val="21"/>
                      <w:szCs w:val="21"/>
                      <w:u w:val="none"/>
                    </w:rPr>
                  </w:pPr>
                </w:p>
              </w:tc>
              <w:tc>
                <w:tcPr>
                  <w:tcW w:w="379" w:type="pct"/>
                  <w:tcBorders>
                    <w:tl2br w:val="nil"/>
                    <w:tr2bl w:val="nil"/>
                  </w:tcBorders>
                  <w:noWrap w:val="0"/>
                  <w:vAlign w:val="center"/>
                </w:tcPr>
                <w:p>
                  <w:pPr>
                    <w:rPr>
                      <w:rFonts w:hint="eastAsia"/>
                      <w:szCs w:val="21"/>
                      <w:u w:val="none"/>
                      <w:lang w:val="en-US" w:eastAsia="zh-CN"/>
                    </w:rPr>
                  </w:pPr>
                  <w:r>
                    <w:rPr>
                      <w:rFonts w:hint="eastAsia"/>
                      <w:szCs w:val="21"/>
                      <w:u w:val="none"/>
                      <w:lang w:val="en-US" w:eastAsia="zh-CN"/>
                    </w:rPr>
                    <w:t>达标</w:t>
                  </w:r>
                </w:p>
              </w:tc>
            </w:tr>
          </w:tbl>
          <w:p>
            <w:pPr>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根据工程分析，本项目污染物排放量核算情况见表</w:t>
            </w:r>
            <w:r>
              <w:rPr>
                <w:rFonts w:ascii="Times New Roman" w:hAnsi="Times New Roman" w:eastAsia="Times New Roman"/>
                <w:color w:val="auto"/>
                <w:sz w:val="24"/>
                <w:szCs w:val="24"/>
              </w:rPr>
              <w:t>4-</w:t>
            </w:r>
            <w:r>
              <w:rPr>
                <w:rFonts w:hint="eastAsia" w:ascii="Times New Roman" w:hAnsi="Times New Roman" w:eastAsia="宋体"/>
                <w:color w:val="auto"/>
                <w:sz w:val="24"/>
                <w:szCs w:val="24"/>
                <w:lang w:val="en-US" w:eastAsia="zh-CN"/>
              </w:rPr>
              <w:t>4</w:t>
            </w:r>
            <w:r>
              <w:rPr>
                <w:rFonts w:ascii="宋体" w:hAnsi="宋体" w:eastAsia="宋体"/>
                <w:color w:val="auto"/>
                <w:sz w:val="24"/>
                <w:szCs w:val="24"/>
              </w:rPr>
              <w:t>。</w:t>
            </w:r>
          </w:p>
          <w:p>
            <w:pPr>
              <w:spacing w:line="360" w:lineRule="auto"/>
              <w:jc w:val="center"/>
              <w:rPr>
                <w:rFonts w:ascii="宋体" w:hAnsi="宋体" w:eastAsia="宋体"/>
                <w:b/>
                <w:bCs/>
                <w:color w:val="auto"/>
                <w:szCs w:val="21"/>
              </w:rPr>
            </w:pPr>
            <w:r>
              <w:rPr>
                <w:rFonts w:ascii="宋体" w:hAnsi="宋体" w:eastAsia="宋体"/>
                <w:b/>
                <w:bCs/>
                <w:color w:val="auto"/>
                <w:szCs w:val="21"/>
              </w:rPr>
              <w:t>表4-</w:t>
            </w:r>
            <w:r>
              <w:rPr>
                <w:rFonts w:hint="eastAsia" w:ascii="宋体" w:hAnsi="宋体" w:eastAsia="宋体"/>
                <w:b/>
                <w:bCs/>
                <w:color w:val="auto"/>
                <w:szCs w:val="21"/>
                <w:lang w:val="en-US" w:eastAsia="zh-CN"/>
              </w:rPr>
              <w:t>4</w:t>
            </w:r>
            <w:r>
              <w:rPr>
                <w:rFonts w:ascii="宋体" w:hAnsi="宋体" w:eastAsia="宋体"/>
                <w:b/>
                <w:bCs/>
                <w:color w:val="auto"/>
                <w:szCs w:val="21"/>
              </w:rPr>
              <w:t>大气污染物年排放量核算表</w:t>
            </w:r>
          </w:p>
          <w:tbl>
            <w:tblPr>
              <w:tblStyle w:val="19"/>
              <w:tblW w:w="78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25"/>
              <w:gridCol w:w="2619"/>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2625" w:type="dxa"/>
                  <w:noWrap/>
                  <w:vAlign w:val="center"/>
                </w:tcPr>
                <w:p>
                  <w:pPr>
                    <w:pStyle w:val="28"/>
                    <w:widowControl w:val="0"/>
                    <w:rPr>
                      <w:b w:val="0"/>
                      <w:bCs/>
                      <w:color w:val="auto"/>
                      <w:lang w:val="zh-TW" w:eastAsia="zh-TW"/>
                    </w:rPr>
                  </w:pPr>
                  <w:r>
                    <w:rPr>
                      <w:rFonts w:hint="eastAsia"/>
                      <w:b w:val="0"/>
                      <w:bCs/>
                      <w:color w:val="auto"/>
                      <w:lang w:val="zh-TW" w:eastAsia="zh-TW"/>
                    </w:rPr>
                    <w:t>序号</w:t>
                  </w:r>
                </w:p>
              </w:tc>
              <w:tc>
                <w:tcPr>
                  <w:tcW w:w="2619" w:type="dxa"/>
                  <w:noWrap/>
                  <w:vAlign w:val="center"/>
                </w:tcPr>
                <w:p>
                  <w:pPr>
                    <w:pStyle w:val="28"/>
                    <w:widowControl w:val="0"/>
                    <w:rPr>
                      <w:b w:val="0"/>
                      <w:bCs/>
                      <w:color w:val="auto"/>
                      <w:lang w:val="zh-TW"/>
                    </w:rPr>
                  </w:pPr>
                  <w:r>
                    <w:rPr>
                      <w:rFonts w:hint="eastAsia"/>
                      <w:b w:val="0"/>
                      <w:bCs/>
                      <w:color w:val="auto"/>
                      <w:lang w:val="zh-TW"/>
                    </w:rPr>
                    <w:t>污染物</w:t>
                  </w:r>
                </w:p>
              </w:tc>
              <w:tc>
                <w:tcPr>
                  <w:tcW w:w="2626" w:type="dxa"/>
                  <w:noWrap/>
                  <w:vAlign w:val="center"/>
                </w:tcPr>
                <w:p>
                  <w:pPr>
                    <w:pStyle w:val="28"/>
                    <w:widowControl w:val="0"/>
                    <w:rPr>
                      <w:b w:val="0"/>
                      <w:bCs/>
                      <w:color w:val="auto"/>
                      <w:lang w:val="zh-TW"/>
                    </w:rPr>
                  </w:pPr>
                  <w:r>
                    <w:rPr>
                      <w:rFonts w:hint="eastAsia"/>
                      <w:b w:val="0"/>
                      <w:bCs/>
                      <w:color w:val="auto"/>
                      <w:lang w:val="zh-TW"/>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2625" w:type="dxa"/>
                  <w:noWrap/>
                  <w:vAlign w:val="center"/>
                </w:tcPr>
                <w:p>
                  <w:pPr>
                    <w:pStyle w:val="28"/>
                    <w:widowControl w:val="0"/>
                    <w:rPr>
                      <w:b w:val="0"/>
                      <w:bCs/>
                      <w:color w:val="auto"/>
                      <w:lang w:val="zh-TW"/>
                    </w:rPr>
                  </w:pPr>
                  <w:r>
                    <w:rPr>
                      <w:rFonts w:hint="eastAsia"/>
                      <w:b w:val="0"/>
                      <w:bCs/>
                      <w:color w:val="auto"/>
                      <w:lang w:val="zh-TW"/>
                    </w:rPr>
                    <w:t>1</w:t>
                  </w:r>
                </w:p>
              </w:tc>
              <w:tc>
                <w:tcPr>
                  <w:tcW w:w="2619" w:type="dxa"/>
                  <w:noWrap/>
                  <w:vAlign w:val="center"/>
                </w:tcPr>
                <w:p>
                  <w:pPr>
                    <w:pStyle w:val="28"/>
                    <w:widowControl w:val="0"/>
                    <w:rPr>
                      <w:b w:val="0"/>
                      <w:bCs/>
                      <w:color w:val="auto"/>
                      <w:lang w:val="zh-TW"/>
                    </w:rPr>
                  </w:pPr>
                  <w:r>
                    <w:rPr>
                      <w:rFonts w:hint="eastAsia"/>
                      <w:b w:val="0"/>
                      <w:bCs/>
                      <w:color w:val="auto"/>
                    </w:rPr>
                    <w:t>非甲烷总烃</w:t>
                  </w:r>
                </w:p>
              </w:tc>
              <w:tc>
                <w:tcPr>
                  <w:tcW w:w="2626" w:type="dxa"/>
                  <w:noWrap/>
                  <w:vAlign w:val="center"/>
                </w:tcPr>
                <w:p>
                  <w:pPr>
                    <w:pStyle w:val="28"/>
                    <w:widowControl w:val="0"/>
                    <w:rPr>
                      <w:rFonts w:hint="eastAsia" w:eastAsia="宋体"/>
                      <w:b w:val="0"/>
                      <w:bCs/>
                      <w:color w:val="auto"/>
                      <w:lang w:eastAsia="zh-CN"/>
                    </w:rPr>
                  </w:pPr>
                  <w:r>
                    <w:rPr>
                      <w:rFonts w:hint="eastAsia"/>
                      <w:b w:val="0"/>
                      <w:bCs/>
                      <w:color w:val="auto"/>
                      <w:lang w:eastAsia="zh-CN"/>
                    </w:rPr>
                    <w:t>0.4376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2625" w:type="dxa"/>
                  <w:noWrap/>
                  <w:vAlign w:val="center"/>
                </w:tcPr>
                <w:p>
                  <w:pPr>
                    <w:pStyle w:val="28"/>
                    <w:widowControl w:val="0"/>
                    <w:rPr>
                      <w:b w:val="0"/>
                      <w:bCs/>
                      <w:color w:val="auto"/>
                    </w:rPr>
                  </w:pPr>
                  <w:r>
                    <w:rPr>
                      <w:rFonts w:hint="eastAsia"/>
                      <w:b w:val="0"/>
                      <w:bCs/>
                      <w:color w:val="auto"/>
                    </w:rPr>
                    <w:t>2</w:t>
                  </w:r>
                </w:p>
              </w:tc>
              <w:tc>
                <w:tcPr>
                  <w:tcW w:w="2619" w:type="dxa"/>
                  <w:noWrap/>
                  <w:vAlign w:val="center"/>
                </w:tcPr>
                <w:p>
                  <w:pPr>
                    <w:pStyle w:val="28"/>
                    <w:widowControl w:val="0"/>
                    <w:rPr>
                      <w:rFonts w:hint="eastAsia" w:eastAsia="宋体"/>
                      <w:b w:val="0"/>
                      <w:bCs/>
                      <w:color w:val="auto"/>
                      <w:lang w:eastAsia="zh-CN"/>
                    </w:rPr>
                  </w:pPr>
                  <w:r>
                    <w:rPr>
                      <w:rFonts w:hint="eastAsia"/>
                      <w:b w:val="0"/>
                      <w:bCs/>
                      <w:color w:val="auto"/>
                      <w:lang w:val="en-US" w:eastAsia="zh-CN"/>
                    </w:rPr>
                    <w:t>粉尘</w:t>
                  </w:r>
                </w:p>
              </w:tc>
              <w:tc>
                <w:tcPr>
                  <w:tcW w:w="2626" w:type="dxa"/>
                  <w:noWrap/>
                  <w:vAlign w:val="center"/>
                </w:tcPr>
                <w:p>
                  <w:pPr>
                    <w:pStyle w:val="28"/>
                    <w:widowControl w:val="0"/>
                    <w:rPr>
                      <w:rFonts w:hint="eastAsia" w:eastAsia="宋体"/>
                      <w:b w:val="0"/>
                      <w:bCs/>
                      <w:color w:val="auto"/>
                      <w:lang w:eastAsia="zh-CN"/>
                    </w:rPr>
                  </w:pPr>
                  <w:r>
                    <w:rPr>
                      <w:rFonts w:hint="eastAsia"/>
                      <w:b w:val="0"/>
                      <w:bCs/>
                      <w:color w:val="auto"/>
                      <w:lang w:eastAsia="zh-CN"/>
                    </w:rPr>
                    <w:t>0.9918</w:t>
                  </w:r>
                </w:p>
              </w:tc>
            </w:tr>
          </w:tbl>
          <w:p>
            <w:pPr>
              <w:pStyle w:val="6"/>
              <w:jc w:val="both"/>
              <w:rPr>
                <w:rFonts w:ascii="Times New Roman" w:hAnsi="Times New Roman" w:eastAsia="Times New Roman"/>
                <w:color w:val="auto"/>
                <w:sz w:val="21"/>
                <w:szCs w:val="21"/>
              </w:rPr>
            </w:pPr>
            <w:r>
              <w:rPr>
                <w:rFonts w:hint="eastAsia" w:ascii="Times New Roman" w:hAnsi="Times New Roman" w:eastAsia="宋体"/>
                <w:color w:val="auto"/>
                <w:sz w:val="21"/>
                <w:szCs w:val="21"/>
              </w:rPr>
              <w:t>6</w:t>
            </w:r>
            <w:r>
              <w:rPr>
                <w:rFonts w:ascii="Times New Roman" w:hAnsi="Times New Roman" w:eastAsia="Times New Roman"/>
                <w:color w:val="auto"/>
                <w:sz w:val="21"/>
                <w:szCs w:val="21"/>
              </w:rPr>
              <w:t>）大气环境影响评价结论</w:t>
            </w:r>
          </w:p>
          <w:p>
            <w:pPr>
              <w:snapToGrid w:val="0"/>
              <w:spacing w:line="360" w:lineRule="auto"/>
              <w:ind w:firstLine="480" w:firstLineChars="200"/>
              <w:rPr>
                <w:rFonts w:ascii="Times New Roman" w:hAnsi="Times New Roman" w:eastAsia="Times New Roman"/>
                <w:color w:val="auto"/>
                <w:szCs w:val="21"/>
              </w:rPr>
            </w:pPr>
            <w:r>
              <w:rPr>
                <w:rFonts w:ascii="宋体" w:hAnsi="宋体" w:eastAsia="宋体"/>
                <w:color w:val="auto"/>
                <w:sz w:val="24"/>
                <w:szCs w:val="24"/>
              </w:rPr>
              <w:t>综上所述，项目大气污染物主要为</w:t>
            </w:r>
            <w:r>
              <w:rPr>
                <w:rFonts w:hint="eastAsia" w:ascii="宋体" w:hAnsi="宋体" w:eastAsia="宋体"/>
                <w:color w:val="auto"/>
                <w:sz w:val="24"/>
                <w:szCs w:val="24"/>
              </w:rPr>
              <w:t>熔融、发泡、挤塑工序产生的非甲烷总烃</w:t>
            </w:r>
            <w:r>
              <w:rPr>
                <w:rFonts w:hint="eastAsia" w:ascii="宋体" w:hAnsi="宋体" w:eastAsia="宋体"/>
                <w:color w:val="auto"/>
                <w:sz w:val="24"/>
                <w:szCs w:val="24"/>
                <w:lang w:val="en-US" w:eastAsia="zh-CN"/>
              </w:rPr>
              <w:t>；</w:t>
            </w:r>
            <w:r>
              <w:rPr>
                <w:rFonts w:hint="eastAsia" w:ascii="宋体" w:hAnsi="宋体" w:eastAsia="宋体"/>
                <w:color w:val="auto"/>
                <w:sz w:val="24"/>
                <w:szCs w:val="24"/>
              </w:rPr>
              <w:t>破碎工序产生的粉尘以及切割工序产生的粉尘及食堂油烟</w:t>
            </w:r>
            <w:r>
              <w:rPr>
                <w:rFonts w:ascii="宋体" w:hAnsi="宋体" w:eastAsia="宋体"/>
                <w:color w:val="auto"/>
                <w:sz w:val="24"/>
                <w:szCs w:val="24"/>
              </w:rPr>
              <w:t>等。</w:t>
            </w:r>
            <w:r>
              <w:rPr>
                <w:rFonts w:hint="eastAsia" w:ascii="宋体" w:hAnsi="宋体" w:eastAsia="宋体"/>
                <w:color w:val="auto"/>
                <w:sz w:val="24"/>
                <w:szCs w:val="24"/>
              </w:rPr>
              <w:t>熔融、发泡、挤塑工序产生的非甲烷总烃</w:t>
            </w:r>
            <w:r>
              <w:rPr>
                <w:rFonts w:ascii="宋体" w:hAnsi="宋体" w:eastAsia="宋体"/>
                <w:color w:val="auto"/>
                <w:sz w:val="24"/>
                <w:szCs w:val="24"/>
              </w:rPr>
              <w:t>经采取</w:t>
            </w:r>
            <w:r>
              <w:rPr>
                <w:rFonts w:hint="eastAsia" w:ascii="宋体" w:hAnsi="宋体" w:eastAsia="宋体"/>
                <w:color w:val="auto"/>
                <w:sz w:val="24"/>
                <w:szCs w:val="24"/>
              </w:rPr>
              <w:t>集气罩+</w:t>
            </w:r>
            <w:r>
              <w:rPr>
                <w:rFonts w:hint="eastAsia" w:ascii="宋体" w:hAnsi="宋体" w:eastAsia="宋体"/>
                <w:color w:val="auto"/>
                <w:sz w:val="24"/>
                <w:szCs w:val="24"/>
                <w:lang w:val="en-US" w:eastAsia="zh-CN"/>
              </w:rPr>
              <w:t>喷淋+</w:t>
            </w:r>
            <w:r>
              <w:rPr>
                <w:rFonts w:hint="eastAsia" w:ascii="宋体" w:hAnsi="宋体" w:eastAsia="宋体"/>
                <w:color w:val="auto"/>
                <w:sz w:val="24"/>
                <w:szCs w:val="24"/>
              </w:rPr>
              <w:t>UV光氧催化+活性炭吸附</w:t>
            </w:r>
            <w:r>
              <w:rPr>
                <w:rFonts w:ascii="宋体" w:hAnsi="宋体" w:eastAsia="宋体"/>
                <w:color w:val="auto"/>
                <w:sz w:val="24"/>
                <w:szCs w:val="24"/>
              </w:rPr>
              <w:t>处理后</w:t>
            </w:r>
            <w:r>
              <w:rPr>
                <w:rFonts w:hint="eastAsia" w:ascii="宋体" w:hAnsi="宋体" w:eastAsia="宋体"/>
                <w:color w:val="auto"/>
                <w:sz w:val="24"/>
                <w:szCs w:val="24"/>
              </w:rPr>
              <w:t>废气</w:t>
            </w:r>
            <w:r>
              <w:rPr>
                <w:rFonts w:ascii="宋体" w:hAnsi="宋体" w:eastAsia="宋体"/>
                <w:color w:val="auto"/>
                <w:sz w:val="24"/>
                <w:szCs w:val="24"/>
              </w:rPr>
              <w:t>能达到</w:t>
            </w:r>
            <w:r>
              <w:rPr>
                <w:rFonts w:hint="eastAsia" w:ascii="宋体" w:hAnsi="宋体" w:eastAsia="宋体"/>
                <w:color w:val="auto"/>
                <w:sz w:val="24"/>
                <w:szCs w:val="24"/>
              </w:rPr>
              <w:t>《合成树脂工业污染物排放标准》（GB31572-2015）</w:t>
            </w:r>
            <w:r>
              <w:rPr>
                <w:rFonts w:ascii="宋体" w:hAnsi="宋体" w:eastAsia="宋体"/>
                <w:color w:val="auto"/>
                <w:sz w:val="24"/>
                <w:szCs w:val="24"/>
              </w:rPr>
              <w:t>中</w:t>
            </w:r>
            <w:r>
              <w:rPr>
                <w:rFonts w:hint="eastAsia" w:ascii="宋体" w:hAnsi="宋体" w:eastAsia="宋体"/>
                <w:color w:val="auto"/>
                <w:sz w:val="24"/>
                <w:szCs w:val="24"/>
              </w:rPr>
              <w:t>表</w:t>
            </w:r>
            <w:r>
              <w:rPr>
                <w:rFonts w:hint="eastAsia" w:ascii="宋体" w:hAnsi="宋体" w:eastAsia="宋体"/>
                <w:color w:val="auto"/>
                <w:sz w:val="24"/>
                <w:szCs w:val="24"/>
                <w:lang w:val="en-US" w:eastAsia="zh-CN"/>
              </w:rPr>
              <w:t>5</w:t>
            </w:r>
            <w:r>
              <w:rPr>
                <w:rFonts w:ascii="宋体" w:hAnsi="宋体" w:eastAsia="宋体"/>
                <w:color w:val="auto"/>
                <w:sz w:val="24"/>
                <w:szCs w:val="24"/>
              </w:rPr>
              <w:t>标准；项目</w:t>
            </w:r>
            <w:r>
              <w:rPr>
                <w:rFonts w:hint="eastAsia" w:ascii="宋体" w:hAnsi="宋体" w:eastAsia="宋体"/>
                <w:color w:val="auto"/>
                <w:sz w:val="24"/>
                <w:szCs w:val="24"/>
              </w:rPr>
              <w:t>破碎工序产生的粉尘以及切割工序产生的粉尘</w:t>
            </w:r>
            <w:r>
              <w:rPr>
                <w:rFonts w:ascii="宋体" w:hAnsi="宋体" w:eastAsia="宋体"/>
                <w:color w:val="auto"/>
                <w:sz w:val="24"/>
                <w:szCs w:val="24"/>
              </w:rPr>
              <w:t>经布袋除尘器</w:t>
            </w:r>
            <w:r>
              <w:rPr>
                <w:rFonts w:hint="eastAsia" w:ascii="宋体" w:hAnsi="宋体" w:eastAsia="宋体"/>
                <w:color w:val="auto"/>
                <w:sz w:val="24"/>
                <w:szCs w:val="24"/>
                <w:lang w:val="en-US" w:eastAsia="zh-CN"/>
              </w:rPr>
              <w:t>+喷淋</w:t>
            </w:r>
            <w:r>
              <w:rPr>
                <w:rFonts w:ascii="宋体" w:hAnsi="宋体" w:eastAsia="宋体"/>
                <w:color w:val="auto"/>
                <w:sz w:val="24"/>
                <w:szCs w:val="24"/>
              </w:rPr>
              <w:t>处理后能满足</w:t>
            </w:r>
            <w:r>
              <w:rPr>
                <w:rFonts w:hint="eastAsia" w:ascii="宋体" w:hAnsi="宋体" w:eastAsia="宋体"/>
                <w:color w:val="auto"/>
                <w:sz w:val="24"/>
                <w:szCs w:val="24"/>
              </w:rPr>
              <w:t>《合成树脂工业污染物排放标准》（GB31572-2015）</w:t>
            </w:r>
            <w:r>
              <w:rPr>
                <w:rFonts w:ascii="宋体" w:hAnsi="宋体" w:eastAsia="宋体"/>
                <w:color w:val="auto"/>
                <w:sz w:val="24"/>
                <w:szCs w:val="24"/>
              </w:rPr>
              <w:t>中</w:t>
            </w:r>
            <w:r>
              <w:rPr>
                <w:rFonts w:hint="eastAsia" w:ascii="宋体" w:hAnsi="宋体" w:eastAsia="宋体"/>
                <w:color w:val="auto"/>
                <w:sz w:val="24"/>
                <w:szCs w:val="24"/>
              </w:rPr>
              <w:t>表4</w:t>
            </w:r>
            <w:r>
              <w:rPr>
                <w:rFonts w:ascii="宋体" w:hAnsi="宋体" w:eastAsia="宋体"/>
                <w:color w:val="auto"/>
                <w:sz w:val="24"/>
                <w:szCs w:val="24"/>
              </w:rPr>
              <w:t>标准；</w:t>
            </w:r>
            <w:r>
              <w:rPr>
                <w:rFonts w:hint="eastAsia" w:ascii="宋体" w:hAnsi="宋体" w:eastAsia="宋体"/>
                <w:color w:val="auto"/>
                <w:sz w:val="24"/>
                <w:szCs w:val="24"/>
              </w:rPr>
              <w:t>食堂油烟经油烟净化器处理后满足《饮食业油烟排放标准》（GB18483-2001）中排放标准</w:t>
            </w:r>
            <w:r>
              <w:rPr>
                <w:rFonts w:ascii="宋体" w:hAnsi="宋体" w:eastAsia="宋体"/>
                <w:color w:val="auto"/>
                <w:sz w:val="24"/>
                <w:szCs w:val="24"/>
              </w:rPr>
              <w:t>。因此，项目废气经处理后均能达到相应执行标准。根据现状监测，项目所在地环境质量现状良好。由于项目废气经采取措施处理后均采用不低于</w:t>
            </w:r>
            <w:r>
              <w:rPr>
                <w:rFonts w:ascii="Times New Roman" w:hAnsi="Times New Roman" w:eastAsia="Times New Roman"/>
                <w:color w:val="auto"/>
                <w:sz w:val="24"/>
                <w:szCs w:val="24"/>
              </w:rPr>
              <w:t>15米的排气筒高空达标排放，因此，对项目周边</w:t>
            </w:r>
            <w:r>
              <w:rPr>
                <w:rFonts w:hint="eastAsia" w:ascii="Times New Roman" w:hAnsi="Times New Roman" w:eastAsia="宋体"/>
                <w:color w:val="auto"/>
                <w:sz w:val="24"/>
                <w:szCs w:val="24"/>
              </w:rPr>
              <w:t>环境</w:t>
            </w:r>
            <w:r>
              <w:rPr>
                <w:rFonts w:ascii="Times New Roman" w:hAnsi="Times New Roman" w:eastAsia="Times New Roman"/>
                <w:color w:val="auto"/>
                <w:sz w:val="24"/>
                <w:szCs w:val="24"/>
              </w:rPr>
              <w:t>影响较小</w:t>
            </w:r>
            <w:r>
              <w:rPr>
                <w:rFonts w:ascii="Times New Roman" w:hAnsi="Times New Roman" w:eastAsia="Times New Roman"/>
                <w:color w:val="auto"/>
                <w:szCs w:val="21"/>
              </w:rPr>
              <w:t>。</w:t>
            </w:r>
          </w:p>
          <w:p>
            <w:pPr>
              <w:spacing w:line="360" w:lineRule="auto"/>
              <w:ind w:firstLine="480" w:firstLineChars="200"/>
              <w:rPr>
                <w:bCs/>
                <w:color w:val="auto"/>
                <w:sz w:val="24"/>
                <w:szCs w:val="24"/>
                <w:u w:val="none"/>
              </w:rPr>
            </w:pPr>
            <w:r>
              <w:rPr>
                <w:bCs/>
                <w:sz w:val="24"/>
                <w:szCs w:val="24"/>
                <w:u w:val="none"/>
              </w:rPr>
              <w:t>大气污染物非正常排放主要由生</w:t>
            </w:r>
            <w:r>
              <w:rPr>
                <w:bCs/>
                <w:color w:val="auto"/>
                <w:sz w:val="24"/>
                <w:szCs w:val="24"/>
                <w:u w:val="none"/>
              </w:rPr>
              <w:t>产工艺设备或除尘系统正常开机、停机、部分设备检修及达不到设计规定指标时排放的污染物。根据本项目特点，本环评大气污染物非正常排放源强按照处理设施故效率为零进行核算，核算数值见下表:</w:t>
            </w:r>
          </w:p>
          <w:p>
            <w:pPr>
              <w:jc w:val="center"/>
              <w:rPr>
                <w:b/>
                <w:color w:val="auto"/>
                <w:sz w:val="21"/>
                <w:szCs w:val="21"/>
                <w:u w:val="none"/>
              </w:rPr>
            </w:pPr>
            <w:r>
              <w:rPr>
                <w:b/>
                <w:color w:val="auto"/>
                <w:sz w:val="21"/>
                <w:szCs w:val="21"/>
                <w:u w:val="none"/>
              </w:rPr>
              <w:t>表</w:t>
            </w:r>
            <w:r>
              <w:rPr>
                <w:rFonts w:hint="eastAsia"/>
                <w:b/>
                <w:color w:val="auto"/>
                <w:sz w:val="21"/>
                <w:szCs w:val="21"/>
                <w:u w:val="none"/>
                <w:lang w:val="en-US" w:eastAsia="zh-CN"/>
              </w:rPr>
              <w:t>4-5</w:t>
            </w:r>
            <w:r>
              <w:rPr>
                <w:b/>
                <w:color w:val="auto"/>
                <w:sz w:val="21"/>
                <w:szCs w:val="21"/>
                <w:u w:val="none"/>
              </w:rPr>
              <w:t>大气污染物非正常排放情况表</w:t>
            </w:r>
          </w:p>
          <w:tbl>
            <w:tblPr>
              <w:tblStyle w:val="20"/>
              <w:tblW w:w="793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42"/>
              <w:gridCol w:w="941"/>
              <w:gridCol w:w="1270"/>
              <w:gridCol w:w="1210"/>
              <w:gridCol w:w="948"/>
              <w:gridCol w:w="924"/>
              <w:gridCol w:w="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污染源</w:t>
                  </w:r>
                </w:p>
              </w:tc>
              <w:tc>
                <w:tcPr>
                  <w:tcW w:w="1042"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非正常排放原因</w:t>
                  </w:r>
                </w:p>
              </w:tc>
              <w:tc>
                <w:tcPr>
                  <w:tcW w:w="941"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污染物</w:t>
                  </w:r>
                </w:p>
              </w:tc>
              <w:tc>
                <w:tcPr>
                  <w:tcW w:w="1270"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非正常排放浓度(mg/m</w:t>
                  </w:r>
                  <w:r>
                    <w:rPr>
                      <w:rFonts w:hint="eastAsia"/>
                      <w:color w:val="000000"/>
                      <w:sz w:val="21"/>
                      <w:szCs w:val="21"/>
                      <w:u w:val="none"/>
                      <w:vertAlign w:val="superscript"/>
                    </w:rPr>
                    <w:t>3</w:t>
                  </w:r>
                  <w:r>
                    <w:rPr>
                      <w:rFonts w:hint="eastAsia"/>
                      <w:color w:val="000000"/>
                      <w:sz w:val="21"/>
                      <w:szCs w:val="21"/>
                      <w:u w:val="none"/>
                    </w:rPr>
                    <w:t>)</w:t>
                  </w:r>
                </w:p>
              </w:tc>
              <w:tc>
                <w:tcPr>
                  <w:tcW w:w="1210"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非正常排放速率(kg/h)</w:t>
                  </w:r>
                </w:p>
              </w:tc>
              <w:tc>
                <w:tcPr>
                  <w:tcW w:w="948"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单次持续时间/h</w:t>
                  </w:r>
                </w:p>
              </w:tc>
              <w:tc>
                <w:tcPr>
                  <w:tcW w:w="924"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年发生频次/次</w:t>
                  </w:r>
                </w:p>
              </w:tc>
              <w:tc>
                <w:tcPr>
                  <w:tcW w:w="870" w:type="dxa"/>
                  <w:tcBorders>
                    <w:tl2br w:val="nil"/>
                    <w:tr2bl w:val="nil"/>
                  </w:tcBorders>
                  <w:noWrap w:val="0"/>
                  <w:vAlign w:val="center"/>
                </w:tcPr>
                <w:p>
                  <w:pPr>
                    <w:spacing w:before="62" w:beforeLines="20" w:after="62" w:afterLines="20"/>
                    <w:jc w:val="center"/>
                    <w:rPr>
                      <w:rFonts w:hint="eastAsia"/>
                      <w:color w:val="000000"/>
                      <w:sz w:val="21"/>
                      <w:szCs w:val="21"/>
                      <w:u w:val="none"/>
                    </w:rPr>
                  </w:pPr>
                  <w:r>
                    <w:rPr>
                      <w:rFonts w:hint="eastAsia"/>
                      <w:color w:val="000000"/>
                      <w:sz w:val="21"/>
                      <w:szCs w:val="21"/>
                      <w:u w:val="none"/>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8" w:hRule="atLeast"/>
              </w:trPr>
              <w:tc>
                <w:tcPr>
                  <w:tcW w:w="731" w:type="dxa"/>
                  <w:vMerge w:val="restart"/>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排气筒1</w:t>
                  </w:r>
                </w:p>
              </w:tc>
              <w:tc>
                <w:tcPr>
                  <w:tcW w:w="1042" w:type="dxa"/>
                  <w:vMerge w:val="restart"/>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lang w:val="en-US" w:eastAsia="zh-CN"/>
                    </w:rPr>
                    <w:t>废</w:t>
                  </w:r>
                  <w:r>
                    <w:rPr>
                      <w:rFonts w:hint="eastAsia"/>
                      <w:color w:val="000000"/>
                      <w:sz w:val="21"/>
                      <w:szCs w:val="21"/>
                      <w:u w:val="single"/>
                    </w:rPr>
                    <w:t>气处理设施故障</w:t>
                  </w:r>
                </w:p>
              </w:tc>
              <w:tc>
                <w:tcPr>
                  <w:tcW w:w="941"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颗粒物</w:t>
                  </w:r>
                </w:p>
              </w:tc>
              <w:tc>
                <w:tcPr>
                  <w:tcW w:w="1270" w:type="dxa"/>
                  <w:tcBorders>
                    <w:tl2br w:val="nil"/>
                    <w:tr2bl w:val="nil"/>
                  </w:tcBorders>
                  <w:noWrap w:val="0"/>
                  <w:vAlign w:val="center"/>
                </w:tcPr>
                <w:p>
                  <w:pPr>
                    <w:spacing w:before="62" w:beforeLines="20" w:after="62" w:afterLines="20"/>
                    <w:jc w:val="center"/>
                    <w:rPr>
                      <w:rFonts w:hint="default" w:eastAsia="宋体"/>
                      <w:color w:val="000000"/>
                      <w:sz w:val="21"/>
                      <w:szCs w:val="21"/>
                      <w:u w:val="single"/>
                      <w:lang w:val="en-US" w:eastAsia="zh-CN"/>
                    </w:rPr>
                  </w:pPr>
                  <w:r>
                    <w:rPr>
                      <w:rFonts w:hint="eastAsia" w:eastAsia="宋体"/>
                      <w:color w:val="000000"/>
                      <w:sz w:val="21"/>
                      <w:szCs w:val="21"/>
                      <w:u w:val="single"/>
                      <w:lang w:val="en-US" w:eastAsia="zh-CN"/>
                    </w:rPr>
                    <w:t>25.98</w:t>
                  </w:r>
                </w:p>
              </w:tc>
              <w:tc>
                <w:tcPr>
                  <w:tcW w:w="1210" w:type="dxa"/>
                  <w:tcBorders>
                    <w:tl2br w:val="nil"/>
                    <w:tr2bl w:val="nil"/>
                  </w:tcBorders>
                  <w:noWrap w:val="0"/>
                  <w:vAlign w:val="center"/>
                </w:tcPr>
                <w:p>
                  <w:pPr>
                    <w:spacing w:before="62" w:beforeLines="20" w:after="62" w:afterLines="20"/>
                    <w:jc w:val="center"/>
                    <w:rPr>
                      <w:rFonts w:hint="default" w:eastAsia="宋体"/>
                      <w:color w:val="000000"/>
                      <w:sz w:val="21"/>
                      <w:szCs w:val="21"/>
                      <w:u w:val="single"/>
                      <w:lang w:val="en-US" w:eastAsia="zh-CN"/>
                    </w:rPr>
                  </w:pPr>
                  <w:r>
                    <w:rPr>
                      <w:rFonts w:hint="eastAsia"/>
                      <w:color w:val="000000"/>
                      <w:sz w:val="21"/>
                      <w:szCs w:val="21"/>
                      <w:u w:val="single"/>
                      <w:lang w:val="en-US" w:eastAsia="zh-CN"/>
                    </w:rPr>
                    <w:t>0.312</w:t>
                  </w:r>
                </w:p>
              </w:tc>
              <w:tc>
                <w:tcPr>
                  <w:tcW w:w="948"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2</w:t>
                  </w:r>
                </w:p>
              </w:tc>
              <w:tc>
                <w:tcPr>
                  <w:tcW w:w="924"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2</w:t>
                  </w:r>
                </w:p>
              </w:tc>
              <w:tc>
                <w:tcPr>
                  <w:tcW w:w="870"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生产设施停车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vMerge w:val="continue"/>
                  <w:tcBorders>
                    <w:tl2br w:val="nil"/>
                    <w:tr2bl w:val="nil"/>
                  </w:tcBorders>
                  <w:noWrap w:val="0"/>
                  <w:vAlign w:val="center"/>
                </w:tcPr>
                <w:p>
                  <w:pPr>
                    <w:spacing w:before="62" w:beforeLines="20" w:after="62" w:afterLines="20"/>
                    <w:jc w:val="center"/>
                    <w:rPr>
                      <w:rFonts w:hint="eastAsia" w:eastAsiaTheme="minorEastAsia"/>
                      <w:color w:val="000000"/>
                      <w:sz w:val="21"/>
                      <w:szCs w:val="21"/>
                      <w:u w:val="single"/>
                      <w:lang w:eastAsia="zh-CN"/>
                    </w:rPr>
                  </w:pPr>
                </w:p>
              </w:tc>
              <w:tc>
                <w:tcPr>
                  <w:tcW w:w="1042" w:type="dxa"/>
                  <w:vMerge w:val="continue"/>
                  <w:tcBorders>
                    <w:tl2br w:val="nil"/>
                    <w:tr2bl w:val="nil"/>
                  </w:tcBorders>
                  <w:noWrap w:val="0"/>
                  <w:vAlign w:val="center"/>
                </w:tcPr>
                <w:p>
                  <w:pPr>
                    <w:spacing w:before="62" w:beforeLines="20" w:after="62" w:afterLines="20"/>
                    <w:jc w:val="center"/>
                    <w:rPr>
                      <w:rFonts w:hint="eastAsia"/>
                      <w:color w:val="000000"/>
                      <w:sz w:val="21"/>
                      <w:szCs w:val="21"/>
                      <w:u w:val="single"/>
                    </w:rPr>
                  </w:pPr>
                </w:p>
              </w:tc>
              <w:tc>
                <w:tcPr>
                  <w:tcW w:w="941"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非甲烷烃</w:t>
                  </w:r>
                </w:p>
              </w:tc>
              <w:tc>
                <w:tcPr>
                  <w:tcW w:w="1270" w:type="dxa"/>
                  <w:tcBorders>
                    <w:tl2br w:val="nil"/>
                    <w:tr2bl w:val="nil"/>
                  </w:tcBorders>
                  <w:noWrap w:val="0"/>
                  <w:vAlign w:val="center"/>
                </w:tcPr>
                <w:p>
                  <w:pPr>
                    <w:spacing w:before="62" w:beforeLines="20" w:after="62" w:afterLines="20"/>
                    <w:jc w:val="center"/>
                    <w:rPr>
                      <w:rFonts w:hint="default" w:eastAsia="宋体"/>
                      <w:color w:val="000000"/>
                      <w:sz w:val="21"/>
                      <w:szCs w:val="21"/>
                      <w:u w:val="single"/>
                      <w:lang w:val="en-US" w:eastAsia="zh-CN"/>
                    </w:rPr>
                  </w:pPr>
                  <w:r>
                    <w:rPr>
                      <w:rFonts w:hint="eastAsia"/>
                      <w:color w:val="000000"/>
                      <w:sz w:val="21"/>
                      <w:szCs w:val="21"/>
                      <w:u w:val="single"/>
                      <w:lang w:val="en-US" w:eastAsia="zh-CN"/>
                    </w:rPr>
                    <w:t>43.95</w:t>
                  </w:r>
                </w:p>
              </w:tc>
              <w:tc>
                <w:tcPr>
                  <w:tcW w:w="1210" w:type="dxa"/>
                  <w:tcBorders>
                    <w:tl2br w:val="nil"/>
                    <w:tr2bl w:val="nil"/>
                  </w:tcBorders>
                  <w:noWrap w:val="0"/>
                  <w:vAlign w:val="center"/>
                </w:tcPr>
                <w:p>
                  <w:pPr>
                    <w:spacing w:before="62" w:beforeLines="20" w:after="62" w:afterLines="20"/>
                    <w:jc w:val="center"/>
                    <w:rPr>
                      <w:rFonts w:hint="default" w:eastAsia="宋体"/>
                      <w:color w:val="000000"/>
                      <w:sz w:val="21"/>
                      <w:szCs w:val="21"/>
                      <w:u w:val="single"/>
                      <w:lang w:val="en-US" w:eastAsia="zh-CN"/>
                    </w:rPr>
                  </w:pPr>
                  <w:r>
                    <w:rPr>
                      <w:rFonts w:hint="eastAsia"/>
                      <w:color w:val="000000"/>
                      <w:sz w:val="21"/>
                      <w:szCs w:val="21"/>
                      <w:u w:val="single"/>
                      <w:lang w:val="en-US" w:eastAsia="zh-CN"/>
                    </w:rPr>
                    <w:t>0.527</w:t>
                  </w:r>
                </w:p>
              </w:tc>
              <w:tc>
                <w:tcPr>
                  <w:tcW w:w="948"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2</w:t>
                  </w:r>
                </w:p>
              </w:tc>
              <w:tc>
                <w:tcPr>
                  <w:tcW w:w="924"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2</w:t>
                  </w:r>
                </w:p>
              </w:tc>
              <w:tc>
                <w:tcPr>
                  <w:tcW w:w="870" w:type="dxa"/>
                  <w:tcBorders>
                    <w:tl2br w:val="nil"/>
                    <w:tr2bl w:val="nil"/>
                  </w:tcBorders>
                  <w:noWrap w:val="0"/>
                  <w:vAlign w:val="center"/>
                </w:tcPr>
                <w:p>
                  <w:pPr>
                    <w:spacing w:before="62" w:beforeLines="20" w:after="62" w:afterLines="20"/>
                    <w:jc w:val="center"/>
                    <w:rPr>
                      <w:rFonts w:hint="eastAsia"/>
                      <w:color w:val="000000"/>
                      <w:sz w:val="21"/>
                      <w:szCs w:val="21"/>
                      <w:u w:val="single"/>
                    </w:rPr>
                  </w:pPr>
                  <w:r>
                    <w:rPr>
                      <w:rFonts w:hint="eastAsia"/>
                      <w:color w:val="000000"/>
                      <w:sz w:val="21"/>
                      <w:szCs w:val="21"/>
                      <w:u w:val="single"/>
                    </w:rPr>
                    <w:t>生产设施停车</w:t>
                  </w:r>
                </w:p>
              </w:tc>
            </w:tr>
          </w:tbl>
          <w:p>
            <w:pPr>
              <w:pStyle w:val="3"/>
              <w:numPr>
                <w:ilvl w:val="0"/>
                <w:numId w:val="0"/>
              </w:numPr>
              <w:spacing w:before="0" w:after="0" w:line="360" w:lineRule="auto"/>
              <w:ind w:left="578" w:leftChars="237" w:hanging="80" w:hangingChars="38"/>
              <w:rPr>
                <w:rFonts w:ascii="Times New Roman" w:hAnsi="Times New Roman"/>
                <w:bCs w:val="0"/>
                <w:sz w:val="21"/>
                <w:szCs w:val="21"/>
                <w:u w:val="none"/>
              </w:rPr>
            </w:pPr>
            <w:r>
              <w:rPr>
                <w:rFonts w:hint="eastAsia" w:ascii="Times New Roman" w:hAnsi="Times New Roman"/>
                <w:bCs w:val="0"/>
                <w:sz w:val="21"/>
                <w:szCs w:val="21"/>
                <w:u w:val="none"/>
                <w:lang w:val="en-US" w:eastAsia="zh-CN"/>
              </w:rPr>
              <w:t>废气</w:t>
            </w:r>
            <w:r>
              <w:rPr>
                <w:rFonts w:ascii="Times New Roman" w:hAnsi="Times New Roman"/>
                <w:bCs w:val="0"/>
                <w:sz w:val="21"/>
                <w:szCs w:val="21"/>
                <w:u w:val="none"/>
              </w:rPr>
              <w:t>环境监测计划</w:t>
            </w:r>
          </w:p>
          <w:p>
            <w:pPr>
              <w:pStyle w:val="3"/>
              <w:numPr>
                <w:ilvl w:val="0"/>
                <w:numId w:val="0"/>
              </w:numPr>
              <w:spacing w:before="0" w:after="0" w:line="360" w:lineRule="auto"/>
              <w:ind w:firstLine="480" w:firstLineChars="200"/>
              <w:rPr>
                <w:rFonts w:hint="eastAsia" w:ascii="宋体" w:hAnsi="宋体" w:eastAsia="宋体" w:cstheme="minorBidi"/>
                <w:b w:val="0"/>
                <w:bCs w:val="0"/>
                <w:color w:val="auto"/>
                <w:kern w:val="2"/>
                <w:sz w:val="24"/>
                <w:szCs w:val="24"/>
                <w:u w:val="none"/>
                <w:lang w:val="en-US" w:eastAsia="zh-CN" w:bidi="ar-SA"/>
              </w:rPr>
            </w:pPr>
            <w:r>
              <w:rPr>
                <w:rFonts w:hint="eastAsia" w:ascii="宋体" w:hAnsi="宋体" w:eastAsia="宋体" w:cstheme="minorBidi"/>
                <w:b w:val="0"/>
                <w:bCs w:val="0"/>
                <w:color w:val="auto"/>
                <w:kern w:val="2"/>
                <w:sz w:val="24"/>
                <w:szCs w:val="24"/>
                <w:u w:val="single"/>
                <w:lang w:val="en-US" w:eastAsia="zh-CN" w:bidi="ar-SA"/>
              </w:rPr>
              <w:t>根据《排污许可证申请与核发技术规范橡胶和塑料制品工业》(HJ1122-2020)，其监测内容及频次见下表</w:t>
            </w:r>
            <w:r>
              <w:rPr>
                <w:rFonts w:hint="eastAsia" w:ascii="宋体" w:hAnsi="宋体" w:eastAsia="宋体" w:cstheme="minorBidi"/>
                <w:b w:val="0"/>
                <w:bCs w:val="0"/>
                <w:color w:val="auto"/>
                <w:kern w:val="2"/>
                <w:sz w:val="24"/>
                <w:szCs w:val="24"/>
                <w:u w:val="none"/>
                <w:lang w:val="en-US" w:eastAsia="zh-CN" w:bidi="ar-SA"/>
              </w:rPr>
              <w:t>。</w:t>
            </w:r>
          </w:p>
          <w:p>
            <w:pPr>
              <w:adjustRightInd w:val="0"/>
              <w:snapToGrid w:val="0"/>
              <w:jc w:val="center"/>
              <w:rPr>
                <w:b/>
                <w:sz w:val="21"/>
                <w:szCs w:val="21"/>
                <w:u w:val="none"/>
              </w:rPr>
            </w:pPr>
            <w:r>
              <w:rPr>
                <w:b/>
                <w:sz w:val="21"/>
                <w:szCs w:val="21"/>
                <w:u w:val="none"/>
              </w:rPr>
              <w:t>表</w:t>
            </w:r>
            <w:r>
              <w:rPr>
                <w:rFonts w:hint="eastAsia"/>
                <w:b/>
                <w:sz w:val="21"/>
                <w:szCs w:val="21"/>
                <w:u w:val="none"/>
                <w:lang w:val="en-US" w:eastAsia="zh-CN"/>
              </w:rPr>
              <w:t>4-6</w:t>
            </w:r>
            <w:r>
              <w:rPr>
                <w:b/>
                <w:sz w:val="21"/>
                <w:szCs w:val="21"/>
                <w:u w:val="none"/>
              </w:rPr>
              <w:t>营运期环境监测计划</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52"/>
              <w:gridCol w:w="2045"/>
              <w:gridCol w:w="981"/>
              <w:gridCol w:w="3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2"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项目名称</w:t>
                  </w:r>
                </w:p>
              </w:tc>
              <w:tc>
                <w:tcPr>
                  <w:tcW w:w="952"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监测点</w:t>
                  </w:r>
                </w:p>
              </w:tc>
              <w:tc>
                <w:tcPr>
                  <w:tcW w:w="2045"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监测项目</w:t>
                  </w:r>
                </w:p>
              </w:tc>
              <w:tc>
                <w:tcPr>
                  <w:tcW w:w="981"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监测频次</w:t>
                  </w:r>
                </w:p>
              </w:tc>
              <w:tc>
                <w:tcPr>
                  <w:tcW w:w="3150"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42" w:type="dxa"/>
                  <w:vMerge w:val="restart"/>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废气</w:t>
                  </w:r>
                </w:p>
              </w:tc>
              <w:tc>
                <w:tcPr>
                  <w:tcW w:w="952" w:type="dxa"/>
                  <w:tcBorders>
                    <w:tl2br w:val="nil"/>
                    <w:tr2bl w:val="nil"/>
                  </w:tcBorders>
                  <w:noWrap w:val="0"/>
                  <w:vAlign w:val="center"/>
                </w:tcPr>
                <w:p>
                  <w:pPr>
                    <w:spacing w:before="62" w:beforeLines="20" w:after="62" w:afterLines="20" w:line="240" w:lineRule="auto"/>
                    <w:jc w:val="center"/>
                    <w:rPr>
                      <w:rFonts w:hint="default" w:eastAsiaTheme="minorEastAsia"/>
                      <w:color w:val="000000"/>
                      <w:sz w:val="21"/>
                      <w:szCs w:val="21"/>
                      <w:u w:val="single"/>
                      <w:lang w:val="en-US" w:eastAsia="zh-CN"/>
                    </w:rPr>
                  </w:pPr>
                  <w:r>
                    <w:rPr>
                      <w:rFonts w:hint="eastAsia"/>
                      <w:color w:val="000000"/>
                      <w:sz w:val="21"/>
                      <w:szCs w:val="21"/>
                      <w:u w:val="single"/>
                    </w:rPr>
                    <w:t>排气筒</w:t>
                  </w:r>
                  <w:r>
                    <w:rPr>
                      <w:rFonts w:hint="eastAsia"/>
                      <w:color w:val="000000"/>
                      <w:sz w:val="21"/>
                      <w:szCs w:val="21"/>
                      <w:u w:val="single"/>
                      <w:lang w:val="en-US" w:eastAsia="zh-CN"/>
                    </w:rPr>
                    <w:t>DA001</w:t>
                  </w:r>
                </w:p>
              </w:tc>
              <w:tc>
                <w:tcPr>
                  <w:tcW w:w="2045" w:type="dxa"/>
                  <w:tcBorders>
                    <w:tl2br w:val="nil"/>
                    <w:tr2bl w:val="nil"/>
                  </w:tcBorders>
                  <w:noWrap w:val="0"/>
                  <w:vAlign w:val="center"/>
                </w:tcPr>
                <w:p>
                  <w:pPr>
                    <w:spacing w:before="62" w:beforeLines="20" w:after="62" w:afterLines="20" w:line="240" w:lineRule="auto"/>
                    <w:jc w:val="center"/>
                    <w:rPr>
                      <w:rFonts w:hint="default" w:eastAsiaTheme="minorEastAsia"/>
                      <w:color w:val="000000"/>
                      <w:sz w:val="21"/>
                      <w:szCs w:val="21"/>
                      <w:u w:val="single"/>
                      <w:lang w:val="en-US" w:eastAsia="zh-CN"/>
                    </w:rPr>
                  </w:pPr>
                  <w:r>
                    <w:rPr>
                      <w:rFonts w:hint="eastAsia"/>
                      <w:color w:val="000000"/>
                      <w:sz w:val="21"/>
                      <w:szCs w:val="21"/>
                      <w:u w:val="single"/>
                    </w:rPr>
                    <w:t>非甲烷总烃</w:t>
                  </w:r>
                  <w:r>
                    <w:rPr>
                      <w:rFonts w:hint="eastAsia"/>
                      <w:color w:val="000000"/>
                      <w:sz w:val="21"/>
                      <w:szCs w:val="21"/>
                      <w:u w:val="single"/>
                      <w:lang w:eastAsia="zh-CN"/>
                    </w:rPr>
                    <w:t>、</w:t>
                  </w:r>
                  <w:r>
                    <w:rPr>
                      <w:rFonts w:hint="eastAsia"/>
                      <w:color w:val="000000"/>
                      <w:sz w:val="21"/>
                      <w:szCs w:val="21"/>
                      <w:u w:val="single"/>
                      <w:lang w:val="en-US" w:eastAsia="zh-CN"/>
                    </w:rPr>
                    <w:t>臭气浓度、颗粒物</w:t>
                  </w:r>
                </w:p>
              </w:tc>
              <w:tc>
                <w:tcPr>
                  <w:tcW w:w="981"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一次/年</w:t>
                  </w:r>
                </w:p>
              </w:tc>
              <w:tc>
                <w:tcPr>
                  <w:tcW w:w="3150" w:type="dxa"/>
                  <w:tcBorders>
                    <w:tl2br w:val="nil"/>
                    <w:tr2bl w:val="nil"/>
                  </w:tcBorders>
                  <w:noWrap w:val="0"/>
                  <w:vAlign w:val="center"/>
                </w:tcPr>
                <w:p>
                  <w:pPr>
                    <w:spacing w:before="62" w:beforeLines="20" w:after="62" w:afterLines="20" w:line="240" w:lineRule="auto"/>
                    <w:jc w:val="center"/>
                    <w:rPr>
                      <w:rFonts w:hint="eastAsia" w:eastAsiaTheme="minorEastAsia"/>
                      <w:color w:val="000000"/>
                      <w:sz w:val="21"/>
                      <w:szCs w:val="21"/>
                      <w:u w:val="single"/>
                      <w:lang w:val="en-US" w:eastAsia="zh-CN"/>
                    </w:rPr>
                  </w:pPr>
                  <w:r>
                    <w:rPr>
                      <w:rFonts w:hint="eastAsia"/>
                      <w:color w:val="000000"/>
                      <w:sz w:val="21"/>
                      <w:szCs w:val="21"/>
                      <w:u w:val="single"/>
                    </w:rPr>
                    <w:t>《合成树脂工业污染物排放标准》（GB31572-2015）中表</w:t>
                  </w:r>
                  <w:r>
                    <w:rPr>
                      <w:rFonts w:hint="eastAsia"/>
                      <w:color w:val="000000"/>
                      <w:sz w:val="21"/>
                      <w:szCs w:val="21"/>
                      <w:u w:val="single"/>
                      <w:lang w:val="en-US" w:eastAsia="zh-CN"/>
                    </w:rPr>
                    <w:t>4、表5</w:t>
                  </w:r>
                  <w:r>
                    <w:rPr>
                      <w:rFonts w:hint="eastAsia"/>
                      <w:color w:val="000000"/>
                      <w:sz w:val="21"/>
                      <w:szCs w:val="21"/>
                      <w:u w:val="single"/>
                    </w:rPr>
                    <w:t>标准</w:t>
                  </w:r>
                  <w:r>
                    <w:rPr>
                      <w:rFonts w:hint="eastAsia"/>
                      <w:color w:val="000000"/>
                      <w:sz w:val="21"/>
                      <w:szCs w:val="21"/>
                      <w:u w:val="single"/>
                      <w:lang w:eastAsia="zh-CN"/>
                    </w:rPr>
                    <w:t>，</w:t>
                  </w:r>
                  <w:r>
                    <w:rPr>
                      <w:rFonts w:hint="eastAsia"/>
                      <w:color w:val="000000"/>
                      <w:sz w:val="21"/>
                      <w:szCs w:val="21"/>
                      <w:u w:val="single"/>
                      <w:lang w:val="en-US" w:eastAsia="zh-CN"/>
                    </w:rPr>
                    <w:t>臭气浓度执行</w:t>
                  </w:r>
                  <w:r>
                    <w:rPr>
                      <w:rFonts w:hint="eastAsia"/>
                      <w:color w:val="000000"/>
                      <w:sz w:val="21"/>
                      <w:szCs w:val="21"/>
                      <w:u w:val="single"/>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952" w:type="dxa"/>
                  <w:vMerge w:val="restart"/>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厂界</w:t>
                  </w:r>
                </w:p>
              </w:tc>
              <w:tc>
                <w:tcPr>
                  <w:tcW w:w="2045"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颗粒物</w:t>
                  </w:r>
                </w:p>
              </w:tc>
              <w:tc>
                <w:tcPr>
                  <w:tcW w:w="981" w:type="dxa"/>
                  <w:vMerge w:val="restart"/>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一次/年</w:t>
                  </w:r>
                </w:p>
              </w:tc>
              <w:tc>
                <w:tcPr>
                  <w:tcW w:w="3150" w:type="dxa"/>
                  <w:vMerge w:val="restart"/>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auto"/>
                      <w:sz w:val="21"/>
                      <w:szCs w:val="21"/>
                      <w:u w:val="single"/>
                    </w:rPr>
                    <w:t>《合成树脂工业污染物排放标准》（GB31572-2015）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95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2045"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非甲烷烃</w:t>
                  </w:r>
                </w:p>
              </w:tc>
              <w:tc>
                <w:tcPr>
                  <w:tcW w:w="981"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3150"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95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2045"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lang w:val="en-US" w:eastAsia="zh-CN"/>
                    </w:rPr>
                    <w:t>臭气浓度</w:t>
                  </w:r>
                </w:p>
              </w:tc>
              <w:tc>
                <w:tcPr>
                  <w:tcW w:w="981"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3150"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Merge w:val="continue"/>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p>
              </w:tc>
              <w:tc>
                <w:tcPr>
                  <w:tcW w:w="952" w:type="dxa"/>
                  <w:tcBorders>
                    <w:tl2br w:val="nil"/>
                    <w:tr2bl w:val="nil"/>
                  </w:tcBorders>
                  <w:noWrap w:val="0"/>
                  <w:vAlign w:val="center"/>
                </w:tcPr>
                <w:p>
                  <w:pPr>
                    <w:spacing w:before="62" w:beforeLines="20" w:after="62" w:afterLines="20" w:line="240" w:lineRule="auto"/>
                    <w:jc w:val="center"/>
                    <w:rPr>
                      <w:rFonts w:hint="default" w:eastAsiaTheme="minorEastAsia"/>
                      <w:color w:val="000000"/>
                      <w:sz w:val="21"/>
                      <w:szCs w:val="21"/>
                      <w:u w:val="single"/>
                      <w:lang w:val="en-US" w:eastAsia="zh-CN"/>
                    </w:rPr>
                  </w:pPr>
                  <w:r>
                    <w:rPr>
                      <w:rFonts w:hint="eastAsia"/>
                      <w:color w:val="000000"/>
                      <w:sz w:val="21"/>
                      <w:szCs w:val="21"/>
                      <w:u w:val="single"/>
                      <w:lang w:val="en-US" w:eastAsia="zh-CN"/>
                    </w:rPr>
                    <w:t>厂区内</w:t>
                  </w:r>
                </w:p>
              </w:tc>
              <w:tc>
                <w:tcPr>
                  <w:tcW w:w="2045"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非甲烷总烃</w:t>
                  </w:r>
                </w:p>
              </w:tc>
              <w:tc>
                <w:tcPr>
                  <w:tcW w:w="981"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一次/</w:t>
                  </w:r>
                  <w:r>
                    <w:rPr>
                      <w:rFonts w:hint="eastAsia"/>
                      <w:color w:val="000000"/>
                      <w:sz w:val="21"/>
                      <w:szCs w:val="21"/>
                      <w:u w:val="single"/>
                      <w:lang w:val="en-US" w:eastAsia="zh-CN"/>
                    </w:rPr>
                    <w:t>半</w:t>
                  </w:r>
                  <w:r>
                    <w:rPr>
                      <w:rFonts w:hint="eastAsia"/>
                      <w:color w:val="000000"/>
                      <w:sz w:val="21"/>
                      <w:szCs w:val="21"/>
                      <w:u w:val="single"/>
                    </w:rPr>
                    <w:t>年</w:t>
                  </w:r>
                </w:p>
              </w:tc>
              <w:tc>
                <w:tcPr>
                  <w:tcW w:w="3150" w:type="dxa"/>
                  <w:tcBorders>
                    <w:tl2br w:val="nil"/>
                    <w:tr2bl w:val="nil"/>
                  </w:tcBorders>
                  <w:noWrap w:val="0"/>
                  <w:vAlign w:val="center"/>
                </w:tcPr>
                <w:p>
                  <w:pPr>
                    <w:spacing w:before="62" w:beforeLines="20" w:after="62" w:afterLines="20" w:line="240" w:lineRule="auto"/>
                    <w:jc w:val="center"/>
                    <w:rPr>
                      <w:rFonts w:hint="eastAsia"/>
                      <w:color w:val="000000"/>
                      <w:sz w:val="21"/>
                      <w:szCs w:val="21"/>
                      <w:u w:val="single"/>
                    </w:rPr>
                  </w:pPr>
                  <w:r>
                    <w:rPr>
                      <w:rFonts w:hint="eastAsia"/>
                      <w:color w:val="000000"/>
                      <w:sz w:val="21"/>
                      <w:szCs w:val="21"/>
                      <w:u w:val="single"/>
                    </w:rPr>
                    <w:t>《挥发性有机物无组织排放控制标准》（GB37822-2019）表A.1相应要求</w:t>
                  </w:r>
                </w:p>
              </w:tc>
            </w:tr>
          </w:tbl>
          <w:p>
            <w:pPr>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2、废水</w:t>
            </w:r>
          </w:p>
          <w:p>
            <w:pPr>
              <w:numPr>
                <w:ilvl w:val="0"/>
                <w:numId w:val="5"/>
              </w:numPr>
              <w:spacing w:line="360" w:lineRule="auto"/>
              <w:rPr>
                <w:rFonts w:ascii="宋体" w:hAnsi="宋体" w:eastAsia="宋体"/>
                <w:b/>
                <w:bCs/>
                <w:color w:val="auto"/>
                <w:szCs w:val="21"/>
              </w:rPr>
            </w:pPr>
            <w:r>
              <w:rPr>
                <w:rFonts w:hint="eastAsia" w:ascii="宋体" w:hAnsi="宋体" w:eastAsia="宋体"/>
                <w:b/>
                <w:bCs/>
                <w:color w:val="auto"/>
                <w:szCs w:val="21"/>
              </w:rPr>
              <w:t>生产废水</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u w:val="single"/>
              </w:rPr>
              <w:t>项目生产用水为保温板生产过程中的冷却水</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lang w:val="en-US" w:eastAsia="zh-CN"/>
              </w:rPr>
              <w:t>废水处理设施的喷淋水，其中冷却水和喷淋水在使用过程中有挥发</w:t>
            </w:r>
            <w:r>
              <w:rPr>
                <w:rFonts w:hint="eastAsia" w:ascii="宋体" w:hAnsi="宋体" w:eastAsia="宋体"/>
                <w:color w:val="auto"/>
                <w:sz w:val="24"/>
                <w:szCs w:val="24"/>
                <w:u w:val="single"/>
              </w:rPr>
              <w:t>。根据业主提供资料，新鲜水补充量为</w:t>
            </w:r>
            <w:r>
              <w:rPr>
                <w:rFonts w:hint="eastAsia" w:ascii="宋体" w:hAnsi="宋体" w:eastAsia="宋体"/>
                <w:color w:val="auto"/>
                <w:sz w:val="24"/>
                <w:szCs w:val="24"/>
                <w:u w:val="single"/>
                <w:lang w:val="en-US" w:eastAsia="zh-CN"/>
              </w:rPr>
              <w:t>1</w:t>
            </w:r>
            <w:r>
              <w:rPr>
                <w:rFonts w:hint="eastAsia" w:ascii="宋体" w:hAnsi="宋体" w:eastAsia="宋体"/>
                <w:color w:val="auto"/>
                <w:sz w:val="24"/>
                <w:szCs w:val="24"/>
                <w:u w:val="single"/>
              </w:rPr>
              <w:t>t/d，年使用时间为240天，合</w:t>
            </w:r>
            <w:r>
              <w:rPr>
                <w:rFonts w:hint="eastAsia" w:ascii="宋体" w:hAnsi="宋体" w:eastAsia="宋体"/>
                <w:color w:val="auto"/>
                <w:sz w:val="24"/>
                <w:szCs w:val="24"/>
                <w:u w:val="single"/>
                <w:lang w:val="en-US" w:eastAsia="zh-CN"/>
              </w:rPr>
              <w:t>240</w:t>
            </w:r>
            <w:r>
              <w:rPr>
                <w:rFonts w:hint="eastAsia" w:ascii="宋体" w:hAnsi="宋体" w:eastAsia="宋体"/>
                <w:color w:val="auto"/>
                <w:sz w:val="24"/>
                <w:szCs w:val="24"/>
                <w:u w:val="single"/>
              </w:rPr>
              <w:t>t/a，项目冷却水循环使用，不外排</w:t>
            </w:r>
            <w:r>
              <w:rPr>
                <w:rFonts w:hint="eastAsia" w:ascii="宋体" w:hAnsi="宋体" w:eastAsia="宋体"/>
                <w:color w:val="auto"/>
                <w:sz w:val="24"/>
                <w:szCs w:val="24"/>
                <w:u w:val="single"/>
                <w:lang w:eastAsia="zh-CN"/>
              </w:rPr>
              <w:t>；</w:t>
            </w:r>
            <w:r>
              <w:rPr>
                <w:rFonts w:hint="eastAsia" w:ascii="宋体" w:hAnsi="宋体" w:eastAsia="宋体"/>
                <w:color w:val="auto"/>
                <w:sz w:val="24"/>
                <w:szCs w:val="24"/>
                <w:u w:val="single"/>
                <w:lang w:val="en-US" w:eastAsia="zh-CN"/>
              </w:rPr>
              <w:t>喷淋水在喷淋塔收集沉淀后回用，不外排</w:t>
            </w:r>
            <w:r>
              <w:rPr>
                <w:rFonts w:ascii="宋体" w:hAnsi="宋体" w:eastAsia="宋体"/>
                <w:color w:val="auto"/>
                <w:szCs w:val="21"/>
              </w:rPr>
              <w:t>。</w:t>
            </w:r>
          </w:p>
          <w:p>
            <w:pPr>
              <w:numPr>
                <w:ilvl w:val="0"/>
                <w:numId w:val="5"/>
              </w:numPr>
              <w:spacing w:line="360" w:lineRule="auto"/>
              <w:rPr>
                <w:rFonts w:ascii="宋体" w:hAnsi="宋体" w:eastAsia="宋体"/>
                <w:b/>
                <w:bCs/>
                <w:color w:val="auto"/>
                <w:szCs w:val="21"/>
              </w:rPr>
            </w:pPr>
            <w:r>
              <w:rPr>
                <w:rFonts w:hint="eastAsia" w:ascii="宋体" w:hAnsi="宋体" w:eastAsia="宋体"/>
                <w:b/>
                <w:bCs/>
                <w:color w:val="auto"/>
                <w:szCs w:val="21"/>
              </w:rPr>
              <w:t>生活污水</w:t>
            </w:r>
          </w:p>
          <w:p>
            <w:pPr>
              <w:spacing w:line="360" w:lineRule="auto"/>
              <w:rPr>
                <w:rFonts w:ascii="宋体" w:hAnsi="宋体" w:eastAsia="宋体"/>
                <w:color w:val="auto"/>
                <w:sz w:val="24"/>
                <w:szCs w:val="24"/>
              </w:rPr>
            </w:pPr>
            <w:r>
              <w:rPr>
                <w:rFonts w:ascii="宋体" w:hAnsi="宋体" w:eastAsia="宋体"/>
                <w:color w:val="auto"/>
                <w:sz w:val="24"/>
                <w:szCs w:val="24"/>
              </w:rPr>
              <w:t>①污染物产排情况</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查阅湖南省地方标准《用水定额》（DB43/T388-2020）并结合项目实际，本项目有10人在厂内食宿，生活用水食宿按145L/人·d，折合项目生活用水总量为1.45m</w:t>
            </w:r>
            <w:r>
              <w:rPr>
                <w:rFonts w:hint="eastAsia" w:ascii="宋体" w:hAnsi="宋体" w:eastAsia="宋体"/>
                <w:color w:val="auto"/>
                <w:sz w:val="24"/>
                <w:szCs w:val="24"/>
                <w:vertAlign w:val="superscript"/>
              </w:rPr>
              <w:t>3</w:t>
            </w:r>
            <w:r>
              <w:rPr>
                <w:rFonts w:hint="eastAsia" w:ascii="宋体" w:hAnsi="宋体" w:eastAsia="宋体"/>
                <w:color w:val="auto"/>
                <w:sz w:val="24"/>
                <w:szCs w:val="24"/>
              </w:rPr>
              <w:t>/d，即348t/a。</w:t>
            </w:r>
          </w:p>
          <w:p>
            <w:pPr>
              <w:snapToGrid w:val="0"/>
              <w:spacing w:line="360" w:lineRule="auto"/>
              <w:ind w:firstLine="480" w:firstLineChars="200"/>
              <w:rPr>
                <w:rFonts w:ascii="Times New Roman" w:hAnsi="Times New Roman" w:eastAsia="Times New Roman"/>
                <w:color w:val="auto"/>
                <w:sz w:val="24"/>
                <w:szCs w:val="24"/>
              </w:rPr>
            </w:pPr>
            <w:r>
              <w:rPr>
                <w:rFonts w:hint="eastAsia" w:ascii="宋体" w:hAnsi="宋体" w:eastAsia="宋体"/>
                <w:color w:val="auto"/>
                <w:sz w:val="24"/>
                <w:szCs w:val="24"/>
              </w:rPr>
              <w:t>生活污水排放量按用水量的80%计算，折合1.16m</w:t>
            </w:r>
            <w:r>
              <w:rPr>
                <w:rFonts w:hint="eastAsia" w:ascii="宋体" w:hAnsi="宋体" w:eastAsia="宋体"/>
                <w:color w:val="auto"/>
                <w:sz w:val="24"/>
                <w:szCs w:val="24"/>
                <w:vertAlign w:val="superscript"/>
              </w:rPr>
              <w:t>3</w:t>
            </w:r>
            <w:r>
              <w:rPr>
                <w:rFonts w:hint="eastAsia" w:ascii="宋体" w:hAnsi="宋体" w:eastAsia="宋体"/>
                <w:color w:val="auto"/>
                <w:sz w:val="24"/>
                <w:szCs w:val="24"/>
              </w:rPr>
              <w:t>/d，即278.4t/a，经分析，生活污水中主要污染物为COD、氨氮、BOD</w:t>
            </w:r>
            <w:r>
              <w:rPr>
                <w:rFonts w:hint="eastAsia" w:ascii="宋体" w:hAnsi="宋体" w:eastAsia="宋体"/>
                <w:color w:val="auto"/>
                <w:sz w:val="24"/>
                <w:szCs w:val="24"/>
                <w:vertAlign w:val="subscript"/>
              </w:rPr>
              <w:t>5</w:t>
            </w:r>
            <w:r>
              <w:rPr>
                <w:rFonts w:hint="eastAsia" w:ascii="宋体" w:hAnsi="宋体" w:eastAsia="宋体"/>
                <w:color w:val="auto"/>
                <w:sz w:val="24"/>
                <w:szCs w:val="24"/>
              </w:rPr>
              <w:t>、动植物油、SS，污染物浓度分别为300mg/L、30mg/L、200mg/L、20mg/L、200mg/L；主要污染物产生量为COD0.0083t/a、氨氮0.00083t/a、BOD</w:t>
            </w:r>
            <w:r>
              <w:rPr>
                <w:rFonts w:hint="eastAsia" w:ascii="宋体" w:hAnsi="宋体" w:eastAsia="宋体"/>
                <w:color w:val="auto"/>
                <w:sz w:val="24"/>
                <w:szCs w:val="24"/>
                <w:vertAlign w:val="subscript"/>
              </w:rPr>
              <w:t>5</w:t>
            </w:r>
            <w:r>
              <w:rPr>
                <w:rFonts w:hint="eastAsia" w:ascii="宋体" w:hAnsi="宋体" w:eastAsia="宋体"/>
                <w:color w:val="auto"/>
                <w:sz w:val="24"/>
                <w:szCs w:val="24"/>
              </w:rPr>
              <w:t>0.0055t/a、动植物油0.00055t/a、SS0.0055t/a，本工程生活污水经化粪池处理达到《污水综合排放标准》(GB8978-1996)中三级标准后进入经济开发区污水管网，汇入津市工业污水处理厂处理</w:t>
            </w:r>
            <w:r>
              <w:rPr>
                <w:rFonts w:ascii="Times New Roman" w:hAnsi="Times New Roman" w:eastAsia="Times New Roman"/>
                <w:color w:val="auto"/>
                <w:sz w:val="24"/>
                <w:szCs w:val="24"/>
              </w:rPr>
              <w:t>。</w:t>
            </w:r>
          </w:p>
          <w:p>
            <w:pPr>
              <w:spacing w:line="360" w:lineRule="auto"/>
              <w:rPr>
                <w:rFonts w:ascii="宋体" w:hAnsi="宋体" w:eastAsia="宋体"/>
                <w:color w:val="auto"/>
                <w:sz w:val="24"/>
                <w:szCs w:val="24"/>
              </w:rPr>
            </w:pPr>
            <w:r>
              <w:rPr>
                <w:rFonts w:ascii="宋体" w:hAnsi="宋体" w:eastAsia="宋体"/>
                <w:color w:val="auto"/>
                <w:sz w:val="24"/>
                <w:szCs w:val="24"/>
              </w:rPr>
              <w:t>②依托污水处理厂的可行性分析</w:t>
            </w:r>
          </w:p>
          <w:p>
            <w:pPr>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津市工业污水处理厂位于孟姜女大道东侧，鸿祥路南侧，沿江路以西，距西北面津市污水处理厂750m，总占地面积约36.02亩，规划总处理规模2.0万m</w:t>
            </w:r>
            <w:r>
              <w:rPr>
                <w:rFonts w:hint="eastAsia" w:ascii="宋体" w:hAnsi="宋体" w:eastAsia="宋体"/>
                <w:color w:val="auto"/>
                <w:sz w:val="24"/>
                <w:szCs w:val="24"/>
                <w:vertAlign w:val="superscript"/>
              </w:rPr>
              <w:t>3</w:t>
            </w:r>
            <w:r>
              <w:rPr>
                <w:rFonts w:hint="eastAsia" w:ascii="宋体" w:hAnsi="宋体" w:eastAsia="宋体"/>
                <w:color w:val="auto"/>
                <w:sz w:val="24"/>
                <w:szCs w:val="24"/>
              </w:rPr>
              <w:t>/d，管网建设总长度约39.73km。津市工业污水处理厂分两期建设，其中一期建设规模为0.5万m</w:t>
            </w:r>
            <w:r>
              <w:rPr>
                <w:rFonts w:hint="eastAsia" w:ascii="宋体" w:hAnsi="宋体" w:eastAsia="宋体"/>
                <w:color w:val="auto"/>
                <w:sz w:val="24"/>
                <w:szCs w:val="24"/>
                <w:vertAlign w:val="superscript"/>
              </w:rPr>
              <w:t>3</w:t>
            </w:r>
            <w:r>
              <w:rPr>
                <w:rFonts w:hint="eastAsia" w:ascii="宋体" w:hAnsi="宋体" w:eastAsia="宋体"/>
                <w:color w:val="auto"/>
                <w:sz w:val="24"/>
                <w:szCs w:val="24"/>
              </w:rPr>
              <w:t>/d，二期建设规模为1.5万m</w:t>
            </w:r>
            <w:r>
              <w:rPr>
                <w:rFonts w:hint="eastAsia" w:ascii="宋体" w:hAnsi="宋体" w:eastAsia="宋体"/>
                <w:color w:val="auto"/>
                <w:sz w:val="24"/>
                <w:szCs w:val="24"/>
                <w:vertAlign w:val="superscript"/>
              </w:rPr>
              <w:t>3</w:t>
            </w:r>
            <w:r>
              <w:rPr>
                <w:rFonts w:hint="eastAsia" w:ascii="宋体" w:hAnsi="宋体" w:eastAsia="宋体"/>
                <w:color w:val="auto"/>
                <w:sz w:val="24"/>
                <w:szCs w:val="24"/>
              </w:rPr>
              <w:t>/d。一期投资6840.52万元，一期占地面积为17086.29m</w:t>
            </w:r>
            <w:r>
              <w:rPr>
                <w:rFonts w:hint="eastAsia" w:ascii="宋体" w:hAnsi="宋体" w:eastAsia="宋体"/>
                <w:color w:val="auto"/>
                <w:sz w:val="24"/>
                <w:szCs w:val="24"/>
                <w:vertAlign w:val="superscript"/>
              </w:rPr>
              <w:t>2</w:t>
            </w:r>
            <w:r>
              <w:rPr>
                <w:rFonts w:hint="eastAsia" w:ascii="宋体" w:hAnsi="宋体" w:eastAsia="宋体"/>
                <w:color w:val="auto"/>
                <w:sz w:val="24"/>
                <w:szCs w:val="24"/>
              </w:rPr>
              <w:t>，一期工程已经于2017年底投入运营。津市工业污水处理厂一期纳污范围为高新区津市大道以南区域的污水，主体工艺采用A</w:t>
            </w:r>
            <w:r>
              <w:rPr>
                <w:rFonts w:hint="eastAsia" w:ascii="宋体" w:hAnsi="宋体" w:eastAsia="宋体"/>
                <w:color w:val="auto"/>
                <w:sz w:val="24"/>
                <w:szCs w:val="24"/>
                <w:vertAlign w:val="superscript"/>
              </w:rPr>
              <w:t>2</w:t>
            </w:r>
            <w:r>
              <w:rPr>
                <w:rFonts w:hint="eastAsia" w:ascii="宋体" w:hAnsi="宋体" w:eastAsia="宋体"/>
                <w:color w:val="auto"/>
                <w:sz w:val="24"/>
                <w:szCs w:val="24"/>
              </w:rPr>
              <w:t>/O（厌氧、缺氧、好氧）生物反应池+过滤器滤布滤池，污水经处理后，出水达到《城镇污水处理厂污染物排放标准》（GB18918-2002）中一级A标准，出水经城内垸排水泵站排入澧水</w:t>
            </w:r>
            <w:r>
              <w:rPr>
                <w:rFonts w:ascii="宋体" w:hAnsi="宋体" w:eastAsia="宋体"/>
                <w:color w:val="auto"/>
                <w:sz w:val="24"/>
                <w:szCs w:val="24"/>
              </w:rPr>
              <w:t>。项目生活污水经化粪池预处理后污染物浓度能达到污水处理厂进水水质要求。生活污水总量为</w:t>
            </w:r>
            <w:r>
              <w:rPr>
                <w:rFonts w:hint="eastAsia" w:ascii="Calibri" w:hAnsi="Calibri" w:eastAsia="宋体"/>
                <w:color w:val="auto"/>
                <w:sz w:val="24"/>
                <w:szCs w:val="24"/>
              </w:rPr>
              <w:t>1.16</w:t>
            </w:r>
            <w:r>
              <w:rPr>
                <w:rFonts w:ascii="Calibri" w:hAnsi="Calibri" w:eastAsia="Calibri"/>
                <w:color w:val="auto"/>
                <w:sz w:val="24"/>
                <w:szCs w:val="24"/>
              </w:rPr>
              <w:t>t/d</w:t>
            </w:r>
            <w:r>
              <w:rPr>
                <w:rFonts w:ascii="宋体" w:hAnsi="宋体" w:eastAsia="宋体"/>
                <w:color w:val="auto"/>
                <w:sz w:val="24"/>
                <w:szCs w:val="24"/>
              </w:rPr>
              <w:t>，占污水处理厂剩余处理能力的</w:t>
            </w:r>
            <w:r>
              <w:rPr>
                <w:rFonts w:hint="eastAsia" w:ascii="宋体" w:hAnsi="宋体" w:eastAsia="宋体"/>
                <w:color w:val="auto"/>
                <w:sz w:val="24"/>
                <w:szCs w:val="24"/>
              </w:rPr>
              <w:t>0.0058</w:t>
            </w:r>
            <w:r>
              <w:rPr>
                <w:rFonts w:ascii="Calibri" w:hAnsi="Calibri" w:eastAsia="Calibri"/>
                <w:color w:val="auto"/>
                <w:sz w:val="24"/>
                <w:szCs w:val="24"/>
              </w:rPr>
              <w:t>%</w:t>
            </w:r>
            <w:r>
              <w:rPr>
                <w:rFonts w:ascii="宋体" w:hAnsi="宋体" w:eastAsia="宋体"/>
                <w:color w:val="auto"/>
                <w:sz w:val="24"/>
                <w:szCs w:val="24"/>
              </w:rPr>
              <w:t>，因此，项目生活污水进入</w:t>
            </w:r>
            <w:r>
              <w:rPr>
                <w:rFonts w:hint="eastAsia" w:ascii="宋体" w:hAnsi="宋体" w:eastAsia="宋体"/>
                <w:color w:val="auto"/>
                <w:sz w:val="24"/>
                <w:szCs w:val="24"/>
              </w:rPr>
              <w:t>津市工业污水处理厂</w:t>
            </w:r>
            <w:r>
              <w:rPr>
                <w:rFonts w:ascii="宋体" w:hAnsi="宋体" w:eastAsia="宋体"/>
                <w:color w:val="auto"/>
                <w:sz w:val="24"/>
                <w:szCs w:val="24"/>
              </w:rPr>
              <w:t>处理可行</w:t>
            </w:r>
            <w:r>
              <w:rPr>
                <w:rFonts w:hint="eastAsia" w:ascii="宋体" w:hAnsi="宋体" w:eastAsia="宋体"/>
                <w:color w:val="auto"/>
                <w:szCs w:val="21"/>
              </w:rPr>
              <w:t>。</w:t>
            </w:r>
          </w:p>
          <w:p>
            <w:pPr>
              <w:numPr>
                <w:ilvl w:val="0"/>
                <w:numId w:val="5"/>
              </w:numPr>
              <w:spacing w:line="360" w:lineRule="auto"/>
              <w:rPr>
                <w:rFonts w:ascii="宋体" w:hAnsi="宋体" w:eastAsia="宋体"/>
                <w:b/>
                <w:bCs/>
                <w:color w:val="auto"/>
                <w:szCs w:val="21"/>
              </w:rPr>
            </w:pPr>
            <w:r>
              <w:rPr>
                <w:rFonts w:ascii="宋体" w:hAnsi="宋体" w:eastAsia="宋体"/>
                <w:b/>
                <w:bCs/>
                <w:color w:val="auto"/>
                <w:szCs w:val="21"/>
              </w:rPr>
              <w:t>项目水环境影响评价结论</w:t>
            </w:r>
          </w:p>
          <w:p>
            <w:pPr>
              <w:adjustRightInd w:val="0"/>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本项目运营后，项目</w:t>
            </w:r>
            <w:r>
              <w:rPr>
                <w:rFonts w:hint="eastAsia" w:ascii="宋体" w:hAnsi="宋体" w:eastAsia="宋体"/>
                <w:color w:val="auto"/>
                <w:sz w:val="24"/>
                <w:szCs w:val="24"/>
              </w:rPr>
              <w:t>无生产废水外排，</w:t>
            </w:r>
            <w:r>
              <w:rPr>
                <w:rFonts w:ascii="宋体" w:hAnsi="宋体" w:eastAsia="宋体"/>
                <w:color w:val="auto"/>
                <w:sz w:val="24"/>
                <w:szCs w:val="24"/>
              </w:rPr>
              <w:t>项目生活污水由化粪池预处理，出水满足《污水综合排放标准》</w:t>
            </w:r>
            <w:r>
              <w:rPr>
                <w:rFonts w:ascii="Calibri" w:hAnsi="Calibri" w:eastAsia="Calibri"/>
                <w:color w:val="auto"/>
                <w:sz w:val="24"/>
                <w:szCs w:val="24"/>
              </w:rPr>
              <w:t>(GB8978-1996)</w:t>
            </w:r>
            <w:r>
              <w:rPr>
                <w:rFonts w:ascii="宋体" w:hAnsi="宋体" w:eastAsia="宋体"/>
                <w:color w:val="auto"/>
                <w:sz w:val="24"/>
                <w:szCs w:val="24"/>
              </w:rPr>
              <w:t>中三级标准后进入</w:t>
            </w:r>
            <w:r>
              <w:rPr>
                <w:rFonts w:hint="eastAsia" w:ascii="宋体" w:hAnsi="宋体" w:eastAsia="宋体"/>
                <w:color w:val="auto"/>
                <w:sz w:val="24"/>
                <w:szCs w:val="24"/>
              </w:rPr>
              <w:t>津市工业污水处理厂</w:t>
            </w:r>
            <w:r>
              <w:rPr>
                <w:rFonts w:ascii="宋体" w:hAnsi="宋体" w:eastAsia="宋体"/>
                <w:color w:val="auto"/>
                <w:sz w:val="24"/>
                <w:szCs w:val="24"/>
              </w:rPr>
              <w:t>处理达到《城镇污水处理厂污染物排放标准》</w:t>
            </w:r>
            <w:r>
              <w:rPr>
                <w:rFonts w:ascii="Calibri" w:hAnsi="Calibri" w:eastAsia="Calibri"/>
                <w:color w:val="auto"/>
                <w:sz w:val="24"/>
                <w:szCs w:val="24"/>
              </w:rPr>
              <w:t>(GB18918-2002)</w:t>
            </w:r>
            <w:r>
              <w:rPr>
                <w:rFonts w:ascii="宋体" w:hAnsi="宋体" w:eastAsia="宋体"/>
                <w:color w:val="auto"/>
                <w:sz w:val="24"/>
                <w:szCs w:val="24"/>
              </w:rPr>
              <w:t>一级</w:t>
            </w:r>
            <w:r>
              <w:rPr>
                <w:rFonts w:ascii="Calibri" w:hAnsi="Calibri" w:eastAsia="Calibri"/>
                <w:color w:val="auto"/>
                <w:sz w:val="24"/>
                <w:szCs w:val="24"/>
              </w:rPr>
              <w:t>A</w:t>
            </w:r>
            <w:r>
              <w:rPr>
                <w:rFonts w:ascii="宋体" w:hAnsi="宋体" w:eastAsia="宋体"/>
                <w:color w:val="auto"/>
                <w:sz w:val="24"/>
                <w:szCs w:val="24"/>
              </w:rPr>
              <w:t>标准排入</w:t>
            </w:r>
            <w:r>
              <w:rPr>
                <w:rFonts w:hint="eastAsia" w:ascii="宋体" w:hAnsi="宋体" w:eastAsia="宋体"/>
                <w:color w:val="auto"/>
                <w:sz w:val="24"/>
                <w:szCs w:val="24"/>
              </w:rPr>
              <w:t>澧水</w:t>
            </w:r>
            <w:r>
              <w:rPr>
                <w:rFonts w:ascii="宋体" w:hAnsi="宋体" w:eastAsia="宋体"/>
                <w:color w:val="auto"/>
                <w:sz w:val="24"/>
                <w:szCs w:val="24"/>
              </w:rPr>
              <w:t>。项目污水能够满足</w:t>
            </w:r>
            <w:r>
              <w:rPr>
                <w:rFonts w:hint="eastAsia" w:ascii="宋体" w:hAnsi="宋体" w:eastAsia="宋体"/>
                <w:color w:val="auto"/>
                <w:sz w:val="24"/>
                <w:szCs w:val="24"/>
              </w:rPr>
              <w:t>津市工业污水处理厂</w:t>
            </w:r>
            <w:r>
              <w:rPr>
                <w:rFonts w:ascii="宋体" w:hAnsi="宋体" w:eastAsia="宋体"/>
                <w:color w:val="auto"/>
                <w:sz w:val="24"/>
                <w:szCs w:val="24"/>
              </w:rPr>
              <w:t>接管标准，污水经处理后达标排放，对区域水环境影响较小，不会改变区域水环境功能现状</w:t>
            </w:r>
            <w:r>
              <w:rPr>
                <w:rFonts w:ascii="宋体" w:hAnsi="宋体" w:eastAsia="宋体"/>
                <w:color w:val="auto"/>
                <w:szCs w:val="21"/>
              </w:rPr>
              <w:t>。</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根据《环境影响评价技术导则地表水环境》（HJ/T2.3-2018）表1水污染影响型建设项目评价等级判定标准，本项目废水自厂区排出后进入津市工业园污水处理厂集中处理，属于间接排放</w:t>
            </w:r>
            <w:r>
              <w:rPr>
                <w:rFonts w:hint="eastAsia" w:ascii="宋体" w:hAnsi="宋体" w:eastAsia="宋体"/>
                <w:color w:val="auto"/>
                <w:sz w:val="24"/>
                <w:szCs w:val="24"/>
                <w:lang w:eastAsia="zh-CN"/>
              </w:rPr>
              <w:t>，</w:t>
            </w:r>
            <w:r>
              <w:rPr>
                <w:rFonts w:ascii="宋体" w:hAnsi="宋体" w:eastAsia="宋体"/>
                <w:color w:val="auto"/>
                <w:sz w:val="24"/>
                <w:szCs w:val="24"/>
              </w:rPr>
              <w:t>水评价工作等级判据见下表。</w:t>
            </w: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rPr>
              <w:t>表</w:t>
            </w:r>
            <w:r>
              <w:rPr>
                <w:rFonts w:hint="eastAsia" w:ascii="宋体" w:hAnsi="宋体" w:eastAsia="宋体"/>
                <w:b/>
                <w:bCs/>
                <w:color w:val="auto"/>
                <w:szCs w:val="21"/>
                <w:lang w:val="en-US" w:eastAsia="zh-CN"/>
              </w:rPr>
              <w:t>4-7</w:t>
            </w:r>
            <w:r>
              <w:rPr>
                <w:rFonts w:hint="eastAsia" w:ascii="宋体" w:hAnsi="宋体" w:eastAsia="宋体"/>
                <w:b/>
                <w:bCs/>
                <w:color w:val="auto"/>
                <w:szCs w:val="21"/>
              </w:rPr>
              <w:t>废水间接排放口基本信息表</w:t>
            </w:r>
          </w:p>
          <w:tbl>
            <w:tblPr>
              <w:tblStyle w:val="19"/>
              <w:tblW w:w="795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194"/>
              <w:gridCol w:w="899"/>
              <w:gridCol w:w="1163"/>
              <w:gridCol w:w="1174"/>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序号</w:t>
                  </w:r>
                </w:p>
              </w:tc>
              <w:tc>
                <w:tcPr>
                  <w:tcW w:w="4659" w:type="dxa"/>
                  <w:gridSpan w:val="4"/>
                  <w:tcBorders>
                    <w:tl2br w:val="nil"/>
                    <w:tr2bl w:val="nil"/>
                  </w:tcBorders>
                  <w:noWrap w:val="0"/>
                  <w:vAlign w:val="center"/>
                </w:tcPr>
                <w:p>
                  <w:pPr>
                    <w:pStyle w:val="40"/>
                    <w:jc w:val="center"/>
                    <w:rPr>
                      <w:rFonts w:ascii="Times New Roman" w:cs="Times New Roman"/>
                      <w:color w:val="auto"/>
                      <w:sz w:val="21"/>
                      <w:szCs w:val="21"/>
                    </w:rPr>
                  </w:pPr>
                  <w:r>
                    <w:rPr>
                      <w:rFonts w:hint="eastAsia" w:ascii="Times New Roman" w:cs="Times New Roman"/>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排放口编号</w:t>
                  </w:r>
                </w:p>
              </w:tc>
              <w:tc>
                <w:tcPr>
                  <w:tcW w:w="4659" w:type="dxa"/>
                  <w:gridSpan w:val="4"/>
                  <w:tcBorders>
                    <w:tl2br w:val="nil"/>
                    <w:tr2bl w:val="nil"/>
                  </w:tcBorders>
                  <w:noWrap w:val="0"/>
                  <w:vAlign w:val="center"/>
                </w:tcPr>
                <w:p>
                  <w:pPr>
                    <w:pStyle w:val="40"/>
                    <w:jc w:val="center"/>
                    <w:rPr>
                      <w:rFonts w:ascii="Times New Roman" w:cs="Times New Roman"/>
                      <w:color w:val="FF0000"/>
                      <w:sz w:val="21"/>
                      <w:szCs w:val="21"/>
                    </w:rPr>
                  </w:pPr>
                  <w:r>
                    <w:rPr>
                      <w:rFonts w:hint="eastAsia" w:ascii="Times New Roman" w:cs="Times New Roman"/>
                      <w:color w:val="auto"/>
                      <w:sz w:val="21"/>
                      <w:szCs w:val="21"/>
                    </w:rPr>
                    <w:t>D</w:t>
                  </w:r>
                  <w:r>
                    <w:rPr>
                      <w:rFonts w:hint="eastAsia" w:ascii="Times New Roman" w:cs="Times New Roman"/>
                      <w:color w:val="auto"/>
                      <w:sz w:val="21"/>
                      <w:szCs w:val="21"/>
                      <w:lang w:val="en-US" w:eastAsia="zh-CN"/>
                    </w:rPr>
                    <w:t>W</w:t>
                  </w:r>
                  <w:r>
                    <w:rPr>
                      <w:rFonts w:hint="eastAsia" w:ascii="Times New Roman" w:cs="Times New Roman"/>
                      <w:color w:val="auto"/>
                      <w:sz w:val="21"/>
                      <w:szCs w:val="21"/>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6" w:type="dxa"/>
                  <w:vMerge w:val="restart"/>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排放口地理坐标</w:t>
                  </w:r>
                </w:p>
              </w:tc>
              <w:tc>
                <w:tcPr>
                  <w:tcW w:w="2194" w:type="dxa"/>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经度</w:t>
                  </w:r>
                </w:p>
              </w:tc>
              <w:tc>
                <w:tcPr>
                  <w:tcW w:w="4659" w:type="dxa"/>
                  <w:gridSpan w:val="4"/>
                  <w:tcBorders>
                    <w:tl2br w:val="nil"/>
                    <w:tr2bl w:val="nil"/>
                  </w:tcBorders>
                  <w:noWrap w:val="0"/>
                  <w:vAlign w:val="center"/>
                </w:tcPr>
                <w:p>
                  <w:pPr>
                    <w:autoSpaceDE w:val="0"/>
                    <w:autoSpaceDN w:val="0"/>
                    <w:jc w:val="center"/>
                    <w:textAlignment w:val="baseline"/>
                    <w:rPr>
                      <w:sz w:val="21"/>
                      <w:szCs w:val="21"/>
                    </w:rPr>
                  </w:pPr>
                  <w:r>
                    <w:rPr>
                      <w:rFonts w:hint="eastAsia"/>
                      <w:sz w:val="21"/>
                      <w:szCs w:val="21"/>
                    </w:rPr>
                    <w:t>111.84896235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6" w:type="dxa"/>
                  <w:vMerge w:val="continue"/>
                  <w:tcBorders>
                    <w:tl2br w:val="nil"/>
                    <w:tr2bl w:val="nil"/>
                  </w:tcBorders>
                  <w:noWrap w:val="0"/>
                  <w:vAlign w:val="center"/>
                </w:tcPr>
                <w:p>
                  <w:pPr>
                    <w:pStyle w:val="40"/>
                    <w:jc w:val="center"/>
                    <w:rPr>
                      <w:rFonts w:ascii="Times New Roman" w:cs="Times New Roman"/>
                      <w:sz w:val="21"/>
                      <w:szCs w:val="21"/>
                    </w:rPr>
                  </w:pPr>
                </w:p>
              </w:tc>
              <w:tc>
                <w:tcPr>
                  <w:tcW w:w="2194" w:type="dxa"/>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纬度</w:t>
                  </w:r>
                </w:p>
              </w:tc>
              <w:tc>
                <w:tcPr>
                  <w:tcW w:w="4659" w:type="dxa"/>
                  <w:gridSpan w:val="4"/>
                  <w:tcBorders>
                    <w:tl2br w:val="nil"/>
                    <w:tr2bl w:val="nil"/>
                  </w:tcBorders>
                  <w:noWrap w:val="0"/>
                  <w:vAlign w:val="center"/>
                </w:tcPr>
                <w:p>
                  <w:pPr>
                    <w:autoSpaceDE w:val="0"/>
                    <w:autoSpaceDN w:val="0"/>
                    <w:jc w:val="center"/>
                    <w:textAlignment w:val="baseline"/>
                    <w:rPr>
                      <w:sz w:val="21"/>
                      <w:szCs w:val="21"/>
                    </w:rPr>
                  </w:pPr>
                  <w:r>
                    <w:rPr>
                      <w:rFonts w:hint="eastAsia"/>
                      <w:sz w:val="21"/>
                      <w:szCs w:val="21"/>
                    </w:rPr>
                    <w:t>29.56919604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废水排放量/（t/a）</w:t>
                  </w:r>
                </w:p>
              </w:tc>
              <w:tc>
                <w:tcPr>
                  <w:tcW w:w="4659" w:type="dxa"/>
                  <w:gridSpan w:val="4"/>
                  <w:tcBorders>
                    <w:tl2br w:val="nil"/>
                    <w:tr2bl w:val="nil"/>
                  </w:tcBorders>
                  <w:noWrap w:val="0"/>
                  <w:vAlign w:val="center"/>
                </w:tcPr>
                <w:p>
                  <w:pPr>
                    <w:pStyle w:val="40"/>
                    <w:jc w:val="center"/>
                    <w:rPr>
                      <w:rFonts w:hint="default" w:ascii="Times New Roman" w:eastAsia="宋体" w:cs="Times New Roman"/>
                      <w:color w:val="FF0000"/>
                      <w:sz w:val="21"/>
                      <w:szCs w:val="21"/>
                      <w:lang w:val="en-US" w:eastAsia="zh-CN"/>
                    </w:rPr>
                  </w:pPr>
                  <w:r>
                    <w:rPr>
                      <w:rFonts w:hint="eastAsia" w:ascii="Times New Roman" w:cs="Times New Roman"/>
                      <w:color w:val="auto"/>
                      <w:sz w:val="21"/>
                      <w:szCs w:val="21"/>
                      <w:lang w:val="en-US" w:eastAsia="zh-CN"/>
                    </w:rPr>
                    <w:t>278.4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排放去向</w:t>
                  </w:r>
                </w:p>
              </w:tc>
              <w:tc>
                <w:tcPr>
                  <w:tcW w:w="4659" w:type="dxa"/>
                  <w:gridSpan w:val="4"/>
                  <w:tcBorders>
                    <w:tl2br w:val="nil"/>
                    <w:tr2bl w:val="nil"/>
                  </w:tcBorders>
                  <w:noWrap w:val="0"/>
                  <w:vAlign w:val="center"/>
                </w:tcPr>
                <w:p>
                  <w:pPr>
                    <w:pStyle w:val="40"/>
                    <w:jc w:val="center"/>
                    <w:rPr>
                      <w:rFonts w:ascii="Times New Roman" w:cs="Times New Roman"/>
                      <w:color w:val="FF0000"/>
                      <w:sz w:val="21"/>
                      <w:szCs w:val="21"/>
                    </w:rPr>
                  </w:pPr>
                  <w:r>
                    <w:rPr>
                      <w:rFonts w:hint="eastAsia"/>
                      <w:sz w:val="21"/>
                      <w:szCs w:val="21"/>
                    </w:rPr>
                    <w:t>津市工业园污水处理厂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排放规律</w:t>
                  </w:r>
                </w:p>
              </w:tc>
              <w:tc>
                <w:tcPr>
                  <w:tcW w:w="4659" w:type="dxa"/>
                  <w:gridSpan w:val="4"/>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间断排放，排放期间流量不稳定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300" w:type="dxa"/>
                  <w:gridSpan w:val="2"/>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间歇排放时段</w:t>
                  </w:r>
                </w:p>
              </w:tc>
              <w:tc>
                <w:tcPr>
                  <w:tcW w:w="4659" w:type="dxa"/>
                  <w:gridSpan w:val="4"/>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06" w:type="dxa"/>
                  <w:vMerge w:val="restart"/>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受纳污水处理厂信息</w:t>
                  </w:r>
                </w:p>
              </w:tc>
              <w:tc>
                <w:tcPr>
                  <w:tcW w:w="2194" w:type="dxa"/>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名称</w:t>
                  </w:r>
                </w:p>
              </w:tc>
              <w:tc>
                <w:tcPr>
                  <w:tcW w:w="4659" w:type="dxa"/>
                  <w:gridSpan w:val="4"/>
                  <w:tcBorders>
                    <w:tl2br w:val="nil"/>
                    <w:tr2bl w:val="nil"/>
                  </w:tcBorders>
                  <w:noWrap w:val="0"/>
                  <w:vAlign w:val="center"/>
                </w:tcPr>
                <w:p>
                  <w:pPr>
                    <w:pStyle w:val="40"/>
                    <w:jc w:val="center"/>
                    <w:rPr>
                      <w:rFonts w:ascii="Times New Roman" w:cs="Times New Roman"/>
                      <w:color w:val="auto"/>
                      <w:sz w:val="21"/>
                      <w:szCs w:val="21"/>
                    </w:rPr>
                  </w:pPr>
                  <w:r>
                    <w:rPr>
                      <w:rFonts w:hint="eastAsia"/>
                      <w:sz w:val="21"/>
                      <w:szCs w:val="21"/>
                    </w:rPr>
                    <w:t>津市工业园污水处理厂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6" w:type="dxa"/>
                  <w:vMerge w:val="continue"/>
                  <w:tcBorders>
                    <w:tl2br w:val="nil"/>
                    <w:tr2bl w:val="nil"/>
                  </w:tcBorders>
                  <w:noWrap w:val="0"/>
                  <w:vAlign w:val="center"/>
                </w:tcPr>
                <w:p>
                  <w:pPr>
                    <w:pStyle w:val="40"/>
                    <w:jc w:val="center"/>
                    <w:rPr>
                      <w:rFonts w:ascii="Times New Roman" w:cs="Times New Roman"/>
                      <w:sz w:val="21"/>
                      <w:szCs w:val="21"/>
                    </w:rPr>
                  </w:pPr>
                </w:p>
              </w:tc>
              <w:tc>
                <w:tcPr>
                  <w:tcW w:w="2194" w:type="dxa"/>
                  <w:tcBorders>
                    <w:tl2br w:val="nil"/>
                    <w:tr2bl w:val="nil"/>
                  </w:tcBorders>
                  <w:noWrap w:val="0"/>
                  <w:vAlign w:val="center"/>
                </w:tcPr>
                <w:p>
                  <w:pPr>
                    <w:pStyle w:val="40"/>
                    <w:jc w:val="center"/>
                    <w:rPr>
                      <w:rFonts w:ascii="Times New Roman" w:cs="Times New Roman"/>
                      <w:sz w:val="21"/>
                      <w:szCs w:val="21"/>
                    </w:rPr>
                  </w:pPr>
                  <w:r>
                    <w:rPr>
                      <w:rFonts w:ascii="Times New Roman" w:cs="Times New Roman"/>
                      <w:sz w:val="21"/>
                      <w:szCs w:val="21"/>
                    </w:rPr>
                    <w:t>污染物种类</w:t>
                  </w:r>
                </w:p>
              </w:tc>
              <w:tc>
                <w:tcPr>
                  <w:tcW w:w="899" w:type="dxa"/>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SS</w:t>
                  </w:r>
                </w:p>
              </w:tc>
              <w:tc>
                <w:tcPr>
                  <w:tcW w:w="1163" w:type="dxa"/>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COD</w:t>
                  </w:r>
                </w:p>
              </w:tc>
              <w:tc>
                <w:tcPr>
                  <w:tcW w:w="1174" w:type="dxa"/>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BOD</w:t>
                  </w:r>
                  <w:r>
                    <w:rPr>
                      <w:rFonts w:ascii="Times New Roman" w:cs="Times New Roman"/>
                      <w:color w:val="auto"/>
                      <w:sz w:val="21"/>
                      <w:szCs w:val="21"/>
                      <w:vertAlign w:val="subscript"/>
                    </w:rPr>
                    <w:t>5</w:t>
                  </w:r>
                </w:p>
              </w:tc>
              <w:tc>
                <w:tcPr>
                  <w:tcW w:w="1423" w:type="dxa"/>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NH</w:t>
                  </w:r>
                  <w:r>
                    <w:rPr>
                      <w:rFonts w:ascii="Times New Roman" w:cs="Times New Roman"/>
                      <w:color w:val="auto"/>
                      <w:sz w:val="21"/>
                      <w:szCs w:val="21"/>
                      <w:vertAlign w:val="subscript"/>
                    </w:rPr>
                    <w:t>3</w:t>
                  </w:r>
                  <w:r>
                    <w:rPr>
                      <w:rFonts w:ascii="Times New Roman" w:cs="Times New Roman"/>
                      <w:color w:val="auto"/>
                      <w:sz w:val="21"/>
                      <w:szCs w:val="21"/>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6" w:type="dxa"/>
                  <w:vMerge w:val="continue"/>
                  <w:tcBorders>
                    <w:tl2br w:val="nil"/>
                    <w:tr2bl w:val="nil"/>
                  </w:tcBorders>
                  <w:noWrap w:val="0"/>
                  <w:vAlign w:val="center"/>
                </w:tcPr>
                <w:p>
                  <w:pPr>
                    <w:pStyle w:val="40"/>
                    <w:jc w:val="center"/>
                    <w:rPr>
                      <w:rFonts w:ascii="Times New Roman" w:cs="Times New Roman"/>
                      <w:sz w:val="21"/>
                      <w:szCs w:val="21"/>
                    </w:rPr>
                  </w:pPr>
                </w:p>
              </w:tc>
              <w:tc>
                <w:tcPr>
                  <w:tcW w:w="2194" w:type="dxa"/>
                  <w:tcBorders>
                    <w:tl2br w:val="nil"/>
                    <w:tr2bl w:val="nil"/>
                  </w:tcBorders>
                  <w:noWrap w:val="0"/>
                  <w:vAlign w:val="center"/>
                </w:tcPr>
                <w:p>
                  <w:pPr>
                    <w:pStyle w:val="40"/>
                    <w:jc w:val="center"/>
                    <w:rPr>
                      <w:rFonts w:ascii="Times New Roman" w:cs="Times New Roman"/>
                      <w:color w:val="auto"/>
                      <w:sz w:val="21"/>
                      <w:szCs w:val="21"/>
                    </w:rPr>
                  </w:pPr>
                  <w:r>
                    <w:rPr>
                      <w:rFonts w:ascii="Times New Roman" w:cs="Times New Roman"/>
                      <w:color w:val="auto"/>
                      <w:sz w:val="21"/>
                      <w:szCs w:val="21"/>
                    </w:rPr>
                    <w:t>污水综合排放标准浓度限值/（mg/L）</w:t>
                  </w:r>
                </w:p>
              </w:tc>
              <w:tc>
                <w:tcPr>
                  <w:tcW w:w="899" w:type="dxa"/>
                  <w:tcBorders>
                    <w:tl2br w:val="nil"/>
                    <w:tr2bl w:val="nil"/>
                  </w:tcBorders>
                  <w:noWrap w:val="0"/>
                  <w:vAlign w:val="center"/>
                </w:tcPr>
                <w:p>
                  <w:pPr>
                    <w:pStyle w:val="40"/>
                    <w:jc w:val="center"/>
                    <w:rPr>
                      <w:rFonts w:ascii="Times New Roman" w:cs="Times New Roman"/>
                      <w:color w:val="auto"/>
                      <w:sz w:val="21"/>
                      <w:szCs w:val="21"/>
                    </w:rPr>
                  </w:pPr>
                  <w:r>
                    <w:rPr>
                      <w:rFonts w:hint="eastAsia" w:ascii="Times New Roman" w:cs="Times New Roman"/>
                      <w:color w:val="auto"/>
                      <w:sz w:val="21"/>
                      <w:szCs w:val="21"/>
                    </w:rPr>
                    <w:t>300</w:t>
                  </w:r>
                </w:p>
              </w:tc>
              <w:tc>
                <w:tcPr>
                  <w:tcW w:w="1163" w:type="dxa"/>
                  <w:tcBorders>
                    <w:tl2br w:val="nil"/>
                    <w:tr2bl w:val="nil"/>
                  </w:tcBorders>
                  <w:noWrap w:val="0"/>
                  <w:vAlign w:val="center"/>
                </w:tcPr>
                <w:p>
                  <w:pPr>
                    <w:pStyle w:val="40"/>
                    <w:jc w:val="center"/>
                    <w:rPr>
                      <w:rFonts w:ascii="Times New Roman" w:cs="Times New Roman"/>
                      <w:color w:val="auto"/>
                      <w:sz w:val="21"/>
                      <w:szCs w:val="21"/>
                    </w:rPr>
                  </w:pPr>
                  <w:r>
                    <w:rPr>
                      <w:rFonts w:hint="eastAsia" w:ascii="Times New Roman" w:cs="Times New Roman"/>
                      <w:color w:val="auto"/>
                      <w:sz w:val="21"/>
                      <w:szCs w:val="21"/>
                    </w:rPr>
                    <w:t>450</w:t>
                  </w:r>
                </w:p>
              </w:tc>
              <w:tc>
                <w:tcPr>
                  <w:tcW w:w="1174" w:type="dxa"/>
                  <w:tcBorders>
                    <w:tl2br w:val="nil"/>
                    <w:tr2bl w:val="nil"/>
                  </w:tcBorders>
                  <w:noWrap w:val="0"/>
                  <w:vAlign w:val="center"/>
                </w:tcPr>
                <w:p>
                  <w:pPr>
                    <w:pStyle w:val="40"/>
                    <w:jc w:val="center"/>
                    <w:rPr>
                      <w:rFonts w:ascii="Times New Roman" w:cs="Times New Roman"/>
                      <w:color w:val="auto"/>
                      <w:sz w:val="21"/>
                      <w:szCs w:val="21"/>
                    </w:rPr>
                  </w:pPr>
                  <w:r>
                    <w:rPr>
                      <w:rFonts w:hint="eastAsia" w:ascii="Times New Roman" w:cs="Times New Roman"/>
                      <w:color w:val="auto"/>
                      <w:sz w:val="21"/>
                      <w:szCs w:val="21"/>
                    </w:rPr>
                    <w:t>250</w:t>
                  </w:r>
                </w:p>
              </w:tc>
              <w:tc>
                <w:tcPr>
                  <w:tcW w:w="1423" w:type="dxa"/>
                  <w:tcBorders>
                    <w:tl2br w:val="nil"/>
                    <w:tr2bl w:val="nil"/>
                  </w:tcBorders>
                  <w:noWrap w:val="0"/>
                  <w:vAlign w:val="center"/>
                </w:tcPr>
                <w:p>
                  <w:pPr>
                    <w:pStyle w:val="40"/>
                    <w:jc w:val="center"/>
                    <w:rPr>
                      <w:rFonts w:ascii="Times New Roman" w:cs="Times New Roman"/>
                      <w:color w:val="auto"/>
                      <w:sz w:val="21"/>
                      <w:szCs w:val="21"/>
                    </w:rPr>
                  </w:pPr>
                  <w:r>
                    <w:rPr>
                      <w:rFonts w:hint="eastAsia" w:ascii="Times New Roman" w:cs="Times New Roman"/>
                      <w:color w:val="auto"/>
                      <w:sz w:val="21"/>
                      <w:szCs w:val="21"/>
                    </w:rPr>
                    <w:t>35</w:t>
                  </w:r>
                </w:p>
              </w:tc>
            </w:tr>
          </w:tbl>
          <w:p>
            <w:pPr>
              <w:pStyle w:val="3"/>
              <w:numPr>
                <w:ilvl w:val="0"/>
                <w:numId w:val="0"/>
              </w:numPr>
              <w:spacing w:before="0" w:after="0" w:line="360" w:lineRule="auto"/>
              <w:ind w:left="578" w:leftChars="237" w:hanging="80" w:hangingChars="38"/>
              <w:rPr>
                <w:rFonts w:ascii="Times New Roman" w:hAnsi="Times New Roman"/>
                <w:bCs w:val="0"/>
                <w:sz w:val="21"/>
                <w:szCs w:val="21"/>
              </w:rPr>
            </w:pPr>
            <w:r>
              <w:rPr>
                <w:rFonts w:hint="eastAsia" w:ascii="Times New Roman" w:hAnsi="Times New Roman"/>
                <w:bCs w:val="0"/>
                <w:sz w:val="21"/>
                <w:szCs w:val="21"/>
                <w:lang w:val="en-US" w:eastAsia="zh-CN"/>
              </w:rPr>
              <w:t>废水</w:t>
            </w:r>
            <w:r>
              <w:rPr>
                <w:rFonts w:ascii="Times New Roman" w:hAnsi="Times New Roman"/>
                <w:bCs w:val="0"/>
                <w:sz w:val="21"/>
                <w:szCs w:val="21"/>
              </w:rPr>
              <w:t>环境监测计划</w:t>
            </w:r>
          </w:p>
          <w:p>
            <w:pPr>
              <w:pStyle w:val="3"/>
              <w:numPr>
                <w:ilvl w:val="0"/>
                <w:numId w:val="0"/>
              </w:numPr>
              <w:spacing w:before="0" w:after="0" w:line="360" w:lineRule="auto"/>
              <w:ind w:firstLine="480" w:firstLineChars="200"/>
              <w:rPr>
                <w:rFonts w:hint="eastAsia" w:ascii="宋体" w:hAnsi="宋体" w:eastAsia="宋体" w:cstheme="minorBidi"/>
                <w:b w:val="0"/>
                <w:bCs w:val="0"/>
                <w:color w:val="auto"/>
                <w:kern w:val="2"/>
                <w:sz w:val="24"/>
                <w:szCs w:val="24"/>
                <w:u w:val="none"/>
                <w:lang w:val="en-US" w:eastAsia="zh-CN" w:bidi="ar-SA"/>
              </w:rPr>
            </w:pPr>
            <w:r>
              <w:rPr>
                <w:rFonts w:hint="eastAsia" w:ascii="宋体" w:hAnsi="宋体" w:eastAsia="宋体" w:cstheme="minorBidi"/>
                <w:b w:val="0"/>
                <w:bCs w:val="0"/>
                <w:color w:val="auto"/>
                <w:kern w:val="2"/>
                <w:sz w:val="24"/>
                <w:szCs w:val="24"/>
                <w:u w:val="single"/>
                <w:lang w:val="en-US" w:eastAsia="zh-CN" w:bidi="ar-SA"/>
              </w:rPr>
              <w:t>根据《排污许可证申请与核发技术规范橡胶和塑料制品工业》(HJ1122-2020)，单独排入公共污水处理系统的生活污水无需开展自行监测，本项目生活污水进津市工业园污水处理厂，属于本类型，因此，本项目废水排放无需开展自行监测</w:t>
            </w:r>
            <w:r>
              <w:rPr>
                <w:rFonts w:hint="eastAsia" w:ascii="宋体" w:hAnsi="宋体" w:eastAsia="宋体" w:cstheme="minorBidi"/>
                <w:b w:val="0"/>
                <w:bCs w:val="0"/>
                <w:color w:val="auto"/>
                <w:kern w:val="2"/>
                <w:sz w:val="24"/>
                <w:szCs w:val="24"/>
                <w:u w:val="none"/>
                <w:lang w:val="en-US" w:eastAsia="zh-CN" w:bidi="ar-SA"/>
              </w:rPr>
              <w:t>。</w:t>
            </w:r>
          </w:p>
          <w:p>
            <w:pPr>
              <w:spacing w:line="360" w:lineRule="auto"/>
              <w:rPr>
                <w:rFonts w:ascii="Times New Roman" w:hAnsi="Times New Roman" w:eastAsia="Times New Roman"/>
                <w:b/>
                <w:bCs/>
                <w:color w:val="auto"/>
                <w:szCs w:val="21"/>
              </w:rPr>
            </w:pPr>
            <w:r>
              <w:rPr>
                <w:rFonts w:ascii="Times New Roman" w:hAnsi="Times New Roman" w:eastAsia="Times New Roman"/>
                <w:b/>
                <w:bCs/>
                <w:color w:val="auto"/>
                <w:szCs w:val="21"/>
              </w:rPr>
              <w:t>3、声环境影响分析</w:t>
            </w:r>
          </w:p>
          <w:p>
            <w:pPr>
              <w:spacing w:line="360" w:lineRule="auto"/>
              <w:rPr>
                <w:rFonts w:ascii="宋体" w:hAnsi="宋体" w:eastAsia="宋体"/>
                <w:b/>
                <w:bCs/>
                <w:color w:val="auto"/>
                <w:szCs w:val="21"/>
              </w:rPr>
            </w:pPr>
            <w:r>
              <w:rPr>
                <w:rFonts w:ascii="Times New Roman" w:hAnsi="Times New Roman" w:eastAsia="Times New Roman"/>
                <w:b/>
                <w:bCs/>
                <w:color w:val="auto"/>
                <w:szCs w:val="21"/>
              </w:rPr>
              <w:t>1）</w:t>
            </w:r>
            <w:r>
              <w:rPr>
                <w:rFonts w:ascii="宋体" w:hAnsi="宋体" w:eastAsia="宋体"/>
                <w:b/>
                <w:bCs/>
                <w:color w:val="auto"/>
                <w:szCs w:val="21"/>
              </w:rPr>
              <w:t>噪声源情况</w:t>
            </w:r>
          </w:p>
          <w:p>
            <w:pPr>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本项目营运期主要噪声源为车间各生产设备运行时产生的噪声，设备噪声源强</w:t>
            </w:r>
            <w:r>
              <w:rPr>
                <w:rFonts w:hint="eastAsia" w:ascii="Calibri" w:hAnsi="Calibri" w:eastAsia="宋体"/>
                <w:color w:val="auto"/>
                <w:sz w:val="24"/>
                <w:szCs w:val="24"/>
              </w:rPr>
              <w:t>70</w:t>
            </w:r>
            <w:r>
              <w:rPr>
                <w:rFonts w:ascii="Calibri" w:hAnsi="Calibri" w:eastAsia="Calibri"/>
                <w:color w:val="auto"/>
                <w:sz w:val="24"/>
                <w:szCs w:val="24"/>
              </w:rPr>
              <w:t>~90dB(A)</w:t>
            </w:r>
            <w:r>
              <w:rPr>
                <w:rFonts w:ascii="宋体" w:hAnsi="宋体" w:eastAsia="宋体"/>
                <w:color w:val="auto"/>
                <w:sz w:val="24"/>
                <w:szCs w:val="24"/>
              </w:rPr>
              <w:t>。本项目主要噪声源强见下表</w:t>
            </w:r>
            <w:r>
              <w:rPr>
                <w:rFonts w:ascii="Times New Roman" w:hAnsi="Times New Roman" w:eastAsia="Times New Roman"/>
                <w:color w:val="auto"/>
                <w:sz w:val="24"/>
                <w:szCs w:val="24"/>
              </w:rPr>
              <w:t>4-</w:t>
            </w:r>
            <w:r>
              <w:rPr>
                <w:rFonts w:hint="eastAsia" w:ascii="Times New Roman" w:hAnsi="Times New Roman" w:eastAsia="宋体"/>
                <w:color w:val="auto"/>
                <w:sz w:val="24"/>
                <w:szCs w:val="24"/>
                <w:lang w:val="en-US" w:eastAsia="zh-CN"/>
              </w:rPr>
              <w:t>9</w:t>
            </w:r>
            <w:r>
              <w:rPr>
                <w:rFonts w:ascii="宋体" w:hAnsi="宋体" w:eastAsia="宋体"/>
                <w:color w:val="auto"/>
                <w:szCs w:val="21"/>
              </w:rPr>
              <w:t>。</w:t>
            </w: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8</w:t>
            </w:r>
            <w:r>
              <w:rPr>
                <w:rFonts w:hint="eastAsia" w:ascii="宋体" w:hAnsi="宋体" w:eastAsia="宋体"/>
                <w:b/>
                <w:bCs/>
                <w:color w:val="auto"/>
                <w:szCs w:val="21"/>
              </w:rPr>
              <w:t>主要设备噪声源强一览表</w:t>
            </w:r>
          </w:p>
          <w:tbl>
            <w:tblPr>
              <w:tblStyle w:val="20"/>
              <w:tblW w:w="7811"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080"/>
              <w:gridCol w:w="1476"/>
              <w:gridCol w:w="1152"/>
              <w:gridCol w:w="1416"/>
              <w:gridCol w:w="20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序号</w:t>
                  </w:r>
                </w:p>
              </w:tc>
              <w:tc>
                <w:tcPr>
                  <w:tcW w:w="1080" w:type="dxa"/>
                  <w:tcBorders>
                    <w:tl2br w:val="nil"/>
                    <w:tr2bl w:val="nil"/>
                  </w:tcBorders>
                  <w:vAlign w:val="center"/>
                </w:tcPr>
                <w:p>
                  <w:pPr>
                    <w:pStyle w:val="2"/>
                    <w:jc w:val="center"/>
                    <w:rPr>
                      <w:color w:val="auto"/>
                    </w:rPr>
                  </w:pPr>
                  <w:r>
                    <w:rPr>
                      <w:rFonts w:hint="eastAsia"/>
                      <w:color w:val="auto"/>
                    </w:rPr>
                    <w:t>噪声源</w:t>
                  </w:r>
                </w:p>
              </w:tc>
              <w:tc>
                <w:tcPr>
                  <w:tcW w:w="1476" w:type="dxa"/>
                  <w:tcBorders>
                    <w:tl2br w:val="nil"/>
                    <w:tr2bl w:val="nil"/>
                  </w:tcBorders>
                  <w:vAlign w:val="center"/>
                </w:tcPr>
                <w:p>
                  <w:pPr>
                    <w:pStyle w:val="2"/>
                    <w:jc w:val="center"/>
                    <w:rPr>
                      <w:color w:val="auto"/>
                    </w:rPr>
                  </w:pPr>
                  <w:r>
                    <w:rPr>
                      <w:rFonts w:hint="eastAsia"/>
                      <w:color w:val="auto"/>
                    </w:rPr>
                    <w:t>噪声级（dB）</w:t>
                  </w:r>
                </w:p>
              </w:tc>
              <w:tc>
                <w:tcPr>
                  <w:tcW w:w="1152" w:type="dxa"/>
                  <w:tcBorders>
                    <w:tl2br w:val="nil"/>
                    <w:tr2bl w:val="nil"/>
                  </w:tcBorders>
                  <w:vAlign w:val="center"/>
                </w:tcPr>
                <w:p>
                  <w:pPr>
                    <w:pStyle w:val="2"/>
                    <w:jc w:val="center"/>
                    <w:rPr>
                      <w:color w:val="auto"/>
                    </w:rPr>
                  </w:pPr>
                  <w:r>
                    <w:rPr>
                      <w:rFonts w:hint="eastAsia"/>
                      <w:color w:val="auto"/>
                    </w:rPr>
                    <w:t>数量</w:t>
                  </w:r>
                </w:p>
              </w:tc>
              <w:tc>
                <w:tcPr>
                  <w:tcW w:w="1416" w:type="dxa"/>
                  <w:tcBorders>
                    <w:tl2br w:val="nil"/>
                    <w:tr2bl w:val="nil"/>
                  </w:tcBorders>
                  <w:vAlign w:val="center"/>
                </w:tcPr>
                <w:p>
                  <w:pPr>
                    <w:pStyle w:val="2"/>
                    <w:jc w:val="center"/>
                    <w:rPr>
                      <w:rFonts w:hint="eastAsia"/>
                      <w:color w:val="auto"/>
                    </w:rPr>
                  </w:pPr>
                  <w:r>
                    <w:rPr>
                      <w:rFonts w:hint="eastAsia" w:hAnsi="宋体" w:eastAsia="宋体"/>
                      <w:color w:val="auto"/>
                      <w:sz w:val="21"/>
                      <w:szCs w:val="21"/>
                    </w:rPr>
                    <w:t>设计降噪量</w:t>
                  </w:r>
                  <w:r>
                    <w:rPr>
                      <w:rFonts w:eastAsia="宋体"/>
                      <w:color w:val="auto"/>
                      <w:sz w:val="21"/>
                      <w:szCs w:val="21"/>
                    </w:rPr>
                    <w:t>dB</w:t>
                  </w:r>
                  <w:r>
                    <w:rPr>
                      <w:rFonts w:hint="eastAsia" w:hAnsi="宋体" w:eastAsia="宋体"/>
                      <w:color w:val="auto"/>
                      <w:sz w:val="21"/>
                      <w:szCs w:val="21"/>
                    </w:rPr>
                    <w:t>（</w:t>
                  </w:r>
                  <w:r>
                    <w:rPr>
                      <w:rFonts w:eastAsia="宋体"/>
                      <w:color w:val="auto"/>
                      <w:sz w:val="21"/>
                      <w:szCs w:val="21"/>
                    </w:rPr>
                    <w:t>A</w:t>
                  </w:r>
                  <w:r>
                    <w:rPr>
                      <w:rFonts w:hint="eastAsia" w:hAnsi="宋体" w:eastAsia="宋体"/>
                      <w:color w:val="auto"/>
                      <w:sz w:val="21"/>
                      <w:szCs w:val="21"/>
                    </w:rPr>
                    <w:t>）</w:t>
                  </w:r>
                </w:p>
              </w:tc>
              <w:tc>
                <w:tcPr>
                  <w:tcW w:w="2052" w:type="dxa"/>
                  <w:tcBorders>
                    <w:tl2br w:val="nil"/>
                    <w:tr2bl w:val="nil"/>
                  </w:tcBorders>
                  <w:vAlign w:val="center"/>
                </w:tcPr>
                <w:p>
                  <w:pPr>
                    <w:pStyle w:val="2"/>
                    <w:jc w:val="both"/>
                    <w:rPr>
                      <w:color w:val="auto"/>
                    </w:rPr>
                  </w:pPr>
                  <w:r>
                    <w:rPr>
                      <w:rFonts w:hint="eastAsia"/>
                      <w:color w:val="auto"/>
                    </w:rPr>
                    <w:t>降噪措施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5" w:type="dxa"/>
                  <w:tcBorders>
                    <w:tl2br w:val="nil"/>
                    <w:tr2bl w:val="nil"/>
                  </w:tcBorders>
                  <w:vAlign w:val="center"/>
                </w:tcPr>
                <w:p>
                  <w:pPr>
                    <w:pStyle w:val="2"/>
                    <w:jc w:val="center"/>
                    <w:rPr>
                      <w:color w:val="auto"/>
                    </w:rPr>
                  </w:pPr>
                  <w:r>
                    <w:rPr>
                      <w:rFonts w:hint="eastAsia"/>
                      <w:color w:val="auto"/>
                    </w:rPr>
                    <w:t>1</w:t>
                  </w:r>
                </w:p>
              </w:tc>
              <w:tc>
                <w:tcPr>
                  <w:tcW w:w="1080" w:type="dxa"/>
                  <w:tcBorders>
                    <w:tl2br w:val="nil"/>
                    <w:tr2bl w:val="nil"/>
                  </w:tcBorders>
                  <w:vAlign w:val="center"/>
                </w:tcPr>
                <w:p>
                  <w:pPr>
                    <w:pStyle w:val="2"/>
                    <w:jc w:val="center"/>
                    <w:rPr>
                      <w:color w:val="auto"/>
                    </w:rPr>
                  </w:pPr>
                  <w:r>
                    <w:rPr>
                      <w:rFonts w:hint="eastAsia"/>
                      <w:color w:val="auto"/>
                    </w:rPr>
                    <w:t>混料罐</w:t>
                  </w:r>
                </w:p>
              </w:tc>
              <w:tc>
                <w:tcPr>
                  <w:tcW w:w="1476" w:type="dxa"/>
                  <w:tcBorders>
                    <w:tl2br w:val="nil"/>
                    <w:tr2bl w:val="nil"/>
                  </w:tcBorders>
                  <w:vAlign w:val="center"/>
                </w:tcPr>
                <w:p>
                  <w:pPr>
                    <w:pStyle w:val="2"/>
                    <w:jc w:val="center"/>
                    <w:rPr>
                      <w:color w:val="auto"/>
                    </w:rPr>
                  </w:pPr>
                  <w:r>
                    <w:rPr>
                      <w:rFonts w:hint="eastAsia"/>
                      <w:color w:val="auto"/>
                    </w:rPr>
                    <w:t>---</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restart"/>
                  <w:tcBorders>
                    <w:tl2br w:val="nil"/>
                    <w:tr2bl w:val="nil"/>
                  </w:tcBorders>
                  <w:vAlign w:val="center"/>
                </w:tcPr>
                <w:p>
                  <w:pPr>
                    <w:pStyle w:val="2"/>
                    <w:jc w:val="center"/>
                    <w:rPr>
                      <w:rFonts w:hint="eastAsia"/>
                      <w:color w:val="auto"/>
                    </w:rPr>
                  </w:pPr>
                  <w:r>
                    <w:rPr>
                      <w:rFonts w:eastAsia="宋体"/>
                      <w:color w:val="auto"/>
                      <w:sz w:val="21"/>
                      <w:szCs w:val="21"/>
                    </w:rPr>
                    <w:t>≥25</w:t>
                  </w:r>
                </w:p>
              </w:tc>
              <w:tc>
                <w:tcPr>
                  <w:tcW w:w="2052" w:type="dxa"/>
                  <w:vMerge w:val="restart"/>
                  <w:tcBorders>
                    <w:tl2br w:val="nil"/>
                    <w:tr2bl w:val="nil"/>
                  </w:tcBorders>
                  <w:vAlign w:val="center"/>
                </w:tcPr>
                <w:p>
                  <w:pPr>
                    <w:pStyle w:val="2"/>
                    <w:jc w:val="both"/>
                    <w:rPr>
                      <w:color w:val="auto"/>
                    </w:rPr>
                  </w:pPr>
                  <w:r>
                    <w:rPr>
                      <w:rFonts w:hint="eastAsia"/>
                      <w:color w:val="auto"/>
                    </w:rPr>
                    <w:t>①设备均设置在车间内，合理布局；②车间墙体为实砌墙体；③对设备进行经常性维护，保持设备处于良好的运转状态，同时加强内部管理，合理作业，避免不必要的突发性噪声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widowControl/>
                    <w:jc w:val="center"/>
                    <w:rPr>
                      <w:color w:val="auto"/>
                    </w:rPr>
                  </w:pPr>
                  <w:r>
                    <w:rPr>
                      <w:rFonts w:ascii="Times New Roman" w:hAnsi="Times New Roman" w:eastAsia="宋体" w:cs="Times New Roman"/>
                      <w:color w:val="auto"/>
                      <w:kern w:val="0"/>
                      <w:szCs w:val="21"/>
                    </w:rPr>
                    <w:t>2</w:t>
                  </w:r>
                </w:p>
              </w:tc>
              <w:tc>
                <w:tcPr>
                  <w:tcW w:w="1080" w:type="dxa"/>
                  <w:tcBorders>
                    <w:tl2br w:val="nil"/>
                    <w:tr2bl w:val="nil"/>
                  </w:tcBorders>
                  <w:vAlign w:val="center"/>
                </w:tcPr>
                <w:p>
                  <w:pPr>
                    <w:pStyle w:val="2"/>
                    <w:jc w:val="center"/>
                    <w:rPr>
                      <w:color w:val="auto"/>
                    </w:rPr>
                  </w:pPr>
                  <w:r>
                    <w:rPr>
                      <w:rFonts w:hint="eastAsia" w:ascii="宋体" w:hAnsi="宋体" w:eastAsia="宋体" w:cs="宋体"/>
                      <w:color w:val="auto"/>
                      <w:kern w:val="0"/>
                      <w:szCs w:val="21"/>
                    </w:rPr>
                    <w:t>挤塑机</w:t>
                  </w:r>
                </w:p>
              </w:tc>
              <w:tc>
                <w:tcPr>
                  <w:tcW w:w="1476" w:type="dxa"/>
                  <w:tcBorders>
                    <w:tl2br w:val="nil"/>
                    <w:tr2bl w:val="nil"/>
                  </w:tcBorders>
                  <w:vAlign w:val="center"/>
                </w:tcPr>
                <w:p>
                  <w:pPr>
                    <w:widowControl/>
                    <w:jc w:val="center"/>
                    <w:rPr>
                      <w:color w:val="auto"/>
                    </w:rPr>
                  </w:pPr>
                  <w:r>
                    <w:rPr>
                      <w:rFonts w:ascii="Times New Roman" w:hAnsi="Times New Roman" w:eastAsia="宋体" w:cs="Times New Roman"/>
                      <w:color w:val="auto"/>
                      <w:kern w:val="0"/>
                      <w:szCs w:val="21"/>
                    </w:rPr>
                    <w:t>70-75</w:t>
                  </w:r>
                </w:p>
              </w:tc>
              <w:tc>
                <w:tcPr>
                  <w:tcW w:w="1152" w:type="dxa"/>
                  <w:tcBorders>
                    <w:tl2br w:val="nil"/>
                    <w:tr2bl w:val="nil"/>
                  </w:tcBorders>
                  <w:vAlign w:val="center"/>
                </w:tcPr>
                <w:p>
                  <w:pPr>
                    <w:widowControl/>
                    <w:jc w:val="center"/>
                    <w:rPr>
                      <w:color w:val="auto"/>
                    </w:rPr>
                  </w:pPr>
                  <w:r>
                    <w:rPr>
                      <w:rFonts w:ascii="Times New Roman" w:hAnsi="Times New Roman" w:eastAsia="宋体" w:cs="Times New Roman"/>
                      <w:color w:val="auto"/>
                      <w:kern w:val="0"/>
                      <w:szCs w:val="21"/>
                    </w:rPr>
                    <w:t>1</w:t>
                  </w:r>
                </w:p>
              </w:tc>
              <w:tc>
                <w:tcPr>
                  <w:tcW w:w="1416" w:type="dxa"/>
                  <w:vMerge w:val="continue"/>
                  <w:tcBorders>
                    <w:tl2br w:val="nil"/>
                    <w:tr2bl w:val="nil"/>
                  </w:tcBorders>
                  <w:vAlign w:val="center"/>
                </w:tcPr>
                <w:p>
                  <w:pPr>
                    <w:widowControl/>
                    <w:jc w:val="center"/>
                    <w:rPr>
                      <w:rFonts w:ascii="Times New Roman" w:hAnsi="Times New Roman" w:eastAsia="宋体" w:cs="Times New Roman"/>
                      <w:color w:val="auto"/>
                      <w:kern w:val="0"/>
                      <w:szCs w:val="21"/>
                    </w:rPr>
                  </w:pPr>
                </w:p>
              </w:tc>
              <w:tc>
                <w:tcPr>
                  <w:tcW w:w="2052" w:type="dxa"/>
                  <w:vMerge w:val="continue"/>
                  <w:tcBorders>
                    <w:tl2br w:val="nil"/>
                    <w:tr2bl w:val="nil"/>
                  </w:tcBorders>
                  <w:vAlign w:val="center"/>
                </w:tcPr>
                <w:p>
                  <w:pPr>
                    <w:widowControl/>
                    <w:jc w:val="center"/>
                    <w:rPr>
                      <w:rFonts w:ascii="Times New Roman" w:hAnsi="Times New Roman" w:eastAsia="宋体"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3</w:t>
                  </w:r>
                </w:p>
              </w:tc>
              <w:tc>
                <w:tcPr>
                  <w:tcW w:w="1080" w:type="dxa"/>
                  <w:tcBorders>
                    <w:tl2br w:val="nil"/>
                    <w:tr2bl w:val="nil"/>
                  </w:tcBorders>
                  <w:vAlign w:val="center"/>
                </w:tcPr>
                <w:p>
                  <w:pPr>
                    <w:pStyle w:val="2"/>
                    <w:jc w:val="center"/>
                    <w:rPr>
                      <w:color w:val="auto"/>
                    </w:rPr>
                  </w:pPr>
                  <w:r>
                    <w:rPr>
                      <w:rFonts w:hint="eastAsia"/>
                      <w:color w:val="auto"/>
                    </w:rPr>
                    <w:t>切割机</w:t>
                  </w:r>
                </w:p>
              </w:tc>
              <w:tc>
                <w:tcPr>
                  <w:tcW w:w="1476" w:type="dxa"/>
                  <w:tcBorders>
                    <w:tl2br w:val="nil"/>
                    <w:tr2bl w:val="nil"/>
                  </w:tcBorders>
                  <w:vAlign w:val="center"/>
                </w:tcPr>
                <w:p>
                  <w:pPr>
                    <w:pStyle w:val="2"/>
                    <w:jc w:val="center"/>
                    <w:rPr>
                      <w:color w:val="auto"/>
                    </w:rPr>
                  </w:pPr>
                  <w:r>
                    <w:rPr>
                      <w:rFonts w:hint="eastAsia"/>
                      <w:color w:val="auto"/>
                    </w:rPr>
                    <w:t>80-90</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4</w:t>
                  </w:r>
                </w:p>
              </w:tc>
              <w:tc>
                <w:tcPr>
                  <w:tcW w:w="1080" w:type="dxa"/>
                  <w:tcBorders>
                    <w:tl2br w:val="nil"/>
                    <w:tr2bl w:val="nil"/>
                  </w:tcBorders>
                  <w:vAlign w:val="center"/>
                </w:tcPr>
                <w:p>
                  <w:pPr>
                    <w:pStyle w:val="2"/>
                    <w:jc w:val="center"/>
                    <w:rPr>
                      <w:color w:val="auto"/>
                    </w:rPr>
                  </w:pPr>
                  <w:r>
                    <w:rPr>
                      <w:rFonts w:hint="eastAsia"/>
                      <w:color w:val="auto"/>
                    </w:rPr>
                    <w:t>压花机</w:t>
                  </w:r>
                </w:p>
              </w:tc>
              <w:tc>
                <w:tcPr>
                  <w:tcW w:w="1476" w:type="dxa"/>
                  <w:tcBorders>
                    <w:tl2br w:val="nil"/>
                    <w:tr2bl w:val="nil"/>
                  </w:tcBorders>
                  <w:vAlign w:val="center"/>
                </w:tcPr>
                <w:p>
                  <w:pPr>
                    <w:pStyle w:val="2"/>
                    <w:jc w:val="center"/>
                    <w:rPr>
                      <w:color w:val="auto"/>
                    </w:rPr>
                  </w:pPr>
                  <w:r>
                    <w:rPr>
                      <w:rFonts w:hint="eastAsia"/>
                      <w:color w:val="auto"/>
                    </w:rPr>
                    <w:t>70-75</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5" w:type="dxa"/>
                  <w:tcBorders>
                    <w:tl2br w:val="nil"/>
                    <w:tr2bl w:val="nil"/>
                  </w:tcBorders>
                  <w:vAlign w:val="center"/>
                </w:tcPr>
                <w:p>
                  <w:pPr>
                    <w:pStyle w:val="2"/>
                    <w:jc w:val="center"/>
                    <w:rPr>
                      <w:color w:val="auto"/>
                    </w:rPr>
                  </w:pPr>
                  <w:r>
                    <w:rPr>
                      <w:rFonts w:hint="eastAsia"/>
                      <w:color w:val="auto"/>
                    </w:rPr>
                    <w:t>5</w:t>
                  </w:r>
                </w:p>
              </w:tc>
              <w:tc>
                <w:tcPr>
                  <w:tcW w:w="1080" w:type="dxa"/>
                  <w:tcBorders>
                    <w:tl2br w:val="nil"/>
                    <w:tr2bl w:val="nil"/>
                  </w:tcBorders>
                  <w:vAlign w:val="center"/>
                </w:tcPr>
                <w:p>
                  <w:pPr>
                    <w:pStyle w:val="2"/>
                    <w:jc w:val="center"/>
                    <w:rPr>
                      <w:color w:val="auto"/>
                    </w:rPr>
                  </w:pPr>
                  <w:r>
                    <w:rPr>
                      <w:rFonts w:hint="eastAsia"/>
                      <w:color w:val="auto"/>
                    </w:rPr>
                    <w:t>冷却塔</w:t>
                  </w:r>
                </w:p>
              </w:tc>
              <w:tc>
                <w:tcPr>
                  <w:tcW w:w="1476" w:type="dxa"/>
                  <w:tcBorders>
                    <w:tl2br w:val="nil"/>
                    <w:tr2bl w:val="nil"/>
                  </w:tcBorders>
                  <w:vAlign w:val="center"/>
                </w:tcPr>
                <w:p>
                  <w:pPr>
                    <w:pStyle w:val="2"/>
                    <w:jc w:val="center"/>
                    <w:rPr>
                      <w:color w:val="auto"/>
                    </w:rPr>
                  </w:pPr>
                  <w:r>
                    <w:rPr>
                      <w:rFonts w:hint="eastAsia"/>
                      <w:color w:val="auto"/>
                    </w:rPr>
                    <w:t>---</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6</w:t>
                  </w:r>
                </w:p>
              </w:tc>
              <w:tc>
                <w:tcPr>
                  <w:tcW w:w="1080" w:type="dxa"/>
                  <w:tcBorders>
                    <w:tl2br w:val="nil"/>
                    <w:tr2bl w:val="nil"/>
                  </w:tcBorders>
                  <w:vAlign w:val="center"/>
                </w:tcPr>
                <w:p>
                  <w:pPr>
                    <w:pStyle w:val="2"/>
                    <w:jc w:val="center"/>
                    <w:rPr>
                      <w:color w:val="auto"/>
                    </w:rPr>
                  </w:pPr>
                  <w:r>
                    <w:rPr>
                      <w:rFonts w:hint="eastAsia"/>
                      <w:color w:val="auto"/>
                    </w:rPr>
                    <w:t>回料机</w:t>
                  </w:r>
                </w:p>
              </w:tc>
              <w:tc>
                <w:tcPr>
                  <w:tcW w:w="1476" w:type="dxa"/>
                  <w:tcBorders>
                    <w:tl2br w:val="nil"/>
                    <w:tr2bl w:val="nil"/>
                  </w:tcBorders>
                  <w:vAlign w:val="center"/>
                </w:tcPr>
                <w:p>
                  <w:pPr>
                    <w:pStyle w:val="2"/>
                    <w:jc w:val="center"/>
                    <w:rPr>
                      <w:color w:val="auto"/>
                    </w:rPr>
                  </w:pPr>
                  <w:r>
                    <w:rPr>
                      <w:rFonts w:ascii="Times New Roman" w:hAnsi="Times New Roman" w:eastAsia="宋体" w:cs="Times New Roman"/>
                      <w:color w:val="auto"/>
                      <w:kern w:val="0"/>
                      <w:szCs w:val="21"/>
                    </w:rPr>
                    <w:t>70-75</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7</w:t>
                  </w:r>
                </w:p>
              </w:tc>
              <w:tc>
                <w:tcPr>
                  <w:tcW w:w="1080" w:type="dxa"/>
                  <w:tcBorders>
                    <w:tl2br w:val="nil"/>
                    <w:tr2bl w:val="nil"/>
                  </w:tcBorders>
                  <w:vAlign w:val="center"/>
                </w:tcPr>
                <w:p>
                  <w:pPr>
                    <w:pStyle w:val="2"/>
                    <w:jc w:val="center"/>
                    <w:rPr>
                      <w:color w:val="auto"/>
                    </w:rPr>
                  </w:pPr>
                  <w:r>
                    <w:rPr>
                      <w:rFonts w:hint="eastAsia"/>
                      <w:color w:val="auto"/>
                    </w:rPr>
                    <w:t>破碎机</w:t>
                  </w:r>
                </w:p>
              </w:tc>
              <w:tc>
                <w:tcPr>
                  <w:tcW w:w="1476" w:type="dxa"/>
                  <w:tcBorders>
                    <w:tl2br w:val="nil"/>
                    <w:tr2bl w:val="nil"/>
                  </w:tcBorders>
                  <w:vAlign w:val="center"/>
                </w:tcPr>
                <w:p>
                  <w:pPr>
                    <w:pStyle w:val="2"/>
                    <w:jc w:val="center"/>
                    <w:rPr>
                      <w:color w:val="auto"/>
                    </w:rPr>
                  </w:pPr>
                  <w:r>
                    <w:rPr>
                      <w:rFonts w:ascii="Times New Roman" w:hAnsi="Times New Roman" w:eastAsia="宋体" w:cs="Times New Roman"/>
                      <w:color w:val="auto"/>
                      <w:kern w:val="0"/>
                      <w:szCs w:val="21"/>
                    </w:rPr>
                    <w:t>70-75</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2"/>
                    <w:jc w:val="center"/>
                    <w:rPr>
                      <w:color w:val="auto"/>
                    </w:rPr>
                  </w:pPr>
                  <w:r>
                    <w:rPr>
                      <w:rFonts w:hint="eastAsia"/>
                      <w:color w:val="auto"/>
                    </w:rPr>
                    <w:t>8</w:t>
                  </w:r>
                </w:p>
              </w:tc>
              <w:tc>
                <w:tcPr>
                  <w:tcW w:w="1080" w:type="dxa"/>
                  <w:tcBorders>
                    <w:tl2br w:val="nil"/>
                    <w:tr2bl w:val="nil"/>
                  </w:tcBorders>
                  <w:vAlign w:val="center"/>
                </w:tcPr>
                <w:p>
                  <w:pPr>
                    <w:pStyle w:val="2"/>
                    <w:jc w:val="center"/>
                    <w:rPr>
                      <w:color w:val="auto"/>
                    </w:rPr>
                  </w:pPr>
                  <w:r>
                    <w:rPr>
                      <w:rFonts w:hint="eastAsia"/>
                      <w:color w:val="auto"/>
                    </w:rPr>
                    <w:t>风机</w:t>
                  </w:r>
                </w:p>
              </w:tc>
              <w:tc>
                <w:tcPr>
                  <w:tcW w:w="1476" w:type="dxa"/>
                  <w:tcBorders>
                    <w:tl2br w:val="nil"/>
                    <w:tr2bl w:val="nil"/>
                  </w:tcBorders>
                  <w:vAlign w:val="center"/>
                </w:tcPr>
                <w:p>
                  <w:pPr>
                    <w:pStyle w:val="2"/>
                    <w:jc w:val="center"/>
                    <w:rPr>
                      <w:color w:val="auto"/>
                    </w:rPr>
                  </w:pPr>
                  <w:r>
                    <w:rPr>
                      <w:rFonts w:ascii="Times New Roman" w:hAnsi="Times New Roman" w:eastAsia="宋体" w:cs="Times New Roman"/>
                      <w:color w:val="auto"/>
                      <w:kern w:val="0"/>
                      <w:szCs w:val="21"/>
                    </w:rPr>
                    <w:t>70-75</w:t>
                  </w:r>
                </w:p>
              </w:tc>
              <w:tc>
                <w:tcPr>
                  <w:tcW w:w="1152" w:type="dxa"/>
                  <w:tcBorders>
                    <w:tl2br w:val="nil"/>
                    <w:tr2bl w:val="nil"/>
                  </w:tcBorders>
                  <w:vAlign w:val="center"/>
                </w:tcPr>
                <w:p>
                  <w:pPr>
                    <w:pStyle w:val="2"/>
                    <w:jc w:val="center"/>
                    <w:rPr>
                      <w:color w:val="auto"/>
                    </w:rPr>
                  </w:pPr>
                  <w:r>
                    <w:rPr>
                      <w:rFonts w:hint="eastAsia"/>
                      <w:color w:val="auto"/>
                    </w:rPr>
                    <w:t>1</w:t>
                  </w:r>
                </w:p>
              </w:tc>
              <w:tc>
                <w:tcPr>
                  <w:tcW w:w="1416" w:type="dxa"/>
                  <w:vMerge w:val="continue"/>
                  <w:tcBorders>
                    <w:tl2br w:val="nil"/>
                    <w:tr2bl w:val="nil"/>
                  </w:tcBorders>
                  <w:vAlign w:val="center"/>
                </w:tcPr>
                <w:p>
                  <w:pPr>
                    <w:pStyle w:val="2"/>
                    <w:jc w:val="center"/>
                    <w:rPr>
                      <w:rFonts w:hint="eastAsia"/>
                      <w:color w:val="auto"/>
                    </w:rPr>
                  </w:pPr>
                </w:p>
              </w:tc>
              <w:tc>
                <w:tcPr>
                  <w:tcW w:w="2052" w:type="dxa"/>
                  <w:vMerge w:val="continue"/>
                  <w:tcBorders>
                    <w:tl2br w:val="nil"/>
                    <w:tr2bl w:val="nil"/>
                  </w:tcBorders>
                  <w:vAlign w:val="center"/>
                </w:tcPr>
                <w:p>
                  <w:pPr>
                    <w:pStyle w:val="2"/>
                    <w:jc w:val="center"/>
                    <w:rPr>
                      <w:color w:val="auto"/>
                    </w:rPr>
                  </w:pPr>
                </w:p>
              </w:tc>
            </w:tr>
          </w:tbl>
          <w:p>
            <w:pPr>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建设单位针对噪声产生特点，采取措施为：①设备均设置在车间内，合理布局；②车间墙体为实砌墙体；③对设备进行经常性维护，保持设备处于良好的运转状态，同时加强内部管理，合理作业，避免不必要的突发性噪声；④水泵、风机设置隔声罩。经采取相应的隔声、降噪等防治措施后，再通过建筑物的隔声和距离衰减，厂界噪声能达GB12348-2008《工业企业厂界环境噪声排放标准》表1中3类标准，即昼间（6:00-22:00）≤65B(A)；夜间（22:00-次日6:00）≤55dB(A</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经现场查勘，项目周边50m评价范围内主要为工业厂房，无噪声敏感点</w:t>
            </w:r>
            <w:r>
              <w:rPr>
                <w:rFonts w:ascii="宋体" w:hAnsi="宋体" w:eastAsia="宋体"/>
                <w:color w:val="auto"/>
                <w:szCs w:val="21"/>
              </w:rPr>
              <w:t>。</w:t>
            </w:r>
          </w:p>
          <w:p>
            <w:pPr>
              <w:spacing w:line="360" w:lineRule="auto"/>
              <w:rPr>
                <w:rFonts w:ascii="宋体" w:hAnsi="宋体" w:eastAsia="宋体"/>
                <w:b/>
                <w:bCs/>
                <w:color w:val="auto"/>
                <w:szCs w:val="21"/>
              </w:rPr>
            </w:pPr>
            <w:r>
              <w:rPr>
                <w:rFonts w:hint="eastAsia" w:ascii="Times New Roman" w:hAnsi="Times New Roman" w:eastAsia="宋体"/>
                <w:b/>
                <w:bCs/>
                <w:color w:val="auto"/>
                <w:szCs w:val="21"/>
              </w:rPr>
              <w:t>2</w:t>
            </w:r>
            <w:r>
              <w:rPr>
                <w:rFonts w:ascii="Times New Roman" w:hAnsi="Times New Roman" w:eastAsia="Times New Roman"/>
                <w:b/>
                <w:bCs/>
                <w:color w:val="auto"/>
                <w:szCs w:val="21"/>
              </w:rPr>
              <w:t>）</w:t>
            </w:r>
            <w:r>
              <w:rPr>
                <w:rFonts w:ascii="宋体" w:hAnsi="宋体" w:eastAsia="宋体"/>
                <w:b/>
                <w:bCs/>
                <w:color w:val="auto"/>
                <w:szCs w:val="21"/>
              </w:rPr>
              <w:t>噪声评价结论</w:t>
            </w:r>
          </w:p>
          <w:p>
            <w:pPr>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综上所述，项目噪声源强经采取设备基础减震、厂房及建筑材料隔声、吸声等降噪措施后，再经距离衰减，噪声对周围声环境影响可控。为了确保噪声控制措施有效运行，建议项目运行后，对声环境进行定期监测</w:t>
            </w:r>
            <w:r>
              <w:rPr>
                <w:rFonts w:ascii="宋体" w:hAnsi="宋体" w:eastAsia="宋体"/>
                <w:color w:val="auto"/>
                <w:szCs w:val="21"/>
              </w:rPr>
              <w:t>。</w:t>
            </w:r>
          </w:p>
          <w:p>
            <w:pPr>
              <w:pStyle w:val="3"/>
              <w:numPr>
                <w:ilvl w:val="0"/>
                <w:numId w:val="0"/>
              </w:numPr>
              <w:spacing w:before="0" w:after="0" w:line="360" w:lineRule="auto"/>
              <w:ind w:left="578" w:leftChars="237" w:hanging="80" w:hangingChars="38"/>
              <w:rPr>
                <w:rFonts w:ascii="Times New Roman" w:hAnsi="Times New Roman"/>
                <w:bCs w:val="0"/>
                <w:sz w:val="21"/>
                <w:szCs w:val="21"/>
              </w:rPr>
            </w:pPr>
            <w:r>
              <w:rPr>
                <w:rFonts w:hint="eastAsia" w:ascii="Times New Roman" w:hAnsi="Times New Roman"/>
                <w:bCs w:val="0"/>
                <w:sz w:val="21"/>
                <w:szCs w:val="21"/>
                <w:lang w:val="en-US" w:eastAsia="zh-CN"/>
              </w:rPr>
              <w:t>噪声</w:t>
            </w:r>
            <w:r>
              <w:rPr>
                <w:rFonts w:ascii="Times New Roman" w:hAnsi="Times New Roman"/>
                <w:bCs w:val="0"/>
                <w:sz w:val="21"/>
                <w:szCs w:val="21"/>
              </w:rPr>
              <w:t>环境监测计划</w:t>
            </w:r>
          </w:p>
          <w:p>
            <w:pPr>
              <w:pStyle w:val="3"/>
              <w:numPr>
                <w:ilvl w:val="0"/>
                <w:numId w:val="0"/>
              </w:numPr>
              <w:spacing w:before="0" w:after="0" w:line="360" w:lineRule="auto"/>
              <w:ind w:firstLine="480" w:firstLineChars="200"/>
              <w:rPr>
                <w:rFonts w:ascii="Times New Roman" w:hAnsi="Times New Roman"/>
                <w:b w:val="0"/>
                <w:sz w:val="21"/>
                <w:szCs w:val="21"/>
                <w:u w:val="none"/>
              </w:rPr>
            </w:pPr>
            <w:r>
              <w:rPr>
                <w:rFonts w:hint="eastAsia" w:ascii="宋体" w:hAnsi="宋体" w:eastAsia="宋体" w:cstheme="minorBidi"/>
                <w:b w:val="0"/>
                <w:bCs w:val="0"/>
                <w:color w:val="auto"/>
                <w:kern w:val="2"/>
                <w:sz w:val="24"/>
                <w:szCs w:val="24"/>
                <w:u w:val="none"/>
                <w:lang w:val="en-US" w:eastAsia="zh-CN" w:bidi="ar-SA"/>
              </w:rPr>
              <w:t>依据《排污单位自行监测技术指南 总则》（HJ 819-2017）、《排污许可证申请与核发技术规范 总则》（HJ 942-2018），本项目运营期噪声监测计划如下表</w:t>
            </w:r>
            <w:r>
              <w:rPr>
                <w:rFonts w:ascii="Times New Roman" w:hAnsi="Times New Roman"/>
                <w:b w:val="0"/>
                <w:sz w:val="21"/>
                <w:szCs w:val="21"/>
                <w:u w:val="none"/>
              </w:rPr>
              <w:t>。</w:t>
            </w: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rPr>
              <w:t>表</w:t>
            </w:r>
            <w:r>
              <w:rPr>
                <w:rFonts w:hint="eastAsia" w:ascii="宋体" w:hAnsi="宋体" w:eastAsia="宋体"/>
                <w:b/>
                <w:bCs/>
                <w:color w:val="auto"/>
                <w:szCs w:val="21"/>
                <w:lang w:val="en-US" w:eastAsia="zh-CN"/>
              </w:rPr>
              <w:t>4-9</w:t>
            </w:r>
            <w:r>
              <w:rPr>
                <w:rFonts w:hint="eastAsia" w:ascii="宋体" w:hAnsi="宋体" w:eastAsia="宋体"/>
                <w:b/>
                <w:bCs/>
                <w:color w:val="auto"/>
                <w:szCs w:val="21"/>
              </w:rPr>
              <w:t>营运期环境监测计划</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44"/>
              <w:gridCol w:w="1681"/>
              <w:gridCol w:w="1293"/>
              <w:gridCol w:w="2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项目名称</w:t>
                  </w:r>
                </w:p>
              </w:tc>
              <w:tc>
                <w:tcPr>
                  <w:tcW w:w="1170"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监测点</w:t>
                  </w:r>
                </w:p>
              </w:tc>
              <w:tc>
                <w:tcPr>
                  <w:tcW w:w="1722"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监测项目</w:t>
                  </w:r>
                </w:p>
              </w:tc>
              <w:tc>
                <w:tcPr>
                  <w:tcW w:w="1323"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监测频次</w:t>
                  </w:r>
                </w:p>
              </w:tc>
              <w:tc>
                <w:tcPr>
                  <w:tcW w:w="2909"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eastAsia="宋体"/>
                      <w:sz w:val="21"/>
                      <w:szCs w:val="21"/>
                      <w:u w:val="none"/>
                    </w:rPr>
                    <w:t>噪声</w:t>
                  </w:r>
                </w:p>
              </w:tc>
              <w:tc>
                <w:tcPr>
                  <w:tcW w:w="1170"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hint="eastAsia" w:eastAsia="宋体"/>
                      <w:sz w:val="21"/>
                      <w:szCs w:val="21"/>
                      <w:u w:val="none"/>
                    </w:rPr>
                    <w:t>厂区四侧厂界外1 m处</w:t>
                  </w:r>
                </w:p>
              </w:tc>
              <w:tc>
                <w:tcPr>
                  <w:tcW w:w="1722" w:type="dxa"/>
                  <w:tcBorders>
                    <w:tl2br w:val="nil"/>
                    <w:tr2bl w:val="nil"/>
                  </w:tcBorders>
                  <w:noWrap w:val="0"/>
                  <w:vAlign w:val="center"/>
                </w:tcPr>
                <w:p>
                  <w:pPr>
                    <w:topLinePunct/>
                    <w:spacing w:before="62" w:beforeLines="20" w:after="62" w:afterLines="20"/>
                    <w:ind w:left="-105" w:leftChars="-50" w:right="-105" w:rightChars="-50"/>
                    <w:jc w:val="center"/>
                    <w:rPr>
                      <w:rFonts w:eastAsia="宋体"/>
                      <w:bCs/>
                      <w:sz w:val="21"/>
                      <w:szCs w:val="21"/>
                      <w:u w:val="none"/>
                    </w:rPr>
                  </w:pPr>
                  <w:r>
                    <w:rPr>
                      <w:rFonts w:eastAsia="宋体"/>
                      <w:bCs/>
                      <w:sz w:val="21"/>
                      <w:szCs w:val="21"/>
                      <w:u w:val="none"/>
                    </w:rPr>
                    <w:t>连续等效</w:t>
                  </w:r>
                </w:p>
                <w:p>
                  <w:pPr>
                    <w:topLinePunct/>
                    <w:spacing w:before="62" w:beforeLines="20" w:after="62" w:afterLines="20"/>
                    <w:ind w:left="-105" w:leftChars="-50" w:right="-105" w:rightChars="-50"/>
                    <w:jc w:val="center"/>
                    <w:rPr>
                      <w:rFonts w:eastAsia="宋体"/>
                      <w:bCs/>
                      <w:sz w:val="21"/>
                      <w:szCs w:val="21"/>
                      <w:u w:val="none"/>
                    </w:rPr>
                  </w:pPr>
                  <w:r>
                    <w:rPr>
                      <w:rFonts w:eastAsia="宋体"/>
                      <w:bCs/>
                      <w:sz w:val="21"/>
                      <w:szCs w:val="21"/>
                      <w:u w:val="none"/>
                    </w:rPr>
                    <w:t>A声级</w:t>
                  </w:r>
                </w:p>
              </w:tc>
              <w:tc>
                <w:tcPr>
                  <w:tcW w:w="1323" w:type="dxa"/>
                  <w:tcBorders>
                    <w:tl2br w:val="nil"/>
                    <w:tr2bl w:val="nil"/>
                  </w:tcBorders>
                  <w:noWrap w:val="0"/>
                  <w:vAlign w:val="center"/>
                </w:tcPr>
                <w:p>
                  <w:pPr>
                    <w:topLinePunct/>
                    <w:spacing w:before="62" w:beforeLines="20" w:after="62" w:afterLines="20"/>
                    <w:ind w:left="-105" w:leftChars="-50" w:right="-105" w:rightChars="-50"/>
                    <w:jc w:val="center"/>
                    <w:rPr>
                      <w:rFonts w:eastAsia="宋体"/>
                      <w:sz w:val="21"/>
                      <w:szCs w:val="21"/>
                      <w:u w:val="none"/>
                    </w:rPr>
                  </w:pPr>
                  <w:r>
                    <w:rPr>
                      <w:rFonts w:hint="eastAsia" w:eastAsia="宋体"/>
                      <w:sz w:val="21"/>
                      <w:szCs w:val="21"/>
                      <w:u w:val="none"/>
                      <w:lang w:val="en-US" w:eastAsia="zh-CN"/>
                    </w:rPr>
                    <w:t>一</w:t>
                  </w:r>
                  <w:r>
                    <w:rPr>
                      <w:rFonts w:hint="eastAsia" w:eastAsia="宋体"/>
                      <w:sz w:val="21"/>
                      <w:szCs w:val="21"/>
                      <w:u w:val="none"/>
                    </w:rPr>
                    <w:t>次/半年</w:t>
                  </w:r>
                </w:p>
              </w:tc>
              <w:tc>
                <w:tcPr>
                  <w:tcW w:w="2909" w:type="dxa"/>
                  <w:tcBorders>
                    <w:tl2br w:val="nil"/>
                    <w:tr2bl w:val="nil"/>
                  </w:tcBorders>
                  <w:noWrap w:val="0"/>
                  <w:vAlign w:val="center"/>
                </w:tcPr>
                <w:p>
                  <w:pPr>
                    <w:adjustRightInd w:val="0"/>
                    <w:snapToGrid w:val="0"/>
                    <w:spacing w:before="62" w:beforeLines="20" w:after="62" w:afterLines="20"/>
                    <w:ind w:left="-105" w:leftChars="-50" w:right="-105" w:rightChars="-50"/>
                    <w:jc w:val="center"/>
                    <w:rPr>
                      <w:rFonts w:eastAsia="宋体"/>
                      <w:sz w:val="21"/>
                      <w:szCs w:val="21"/>
                      <w:u w:val="none"/>
                    </w:rPr>
                  </w:pPr>
                  <w:r>
                    <w:rPr>
                      <w:rFonts w:eastAsia="宋体"/>
                      <w:sz w:val="21"/>
                      <w:szCs w:val="21"/>
                      <w:u w:val="none"/>
                    </w:rPr>
                    <w:t>执行《工业企业厂界噪声排放标准》(GB12348-2008)3类标准</w:t>
                  </w:r>
                </w:p>
              </w:tc>
            </w:tr>
          </w:tbl>
          <w:p>
            <w:pPr>
              <w:pStyle w:val="6"/>
              <w:jc w:val="both"/>
              <w:rPr>
                <w:rFonts w:ascii="Times New Roman" w:hAnsi="Times New Roman" w:eastAsia="Times New Roman"/>
                <w:color w:val="auto"/>
                <w:sz w:val="21"/>
                <w:szCs w:val="21"/>
              </w:rPr>
            </w:pPr>
            <w:r>
              <w:rPr>
                <w:rFonts w:ascii="Times New Roman" w:hAnsi="Times New Roman" w:eastAsia="Times New Roman"/>
                <w:color w:val="auto"/>
                <w:sz w:val="21"/>
                <w:szCs w:val="21"/>
              </w:rPr>
              <w:t>4、固体废物的环境影响分析</w:t>
            </w:r>
          </w:p>
          <w:p>
            <w:pPr>
              <w:snapToGrid w:val="0"/>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项目运营期间产生的固废主要为废塑料、布袋除尘器收集的粉尘、废包装材料、废活性炭</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废灯管</w:t>
            </w:r>
            <w:r>
              <w:rPr>
                <w:rFonts w:hint="eastAsia" w:ascii="宋体" w:hAnsi="宋体" w:eastAsia="宋体"/>
                <w:color w:val="auto"/>
                <w:sz w:val="24"/>
                <w:szCs w:val="24"/>
              </w:rPr>
              <w:t>以及职工生活垃圾等</w:t>
            </w:r>
            <w:r>
              <w:rPr>
                <w:rFonts w:ascii="宋体" w:hAnsi="宋体" w:eastAsia="宋体"/>
                <w:color w:val="auto"/>
                <w:szCs w:val="21"/>
              </w:rPr>
              <w:t>。</w:t>
            </w:r>
          </w:p>
          <w:p>
            <w:pPr>
              <w:spacing w:line="360" w:lineRule="auto"/>
              <w:rPr>
                <w:rFonts w:ascii="宋体" w:hAnsi="宋体" w:eastAsia="宋体"/>
                <w:b/>
                <w:bCs/>
                <w:color w:val="auto"/>
                <w:sz w:val="24"/>
                <w:szCs w:val="24"/>
              </w:rPr>
            </w:pPr>
            <w:r>
              <w:rPr>
                <w:rFonts w:ascii="宋体" w:hAnsi="宋体" w:eastAsia="宋体"/>
                <w:b/>
                <w:bCs/>
                <w:color w:val="auto"/>
                <w:sz w:val="24"/>
                <w:szCs w:val="24"/>
              </w:rPr>
              <w:t>①</w:t>
            </w:r>
            <w:r>
              <w:rPr>
                <w:rFonts w:hint="eastAsia" w:ascii="宋体" w:hAnsi="宋体" w:eastAsia="宋体"/>
                <w:b/>
                <w:bCs/>
                <w:color w:val="auto"/>
                <w:sz w:val="24"/>
                <w:szCs w:val="24"/>
              </w:rPr>
              <w:t>废塑料</w:t>
            </w:r>
          </w:p>
          <w:p>
            <w:pPr>
              <w:snapToGrid w:val="0"/>
              <w:spacing w:line="360" w:lineRule="auto"/>
              <w:ind w:firstLine="480" w:firstLineChars="200"/>
              <w:rPr>
                <w:rFonts w:ascii="Times New Roman" w:hAnsi="Times New Roman" w:eastAsia="Times New Roman"/>
                <w:color w:val="auto"/>
                <w:sz w:val="24"/>
                <w:szCs w:val="24"/>
              </w:rPr>
            </w:pPr>
            <w:r>
              <w:rPr>
                <w:rFonts w:hint="eastAsia" w:ascii="宋体" w:hAnsi="宋体" w:eastAsia="宋体"/>
                <w:color w:val="auto"/>
                <w:sz w:val="24"/>
                <w:szCs w:val="24"/>
              </w:rPr>
              <w:t>根据业主提供资料，项目废塑料产生量约为100t/a，集中收集后重新破碎作为原材料</w:t>
            </w:r>
            <w:r>
              <w:rPr>
                <w:rFonts w:ascii="Times New Roman" w:hAnsi="Times New Roman" w:eastAsia="Times New Roman"/>
                <w:color w:val="auto"/>
                <w:sz w:val="24"/>
                <w:szCs w:val="24"/>
              </w:rPr>
              <w:t>。</w:t>
            </w:r>
          </w:p>
          <w:p>
            <w:pPr>
              <w:spacing w:line="360" w:lineRule="auto"/>
              <w:rPr>
                <w:rFonts w:ascii="宋体" w:hAnsi="宋体" w:eastAsia="宋体"/>
                <w:b/>
                <w:bCs/>
                <w:color w:val="auto"/>
                <w:sz w:val="24"/>
                <w:szCs w:val="24"/>
              </w:rPr>
            </w:pPr>
            <w:r>
              <w:rPr>
                <w:rFonts w:ascii="宋体" w:hAnsi="宋体" w:eastAsia="宋体"/>
                <w:b/>
                <w:bCs/>
                <w:color w:val="auto"/>
                <w:sz w:val="24"/>
                <w:szCs w:val="24"/>
              </w:rPr>
              <w:t>②</w:t>
            </w:r>
            <w:r>
              <w:rPr>
                <w:rFonts w:hint="eastAsia" w:ascii="宋体" w:hAnsi="宋体" w:eastAsia="宋体"/>
                <w:b/>
                <w:bCs/>
                <w:color w:val="auto"/>
                <w:sz w:val="24"/>
                <w:szCs w:val="24"/>
              </w:rPr>
              <w:t>布袋除尘器收集的粉尘</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根据大气污染源计算可知，项目收集的粉尘为</w:t>
            </w:r>
            <w:r>
              <w:rPr>
                <w:rFonts w:hint="eastAsia" w:ascii="宋体" w:hAnsi="宋体" w:eastAsia="宋体"/>
                <w:color w:val="auto"/>
                <w:sz w:val="24"/>
                <w:szCs w:val="24"/>
                <w:lang w:eastAsia="zh-CN"/>
              </w:rPr>
              <w:t>8.1</w:t>
            </w:r>
            <w:r>
              <w:rPr>
                <w:rFonts w:hint="eastAsia" w:ascii="宋体" w:hAnsi="宋体" w:eastAsia="宋体"/>
                <w:color w:val="auto"/>
                <w:sz w:val="24"/>
                <w:szCs w:val="24"/>
              </w:rPr>
              <w:t>t/a，集中收集后外售</w:t>
            </w:r>
            <w:r>
              <w:rPr>
                <w:rFonts w:ascii="宋体" w:hAnsi="宋体" w:eastAsia="宋体"/>
                <w:color w:val="auto"/>
                <w:sz w:val="24"/>
                <w:szCs w:val="24"/>
              </w:rPr>
              <w:t>。</w:t>
            </w:r>
          </w:p>
          <w:p>
            <w:pPr>
              <w:spacing w:line="360" w:lineRule="auto"/>
              <w:rPr>
                <w:rFonts w:ascii="宋体" w:hAnsi="宋体" w:eastAsia="宋体"/>
                <w:b/>
                <w:bCs/>
                <w:color w:val="auto"/>
                <w:sz w:val="24"/>
                <w:szCs w:val="24"/>
              </w:rPr>
            </w:pPr>
            <w:r>
              <w:rPr>
                <w:rFonts w:ascii="宋体" w:hAnsi="宋体" w:eastAsia="宋体"/>
                <w:b/>
                <w:bCs/>
                <w:color w:val="auto"/>
                <w:sz w:val="24"/>
                <w:szCs w:val="24"/>
              </w:rPr>
              <w:t>③</w:t>
            </w:r>
            <w:r>
              <w:rPr>
                <w:rFonts w:hint="eastAsia" w:ascii="宋体" w:hAnsi="宋体" w:eastAsia="宋体"/>
                <w:b/>
                <w:bCs/>
                <w:color w:val="auto"/>
                <w:sz w:val="24"/>
                <w:szCs w:val="24"/>
              </w:rPr>
              <w:t>废包装材料</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根据业主提供资料，项目废包装材料产生量约为0.65t/a，集中收集后外售</w:t>
            </w:r>
            <w:r>
              <w:rPr>
                <w:rFonts w:ascii="宋体" w:hAnsi="宋体" w:eastAsia="宋体"/>
                <w:color w:val="auto"/>
                <w:sz w:val="24"/>
                <w:szCs w:val="24"/>
              </w:rPr>
              <w:t>。</w:t>
            </w:r>
          </w:p>
          <w:p>
            <w:pPr>
              <w:spacing w:line="360" w:lineRule="auto"/>
              <w:rPr>
                <w:rFonts w:ascii="宋体" w:hAnsi="宋体" w:eastAsia="宋体"/>
                <w:b/>
                <w:bCs/>
                <w:color w:val="auto"/>
                <w:sz w:val="24"/>
                <w:szCs w:val="24"/>
              </w:rPr>
            </w:pPr>
            <w:r>
              <w:rPr>
                <w:rFonts w:ascii="宋体" w:hAnsi="宋体" w:eastAsia="宋体"/>
                <w:b/>
                <w:bCs/>
                <w:color w:val="auto"/>
                <w:sz w:val="24"/>
                <w:szCs w:val="24"/>
              </w:rPr>
              <w:t>④</w:t>
            </w:r>
            <w:r>
              <w:rPr>
                <w:rFonts w:hint="eastAsia" w:ascii="宋体" w:hAnsi="宋体" w:eastAsia="宋体"/>
                <w:b/>
                <w:bCs/>
                <w:color w:val="auto"/>
                <w:sz w:val="24"/>
                <w:szCs w:val="24"/>
              </w:rPr>
              <w:t>废活性炭</w:t>
            </w:r>
          </w:p>
          <w:p>
            <w:pPr>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根据根据广东工业大学工程研究，活性炭吸附效率为250g/kg活性炭；《简明通风设计手册》P510页 有效吸附量：qe=0.24kg/kg。</w:t>
            </w:r>
            <w:r>
              <w:rPr>
                <w:rFonts w:hint="eastAsia" w:ascii="宋体" w:hAnsi="宋体" w:eastAsia="宋体"/>
                <w:color w:val="auto"/>
                <w:sz w:val="24"/>
                <w:szCs w:val="24"/>
                <w:u w:val="single"/>
              </w:rPr>
              <w:t>本项目经活性炭处理的有机废气量为</w:t>
            </w:r>
            <w:r>
              <w:rPr>
                <w:rFonts w:hint="eastAsia" w:ascii="宋体" w:hAnsi="宋体" w:eastAsia="宋体"/>
                <w:color w:val="auto"/>
                <w:sz w:val="24"/>
                <w:szCs w:val="24"/>
                <w:u w:val="single"/>
                <w:lang w:val="en-US" w:eastAsia="zh-CN"/>
              </w:rPr>
              <w:t>1.8124</w:t>
            </w:r>
            <w:r>
              <w:rPr>
                <w:rFonts w:hint="eastAsia" w:ascii="宋体" w:hAnsi="宋体" w:eastAsia="宋体"/>
                <w:color w:val="auto"/>
                <w:sz w:val="24"/>
                <w:szCs w:val="24"/>
                <w:u w:val="single"/>
              </w:rPr>
              <w:t>t/a，则废活性炭产生量为</w:t>
            </w:r>
            <w:r>
              <w:rPr>
                <w:rFonts w:hint="eastAsia" w:ascii="宋体" w:hAnsi="宋体" w:eastAsia="宋体"/>
                <w:color w:val="auto"/>
                <w:sz w:val="24"/>
                <w:szCs w:val="24"/>
                <w:u w:val="single"/>
                <w:lang w:val="en-US" w:eastAsia="zh-CN"/>
              </w:rPr>
              <w:t>7.56</w:t>
            </w:r>
            <w:r>
              <w:rPr>
                <w:rFonts w:hint="eastAsia" w:ascii="宋体" w:hAnsi="宋体" w:eastAsia="宋体"/>
                <w:color w:val="auto"/>
                <w:sz w:val="24"/>
                <w:szCs w:val="24"/>
                <w:u w:val="single"/>
              </w:rPr>
              <w:t>t/a，</w:t>
            </w:r>
            <w:r>
              <w:rPr>
                <w:rFonts w:hint="eastAsia" w:ascii="宋体" w:hAnsi="宋体" w:eastAsia="宋体"/>
                <w:color w:val="auto"/>
                <w:sz w:val="24"/>
                <w:szCs w:val="24"/>
                <w:u w:val="single"/>
                <w:lang w:val="en-US" w:eastAsia="zh-CN"/>
              </w:rPr>
              <w:t>废活性炭先收集储存于企业危废暂存间，暂存间面积10m³，然后</w:t>
            </w:r>
            <w:r>
              <w:rPr>
                <w:rFonts w:hint="eastAsia" w:ascii="宋体" w:hAnsi="宋体" w:eastAsia="宋体"/>
                <w:color w:val="auto"/>
                <w:sz w:val="24"/>
                <w:szCs w:val="24"/>
                <w:u w:val="single"/>
              </w:rPr>
              <w:t>交由有危险废物处理资质单位处理</w:t>
            </w:r>
            <w:r>
              <w:rPr>
                <w:rFonts w:ascii="宋体" w:hAnsi="宋体" w:eastAsia="宋体"/>
                <w:color w:val="auto"/>
                <w:szCs w:val="21"/>
              </w:rPr>
              <w:t>。</w:t>
            </w:r>
          </w:p>
          <w:p>
            <w:pPr>
              <w:spacing w:line="360" w:lineRule="auto"/>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⑤报废灯管</w:t>
            </w:r>
          </w:p>
          <w:p>
            <w:pPr>
              <w:snapToGri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rPr>
              <w:t>根据业主提供资料，项目</w:t>
            </w:r>
            <w:r>
              <w:rPr>
                <w:rFonts w:hint="eastAsia" w:ascii="宋体" w:hAnsi="宋体" w:eastAsia="宋体"/>
                <w:color w:val="auto"/>
                <w:sz w:val="24"/>
                <w:szCs w:val="24"/>
                <w:lang w:val="en-US" w:eastAsia="zh-CN"/>
              </w:rPr>
              <w:t>废灯管</w:t>
            </w:r>
            <w:r>
              <w:rPr>
                <w:rFonts w:hint="eastAsia" w:ascii="宋体" w:hAnsi="宋体" w:eastAsia="宋体"/>
                <w:color w:val="auto"/>
                <w:sz w:val="24"/>
                <w:szCs w:val="24"/>
              </w:rPr>
              <w:t>产生量约为0.</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t/a，</w:t>
            </w:r>
            <w:r>
              <w:rPr>
                <w:rFonts w:hint="eastAsia" w:ascii="宋体" w:hAnsi="宋体" w:eastAsia="宋体"/>
                <w:color w:val="auto"/>
                <w:sz w:val="24"/>
                <w:szCs w:val="24"/>
                <w:lang w:val="en-US" w:eastAsia="zh-CN"/>
              </w:rPr>
              <w:t>灯管更换由厂家进行，更换后的废灯管由厂家一起带走，不在厂区存储。</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本项目固废暂存场所应严格按照《危险废物贮存污染控制标准》（GB18597-2001）及修改单和《一般工业固体废物贮存、处置场污染控制标准》（GB18599-2001）及修改单的要求建设和维护使用</w:t>
            </w:r>
            <w:r>
              <w:rPr>
                <w:rFonts w:hint="eastAsia" w:ascii="宋体" w:hAnsi="宋体" w:eastAsia="宋体"/>
                <w:color w:val="auto"/>
                <w:sz w:val="24"/>
                <w:szCs w:val="24"/>
                <w:lang w:eastAsia="zh-CN"/>
              </w:rPr>
              <w:t>，</w:t>
            </w:r>
            <w:r>
              <w:rPr>
                <w:rFonts w:hint="eastAsia" w:ascii="宋体" w:hAnsi="宋体" w:eastAsia="宋体"/>
                <w:color w:val="auto"/>
                <w:sz w:val="24"/>
                <w:szCs w:val="24"/>
                <w:u w:val="single"/>
                <w:lang w:val="en-US" w:eastAsia="zh-CN"/>
              </w:rPr>
              <w:t>危废暂存间位于项目料仓西南角，面积10m³</w:t>
            </w:r>
            <w:r>
              <w:rPr>
                <w:rFonts w:hint="eastAsia" w:ascii="宋体" w:hAnsi="宋体" w:eastAsia="宋体"/>
                <w:color w:val="auto"/>
                <w:sz w:val="24"/>
                <w:szCs w:val="24"/>
              </w:rPr>
              <w:t>。做好该堆场防风、防雨、防晒、防渗漏等措施，并制定好固体废物特别是危险废物转移运输中的污染防范及事故应急措施。具体如下：</w:t>
            </w:r>
          </w:p>
          <w:p>
            <w:pPr>
              <w:snapToGrid w:val="0"/>
              <w:spacing w:line="360" w:lineRule="auto"/>
              <w:ind w:firstLine="480" w:firstLineChars="200"/>
              <w:rPr>
                <w:b/>
                <w:bCs/>
                <w:color w:val="auto"/>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1 \* GB3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①</w:t>
            </w:r>
            <w:r>
              <w:rPr>
                <w:rFonts w:hint="eastAsia" w:ascii="宋体" w:hAnsi="宋体" w:eastAsia="宋体"/>
                <w:color w:val="auto"/>
                <w:sz w:val="24"/>
                <w:szCs w:val="24"/>
              </w:rPr>
              <w:fldChar w:fldCharType="end"/>
            </w:r>
            <w:r>
              <w:rPr>
                <w:rFonts w:hint="eastAsia" w:ascii="宋体" w:hAnsi="宋体" w:eastAsia="宋体"/>
                <w:color w:val="auto"/>
                <w:sz w:val="24"/>
                <w:szCs w:val="24"/>
              </w:rPr>
              <w:t>收集、贮存、运输危险废物的设施、场所显著位置张贴危险废物的标识，根据《危险废物贮存污染控制标准》（GB18597-2001）</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2013修改单</w:t>
            </w:r>
            <w:r>
              <w:rPr>
                <w:rFonts w:hint="eastAsia" w:ascii="宋体" w:hAnsi="宋体" w:eastAsia="宋体"/>
                <w:color w:val="auto"/>
                <w:sz w:val="24"/>
                <w:szCs w:val="24"/>
                <w:lang w:eastAsia="zh-CN"/>
              </w:rPr>
              <w:t>）</w:t>
            </w:r>
            <w:r>
              <w:rPr>
                <w:rFonts w:hint="eastAsia" w:ascii="宋体" w:hAnsi="宋体" w:eastAsia="宋体"/>
                <w:color w:val="auto"/>
                <w:sz w:val="24"/>
                <w:szCs w:val="24"/>
              </w:rPr>
              <w:t>附录A、《环境保护图形标志-固体废物贮存（处置）场》（GB155622-1995）规定的所示标签设置危险废物标识，具体要求见表4-</w:t>
            </w:r>
            <w:r>
              <w:rPr>
                <w:rFonts w:hint="eastAsia" w:ascii="宋体" w:hAnsi="宋体" w:eastAsia="宋体"/>
                <w:color w:val="auto"/>
                <w:sz w:val="24"/>
                <w:szCs w:val="24"/>
                <w:lang w:val="en-US" w:eastAsia="zh-CN"/>
              </w:rPr>
              <w:t>11</w:t>
            </w:r>
            <w:r>
              <w:rPr>
                <w:rFonts w:hint="eastAsia" w:ascii="宋体" w:hAnsi="宋体" w:eastAsia="宋体" w:cs="宋体"/>
                <w:color w:val="auto"/>
              </w:rPr>
              <w:t>。</w:t>
            </w:r>
          </w:p>
          <w:p>
            <w:pPr>
              <w:spacing w:line="360" w:lineRule="auto"/>
              <w:jc w:val="center"/>
              <w:rPr>
                <w:rFonts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10</w:t>
            </w:r>
            <w:r>
              <w:rPr>
                <w:rFonts w:hint="eastAsia" w:ascii="宋体" w:hAnsi="宋体" w:eastAsia="宋体"/>
                <w:b/>
                <w:bCs/>
                <w:color w:val="auto"/>
                <w:szCs w:val="21"/>
              </w:rPr>
              <w:t>危险废物堆放场环境保护图形标志</w:t>
            </w:r>
          </w:p>
          <w:tbl>
            <w:tblPr>
              <w:tblStyle w:val="19"/>
              <w:tblW w:w="7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92"/>
              <w:gridCol w:w="1284"/>
              <w:gridCol w:w="1212"/>
              <w:gridCol w:w="1140"/>
              <w:gridCol w:w="2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tcBorders>
                    <w:tl2br w:val="nil"/>
                    <w:tr2bl w:val="nil"/>
                  </w:tcBorders>
                  <w:noWrap/>
                  <w:vAlign w:val="center"/>
                </w:tcPr>
                <w:p>
                  <w:pPr>
                    <w:jc w:val="center"/>
                    <w:rPr>
                      <w:rFonts w:eastAsia="宋体"/>
                      <w:color w:val="auto"/>
                      <w:szCs w:val="21"/>
                    </w:rPr>
                  </w:pPr>
                  <w:r>
                    <w:rPr>
                      <w:rFonts w:hAnsi="宋体" w:eastAsia="宋体"/>
                      <w:color w:val="auto"/>
                      <w:szCs w:val="21"/>
                    </w:rPr>
                    <w:t>排放口名称</w:t>
                  </w:r>
                </w:p>
              </w:tc>
              <w:tc>
                <w:tcPr>
                  <w:tcW w:w="1092" w:type="dxa"/>
                  <w:tcBorders>
                    <w:tl2br w:val="nil"/>
                    <w:tr2bl w:val="nil"/>
                  </w:tcBorders>
                  <w:noWrap/>
                  <w:vAlign w:val="center"/>
                </w:tcPr>
                <w:p>
                  <w:pPr>
                    <w:jc w:val="center"/>
                    <w:rPr>
                      <w:rFonts w:eastAsia="宋体"/>
                      <w:color w:val="auto"/>
                      <w:szCs w:val="21"/>
                    </w:rPr>
                  </w:pPr>
                  <w:r>
                    <w:rPr>
                      <w:rFonts w:hAnsi="宋体" w:eastAsia="宋体"/>
                      <w:color w:val="auto"/>
                      <w:szCs w:val="21"/>
                    </w:rPr>
                    <w:t>图形标志</w:t>
                  </w:r>
                </w:p>
              </w:tc>
              <w:tc>
                <w:tcPr>
                  <w:tcW w:w="1284" w:type="dxa"/>
                  <w:tcBorders>
                    <w:tl2br w:val="nil"/>
                    <w:tr2bl w:val="nil"/>
                  </w:tcBorders>
                  <w:noWrap/>
                  <w:vAlign w:val="center"/>
                </w:tcPr>
                <w:p>
                  <w:pPr>
                    <w:jc w:val="center"/>
                    <w:rPr>
                      <w:rFonts w:eastAsia="宋体"/>
                      <w:color w:val="auto"/>
                      <w:szCs w:val="21"/>
                    </w:rPr>
                  </w:pPr>
                  <w:r>
                    <w:rPr>
                      <w:rFonts w:hAnsi="宋体" w:eastAsia="宋体"/>
                      <w:color w:val="auto"/>
                      <w:szCs w:val="21"/>
                    </w:rPr>
                    <w:t>形状</w:t>
                  </w:r>
                </w:p>
              </w:tc>
              <w:tc>
                <w:tcPr>
                  <w:tcW w:w="1212" w:type="dxa"/>
                  <w:tcBorders>
                    <w:tl2br w:val="nil"/>
                    <w:tr2bl w:val="nil"/>
                  </w:tcBorders>
                  <w:noWrap/>
                  <w:vAlign w:val="center"/>
                </w:tcPr>
                <w:p>
                  <w:pPr>
                    <w:jc w:val="center"/>
                    <w:rPr>
                      <w:rFonts w:eastAsia="宋体"/>
                      <w:color w:val="auto"/>
                      <w:szCs w:val="21"/>
                    </w:rPr>
                  </w:pPr>
                  <w:r>
                    <w:rPr>
                      <w:rFonts w:hAnsi="宋体" w:eastAsia="宋体"/>
                      <w:color w:val="auto"/>
                      <w:szCs w:val="21"/>
                    </w:rPr>
                    <w:t>背景颜色</w:t>
                  </w:r>
                </w:p>
              </w:tc>
              <w:tc>
                <w:tcPr>
                  <w:tcW w:w="1140" w:type="dxa"/>
                  <w:tcBorders>
                    <w:tl2br w:val="nil"/>
                    <w:tr2bl w:val="nil"/>
                  </w:tcBorders>
                  <w:noWrap/>
                  <w:vAlign w:val="center"/>
                </w:tcPr>
                <w:p>
                  <w:pPr>
                    <w:jc w:val="center"/>
                    <w:rPr>
                      <w:rFonts w:eastAsia="宋体"/>
                      <w:color w:val="auto"/>
                      <w:szCs w:val="21"/>
                    </w:rPr>
                  </w:pPr>
                  <w:r>
                    <w:rPr>
                      <w:rFonts w:hAnsi="宋体" w:eastAsia="宋体"/>
                      <w:color w:val="auto"/>
                      <w:szCs w:val="21"/>
                    </w:rPr>
                    <w:t>图形颜色</w:t>
                  </w:r>
                </w:p>
              </w:tc>
              <w:tc>
                <w:tcPr>
                  <w:tcW w:w="2124" w:type="dxa"/>
                  <w:tcBorders>
                    <w:tl2br w:val="nil"/>
                    <w:tr2bl w:val="nil"/>
                  </w:tcBorders>
                  <w:noWrap/>
                </w:tcPr>
                <w:p>
                  <w:pPr>
                    <w:jc w:val="center"/>
                    <w:rPr>
                      <w:rFonts w:eastAsia="宋体"/>
                      <w:color w:val="auto"/>
                      <w:szCs w:val="21"/>
                    </w:rPr>
                  </w:pPr>
                  <w:r>
                    <w:rPr>
                      <w:rFonts w:hAnsi="宋体" w:eastAsia="宋体"/>
                      <w:color w:val="auto"/>
                      <w:szCs w:val="21"/>
                    </w:rPr>
                    <w:t>提示图形符号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48" w:type="dxa"/>
                  <w:tcBorders>
                    <w:tl2br w:val="nil"/>
                    <w:tr2bl w:val="nil"/>
                  </w:tcBorders>
                  <w:noWrap/>
                  <w:vAlign w:val="center"/>
                </w:tcPr>
                <w:p>
                  <w:pPr>
                    <w:jc w:val="center"/>
                    <w:rPr>
                      <w:rFonts w:eastAsia="宋体"/>
                      <w:color w:val="auto"/>
                      <w:szCs w:val="21"/>
                    </w:rPr>
                  </w:pPr>
                  <w:r>
                    <w:rPr>
                      <w:rFonts w:hAnsi="宋体" w:eastAsia="宋体"/>
                      <w:color w:val="auto"/>
                      <w:szCs w:val="21"/>
                    </w:rPr>
                    <w:t>一般固废暂堆场所</w:t>
                  </w:r>
                </w:p>
              </w:tc>
              <w:tc>
                <w:tcPr>
                  <w:tcW w:w="1092" w:type="dxa"/>
                  <w:tcBorders>
                    <w:tl2br w:val="nil"/>
                    <w:tr2bl w:val="nil"/>
                  </w:tcBorders>
                  <w:noWrap/>
                  <w:vAlign w:val="center"/>
                </w:tcPr>
                <w:p>
                  <w:pPr>
                    <w:jc w:val="center"/>
                    <w:rPr>
                      <w:rFonts w:eastAsia="宋体"/>
                      <w:color w:val="auto"/>
                      <w:szCs w:val="21"/>
                    </w:rPr>
                  </w:pPr>
                  <w:r>
                    <w:rPr>
                      <w:rFonts w:hAnsi="宋体" w:eastAsia="宋体"/>
                      <w:color w:val="auto"/>
                      <w:szCs w:val="21"/>
                    </w:rPr>
                    <w:t>提示标志</w:t>
                  </w:r>
                </w:p>
              </w:tc>
              <w:tc>
                <w:tcPr>
                  <w:tcW w:w="1284" w:type="dxa"/>
                  <w:tcBorders>
                    <w:tl2br w:val="nil"/>
                    <w:tr2bl w:val="nil"/>
                  </w:tcBorders>
                  <w:noWrap/>
                  <w:vAlign w:val="center"/>
                </w:tcPr>
                <w:p>
                  <w:pPr>
                    <w:jc w:val="center"/>
                    <w:rPr>
                      <w:rFonts w:eastAsia="宋体"/>
                      <w:color w:val="auto"/>
                      <w:szCs w:val="21"/>
                    </w:rPr>
                  </w:pPr>
                  <w:r>
                    <w:rPr>
                      <w:rFonts w:hAnsi="宋体" w:eastAsia="宋体"/>
                      <w:color w:val="auto"/>
                      <w:szCs w:val="21"/>
                    </w:rPr>
                    <w:t>正方形边框</w:t>
                  </w:r>
                </w:p>
              </w:tc>
              <w:tc>
                <w:tcPr>
                  <w:tcW w:w="1212" w:type="dxa"/>
                  <w:tcBorders>
                    <w:tl2br w:val="nil"/>
                    <w:tr2bl w:val="nil"/>
                  </w:tcBorders>
                  <w:noWrap/>
                  <w:vAlign w:val="center"/>
                </w:tcPr>
                <w:p>
                  <w:pPr>
                    <w:jc w:val="center"/>
                    <w:rPr>
                      <w:rFonts w:eastAsia="宋体"/>
                      <w:color w:val="auto"/>
                      <w:szCs w:val="21"/>
                    </w:rPr>
                  </w:pPr>
                  <w:r>
                    <w:rPr>
                      <w:rFonts w:hAnsi="宋体" w:eastAsia="宋体"/>
                      <w:color w:val="auto"/>
                      <w:szCs w:val="21"/>
                    </w:rPr>
                    <w:t>绿色</w:t>
                  </w:r>
                </w:p>
              </w:tc>
              <w:tc>
                <w:tcPr>
                  <w:tcW w:w="1140" w:type="dxa"/>
                  <w:tcBorders>
                    <w:tl2br w:val="nil"/>
                    <w:tr2bl w:val="nil"/>
                  </w:tcBorders>
                  <w:noWrap/>
                  <w:vAlign w:val="center"/>
                </w:tcPr>
                <w:p>
                  <w:pPr>
                    <w:jc w:val="center"/>
                    <w:rPr>
                      <w:rFonts w:eastAsia="宋体"/>
                      <w:color w:val="auto"/>
                      <w:szCs w:val="21"/>
                    </w:rPr>
                  </w:pPr>
                  <w:r>
                    <w:rPr>
                      <w:rFonts w:hAnsi="宋体" w:eastAsia="宋体"/>
                      <w:color w:val="auto"/>
                      <w:szCs w:val="21"/>
                    </w:rPr>
                    <w:t>白色</w:t>
                  </w:r>
                </w:p>
              </w:tc>
              <w:tc>
                <w:tcPr>
                  <w:tcW w:w="2124" w:type="dxa"/>
                  <w:tcBorders>
                    <w:tl2br w:val="nil"/>
                    <w:tr2bl w:val="nil"/>
                  </w:tcBorders>
                  <w:noWrap/>
                </w:tcPr>
                <w:p>
                  <w:pPr>
                    <w:jc w:val="center"/>
                    <w:rPr>
                      <w:rFonts w:eastAsia="宋体"/>
                      <w:color w:val="auto"/>
                      <w:szCs w:val="21"/>
                    </w:rPr>
                  </w:pPr>
                  <w:r>
                    <w:rPr>
                      <w:rFonts w:eastAsia="宋体"/>
                      <w:color w:val="auto"/>
                      <w:szCs w:val="21"/>
                    </w:rPr>
                    <w:drawing>
                      <wp:inline distT="0" distB="0" distL="114300" distR="114300">
                        <wp:extent cx="671830" cy="661035"/>
                        <wp:effectExtent l="0" t="0" r="13970" b="9525"/>
                        <wp:docPr id="10" name="图片 1"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一般固废"/>
                                <pic:cNvPicPr>
                                  <a:picLocks noChangeAspect="1"/>
                                </pic:cNvPicPr>
                              </pic:nvPicPr>
                              <pic:blipFill>
                                <a:blip r:embed="rId8" cstate="print"/>
                                <a:stretch>
                                  <a:fillRect/>
                                </a:stretch>
                              </pic:blipFill>
                              <pic:spPr>
                                <a:xfrm>
                                  <a:off x="0" y="0"/>
                                  <a:ext cx="671830" cy="66103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tcBorders>
                    <w:tl2br w:val="nil"/>
                    <w:tr2bl w:val="nil"/>
                  </w:tcBorders>
                  <w:noWrap/>
                  <w:vAlign w:val="center"/>
                </w:tcPr>
                <w:p>
                  <w:pPr>
                    <w:jc w:val="both"/>
                    <w:rPr>
                      <w:rFonts w:eastAsia="宋体"/>
                      <w:color w:val="auto"/>
                      <w:szCs w:val="21"/>
                    </w:rPr>
                  </w:pPr>
                  <w:r>
                    <w:rPr>
                      <w:rFonts w:hAnsi="宋体" w:eastAsia="宋体"/>
                      <w:color w:val="auto"/>
                      <w:szCs w:val="21"/>
                    </w:rPr>
                    <w:t>危险固废暂堆场所</w:t>
                  </w:r>
                </w:p>
              </w:tc>
              <w:tc>
                <w:tcPr>
                  <w:tcW w:w="1092" w:type="dxa"/>
                  <w:tcBorders>
                    <w:tl2br w:val="nil"/>
                    <w:tr2bl w:val="nil"/>
                  </w:tcBorders>
                  <w:noWrap/>
                  <w:vAlign w:val="center"/>
                </w:tcPr>
                <w:p>
                  <w:pPr>
                    <w:jc w:val="center"/>
                    <w:rPr>
                      <w:rFonts w:eastAsia="宋体"/>
                      <w:color w:val="auto"/>
                      <w:szCs w:val="21"/>
                    </w:rPr>
                  </w:pPr>
                  <w:r>
                    <w:rPr>
                      <w:rFonts w:hAnsi="宋体" w:eastAsia="宋体"/>
                      <w:color w:val="auto"/>
                      <w:szCs w:val="21"/>
                    </w:rPr>
                    <w:t>警告标示</w:t>
                  </w:r>
                </w:p>
              </w:tc>
              <w:tc>
                <w:tcPr>
                  <w:tcW w:w="1284" w:type="dxa"/>
                  <w:tcBorders>
                    <w:tl2br w:val="nil"/>
                    <w:tr2bl w:val="nil"/>
                  </w:tcBorders>
                  <w:noWrap/>
                  <w:vAlign w:val="center"/>
                </w:tcPr>
                <w:p>
                  <w:pPr>
                    <w:jc w:val="center"/>
                    <w:rPr>
                      <w:rFonts w:eastAsia="宋体"/>
                      <w:color w:val="auto"/>
                      <w:szCs w:val="21"/>
                    </w:rPr>
                  </w:pPr>
                  <w:r>
                    <w:rPr>
                      <w:rFonts w:hAnsi="宋体" w:eastAsia="宋体"/>
                      <w:color w:val="auto"/>
                      <w:szCs w:val="21"/>
                    </w:rPr>
                    <w:t>长方形边框</w:t>
                  </w:r>
                </w:p>
              </w:tc>
              <w:tc>
                <w:tcPr>
                  <w:tcW w:w="1212" w:type="dxa"/>
                  <w:tcBorders>
                    <w:tl2br w:val="nil"/>
                    <w:tr2bl w:val="nil"/>
                  </w:tcBorders>
                  <w:noWrap/>
                  <w:vAlign w:val="center"/>
                </w:tcPr>
                <w:p>
                  <w:pPr>
                    <w:jc w:val="center"/>
                    <w:rPr>
                      <w:rFonts w:eastAsia="宋体"/>
                      <w:color w:val="auto"/>
                      <w:szCs w:val="21"/>
                    </w:rPr>
                  </w:pPr>
                  <w:r>
                    <w:rPr>
                      <w:rFonts w:hAnsi="宋体" w:eastAsia="宋体"/>
                      <w:color w:val="auto"/>
                      <w:szCs w:val="21"/>
                    </w:rPr>
                    <w:t>黄色</w:t>
                  </w:r>
                </w:p>
              </w:tc>
              <w:tc>
                <w:tcPr>
                  <w:tcW w:w="1140" w:type="dxa"/>
                  <w:tcBorders>
                    <w:tl2br w:val="nil"/>
                    <w:tr2bl w:val="nil"/>
                  </w:tcBorders>
                  <w:noWrap/>
                  <w:vAlign w:val="center"/>
                </w:tcPr>
                <w:p>
                  <w:pPr>
                    <w:pStyle w:val="33"/>
                    <w:spacing w:line="240" w:lineRule="auto"/>
                    <w:ind w:firstLine="0"/>
                    <w:rPr>
                      <w:color w:val="auto"/>
                      <w:szCs w:val="21"/>
                    </w:rPr>
                  </w:pPr>
                  <w:r>
                    <w:rPr>
                      <w:rFonts w:hAnsi="宋体"/>
                      <w:color w:val="auto"/>
                      <w:szCs w:val="21"/>
                    </w:rPr>
                    <w:t>文字颜色为黑色。三角形警示标志图案和边框颜色为黑色，外檐部分为灰色</w:t>
                  </w:r>
                </w:p>
              </w:tc>
              <w:tc>
                <w:tcPr>
                  <w:tcW w:w="2124" w:type="dxa"/>
                  <w:tcBorders>
                    <w:tl2br w:val="nil"/>
                    <w:tr2bl w:val="nil"/>
                  </w:tcBorders>
                  <w:noWrap/>
                </w:tcPr>
                <w:p>
                  <w:pPr>
                    <w:jc w:val="center"/>
                    <w:rPr>
                      <w:rFonts w:eastAsia="宋体"/>
                      <w:color w:val="auto"/>
                      <w:szCs w:val="21"/>
                    </w:rPr>
                  </w:pPr>
                  <w:r>
                    <w:rPr>
                      <w:rFonts w:eastAsia="宋体"/>
                      <w:color w:val="auto"/>
                      <w:szCs w:val="21"/>
                    </w:rPr>
                    <w:drawing>
                      <wp:inline distT="0" distB="0" distL="114300" distR="114300">
                        <wp:extent cx="1434465" cy="1728470"/>
                        <wp:effectExtent l="0" t="0" r="13335" b="889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 cstate="print"/>
                                <a:stretch>
                                  <a:fillRect/>
                                </a:stretch>
                              </pic:blipFill>
                              <pic:spPr>
                                <a:xfrm>
                                  <a:off x="0" y="0"/>
                                  <a:ext cx="1434465" cy="1728470"/>
                                </a:xfrm>
                                <a:prstGeom prst="rect">
                                  <a:avLst/>
                                </a:prstGeom>
                                <a:noFill/>
                                <a:ln>
                                  <a:noFill/>
                                </a:ln>
                              </pic:spPr>
                            </pic:pic>
                          </a:graphicData>
                        </a:graphic>
                      </wp:inline>
                    </w:drawing>
                  </w:r>
                </w:p>
                <w:p>
                  <w:pPr>
                    <w:pStyle w:val="33"/>
                    <w:spacing w:line="240" w:lineRule="auto"/>
                    <w:ind w:firstLine="0"/>
                    <w:jc w:val="center"/>
                    <w:rPr>
                      <w:color w:val="auto"/>
                      <w:szCs w:val="21"/>
                    </w:rPr>
                  </w:pPr>
                  <w:r>
                    <w:rPr>
                      <w:rFonts w:hAnsi="宋体"/>
                      <w:color w:val="auto"/>
                      <w:szCs w:val="21"/>
                    </w:rPr>
                    <w:t>（平面固定式贮存设施警示标志牌）</w:t>
                  </w:r>
                </w:p>
              </w:tc>
            </w:tr>
          </w:tbl>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②从源头分类：本项目危险废物采用袋装及密封桶贮存，满足《危险废物贮存污染物控制标准》中对贮存容器的要求，根据《危险废物贮存污染控制标准》（GB18597-2001）附录A所示标签在包装容器上设置危险废物识别标志，危险废物包装应能有效隔断危险废物迁移扩散途径，并达到防渗、防漏要求；危险废物按种类分别存放，且不同类废物间有明显的间隔。</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③本项目危险废物暂存场所应采取基础防渗（其厚度应在1米以上，渗透系数应≤1.0×10</w:t>
            </w:r>
            <w:r>
              <w:rPr>
                <w:rFonts w:hint="eastAsia" w:ascii="宋体" w:hAnsi="宋体" w:eastAsia="宋体"/>
                <w:color w:val="auto"/>
                <w:sz w:val="24"/>
                <w:szCs w:val="24"/>
                <w:vertAlign w:val="superscript"/>
              </w:rPr>
              <w:t>-7</w:t>
            </w:r>
            <w:r>
              <w:rPr>
                <w:rFonts w:hint="eastAsia" w:ascii="宋体" w:hAnsi="宋体" w:eastAsia="宋体"/>
                <w:color w:val="auto"/>
                <w:sz w:val="24"/>
                <w:szCs w:val="24"/>
              </w:rPr>
              <w:t>cm/s；基础防渗层也可用厚度在2mm以上的高密度聚乙烯或其他人工防渗材料，渗透系数应≤1.0×10</w:t>
            </w:r>
            <w:r>
              <w:rPr>
                <w:rFonts w:hint="eastAsia" w:ascii="宋体" w:hAnsi="宋体" w:eastAsia="宋体"/>
                <w:color w:val="auto"/>
                <w:sz w:val="24"/>
                <w:szCs w:val="24"/>
                <w:vertAlign w:val="superscript"/>
              </w:rPr>
              <w:t>-10</w:t>
            </w:r>
            <w:r>
              <w:rPr>
                <w:rFonts w:hint="eastAsia" w:ascii="宋体" w:hAnsi="宋体" w:eastAsia="宋体"/>
                <w:color w:val="auto"/>
                <w:sz w:val="24"/>
                <w:szCs w:val="24"/>
              </w:rPr>
              <w:t>cm/s）；地面应为耐腐蚀的硬化地面、地面无裂缝。</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④建立各种固废的全部档案，从废物特性、数量、倾倒位置、来源、去向等文件资料，必须按国家档案管理条例进行整理与管理，保证完整无缺。</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⑤加强危险储存场所的安全防范措施，防止破损、倾倒等情况发生，防止出现危险废物渗漏等二次污染情况。</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⑥危废贮存设施主要环境影响</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a.大气环境影响</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本项目危废中废活性炭，采用袋装贮存，无大气污染物产生和挥发，对大气环境无影响。</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b.地表水环境影响</w:t>
            </w:r>
          </w:p>
          <w:p>
            <w:pPr>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本项目危废为废活性炭，为固态，同时危废仓库地面采取防渗、防腐等措施，不会对地表水环境产出影响。</w:t>
            </w:r>
          </w:p>
          <w:p>
            <w:pPr>
              <w:spacing w:line="360" w:lineRule="auto"/>
              <w:rPr>
                <w:rFonts w:ascii="宋体" w:hAnsi="宋体" w:eastAsia="宋体"/>
                <w:b/>
                <w:bCs/>
                <w:color w:val="auto"/>
                <w:szCs w:val="21"/>
              </w:rPr>
            </w:pPr>
            <w:r>
              <w:rPr>
                <w:rFonts w:hint="eastAsia" w:ascii="宋体" w:hAnsi="宋体" w:eastAsia="宋体"/>
                <w:b/>
                <w:bCs/>
                <w:color w:val="auto"/>
                <w:szCs w:val="21"/>
                <w:lang w:val="en-US" w:eastAsia="zh-CN"/>
              </w:rPr>
              <w:t>⑥</w:t>
            </w:r>
            <w:r>
              <w:rPr>
                <w:rFonts w:hint="eastAsia" w:ascii="宋体" w:hAnsi="宋体" w:eastAsia="宋体"/>
                <w:b/>
                <w:bCs/>
                <w:color w:val="auto"/>
                <w:szCs w:val="21"/>
              </w:rPr>
              <w:t>生活垃圾</w:t>
            </w:r>
          </w:p>
          <w:p>
            <w:pPr>
              <w:snapToGrid w:val="0"/>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本项目定员</w:t>
            </w:r>
            <w:r>
              <w:rPr>
                <w:rFonts w:hint="eastAsia" w:ascii="Calibri" w:hAnsi="Calibri" w:eastAsia="宋体"/>
                <w:color w:val="auto"/>
                <w:sz w:val="24"/>
                <w:szCs w:val="24"/>
              </w:rPr>
              <w:t>10</w:t>
            </w:r>
            <w:r>
              <w:rPr>
                <w:rFonts w:ascii="宋体" w:hAnsi="宋体" w:eastAsia="宋体"/>
                <w:color w:val="auto"/>
                <w:sz w:val="24"/>
                <w:szCs w:val="24"/>
              </w:rPr>
              <w:t>人，生活垃圾产生系数按</w:t>
            </w:r>
            <w:r>
              <w:rPr>
                <w:rFonts w:ascii="Calibri" w:hAnsi="Calibri" w:eastAsia="Calibri"/>
                <w:color w:val="auto"/>
                <w:sz w:val="24"/>
                <w:szCs w:val="24"/>
              </w:rPr>
              <w:t>1kg/</w:t>
            </w:r>
            <w:r>
              <w:rPr>
                <w:rFonts w:ascii="宋体" w:hAnsi="宋体" w:eastAsia="宋体"/>
                <w:color w:val="auto"/>
                <w:sz w:val="24"/>
                <w:szCs w:val="24"/>
              </w:rPr>
              <w:t>人·</w:t>
            </w:r>
            <w:r>
              <w:rPr>
                <w:rFonts w:ascii="Times New Roman" w:hAnsi="Times New Roman" w:eastAsia="Times New Roman"/>
                <w:color w:val="auto"/>
                <w:sz w:val="24"/>
                <w:szCs w:val="24"/>
              </w:rPr>
              <w:t>d计算，年工作</w:t>
            </w:r>
            <w:r>
              <w:rPr>
                <w:rFonts w:hint="eastAsia" w:ascii="Times New Roman" w:hAnsi="Times New Roman" w:eastAsia="宋体"/>
                <w:color w:val="auto"/>
                <w:sz w:val="24"/>
                <w:szCs w:val="24"/>
              </w:rPr>
              <w:t>240</w:t>
            </w:r>
            <w:r>
              <w:rPr>
                <w:rFonts w:ascii="Times New Roman" w:hAnsi="Times New Roman" w:eastAsia="Times New Roman"/>
                <w:color w:val="auto"/>
                <w:sz w:val="24"/>
                <w:szCs w:val="24"/>
              </w:rPr>
              <w:t>天，则生活垃圾产生量</w:t>
            </w:r>
            <w:r>
              <w:rPr>
                <w:rFonts w:hint="eastAsia" w:ascii="Times New Roman" w:hAnsi="Times New Roman" w:eastAsia="宋体"/>
                <w:color w:val="auto"/>
                <w:sz w:val="24"/>
                <w:szCs w:val="24"/>
              </w:rPr>
              <w:t>2.4</w:t>
            </w:r>
            <w:r>
              <w:rPr>
                <w:rFonts w:ascii="Times New Roman" w:hAnsi="Times New Roman" w:eastAsia="Times New Roman"/>
                <w:color w:val="auto"/>
                <w:sz w:val="24"/>
                <w:szCs w:val="24"/>
              </w:rPr>
              <w:t>t/a。该部分固废</w:t>
            </w:r>
            <w:r>
              <w:rPr>
                <w:rFonts w:ascii="宋体" w:hAnsi="宋体" w:eastAsia="宋体"/>
                <w:color w:val="auto"/>
                <w:sz w:val="24"/>
                <w:szCs w:val="24"/>
              </w:rPr>
              <w:t>收集后交由环卫部门统一清运。</w:t>
            </w:r>
          </w:p>
          <w:p>
            <w:pPr>
              <w:snapToGrid w:val="0"/>
              <w:spacing w:line="360" w:lineRule="auto"/>
              <w:ind w:firstLine="480" w:firstLineChars="200"/>
              <w:rPr>
                <w:rFonts w:ascii="Times New Roman" w:hAnsi="Times New Roman" w:eastAsia="宋体"/>
                <w:color w:val="auto"/>
                <w:szCs w:val="21"/>
              </w:rPr>
            </w:pPr>
            <w:r>
              <w:rPr>
                <w:rFonts w:ascii="宋体" w:hAnsi="宋体" w:eastAsia="宋体"/>
                <w:color w:val="auto"/>
                <w:sz w:val="24"/>
                <w:szCs w:val="24"/>
              </w:rPr>
              <w:t>项目固体废物产生及去向情况见表</w:t>
            </w:r>
            <w:r>
              <w:rPr>
                <w:rFonts w:ascii="Times New Roman" w:hAnsi="Times New Roman" w:eastAsia="Times New Roman"/>
                <w:color w:val="auto"/>
                <w:sz w:val="24"/>
                <w:szCs w:val="24"/>
              </w:rPr>
              <w:t>4-</w:t>
            </w:r>
            <w:r>
              <w:rPr>
                <w:rFonts w:hint="eastAsia" w:ascii="Times New Roman" w:hAnsi="Times New Roman" w:eastAsia="宋体"/>
                <w:color w:val="auto"/>
                <w:sz w:val="24"/>
                <w:szCs w:val="24"/>
                <w:lang w:val="en-US" w:eastAsia="zh-CN"/>
              </w:rPr>
              <w:t>12</w:t>
            </w:r>
            <w:r>
              <w:rPr>
                <w:rFonts w:hint="eastAsia" w:ascii="Times New Roman" w:hAnsi="Times New Roman" w:eastAsia="宋体"/>
                <w:color w:val="auto"/>
                <w:szCs w:val="21"/>
              </w:rPr>
              <w:t>。</w:t>
            </w: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11</w:t>
            </w:r>
            <w:r>
              <w:rPr>
                <w:rFonts w:hint="eastAsia" w:ascii="宋体" w:hAnsi="宋体" w:eastAsia="宋体"/>
                <w:b/>
                <w:bCs/>
                <w:color w:val="auto"/>
                <w:szCs w:val="21"/>
              </w:rPr>
              <w:t>项目固体废物产生及去向情况汇总表</w:t>
            </w:r>
          </w:p>
          <w:tbl>
            <w:tblPr>
              <w:tblStyle w:val="19"/>
              <w:tblW w:w="78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529"/>
              <w:gridCol w:w="1350"/>
              <w:gridCol w:w="2160"/>
              <w:gridCol w:w="1065"/>
              <w:gridCol w:w="2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879" w:type="dxa"/>
                  <w:gridSpan w:val="2"/>
                  <w:tcBorders>
                    <w:tl2br w:val="nil"/>
                    <w:tr2bl w:val="nil"/>
                  </w:tcBorders>
                  <w:noWrap/>
                  <w:vAlign w:val="center"/>
                </w:tcPr>
                <w:p>
                  <w:pPr>
                    <w:snapToGrid w:val="0"/>
                    <w:jc w:val="center"/>
                    <w:rPr>
                      <w:b/>
                      <w:bCs/>
                      <w:color w:val="auto"/>
                      <w:szCs w:val="21"/>
                    </w:rPr>
                  </w:pPr>
                  <w:r>
                    <w:rPr>
                      <w:b/>
                      <w:bCs/>
                      <w:color w:val="auto"/>
                      <w:szCs w:val="21"/>
                    </w:rPr>
                    <w:t>固废废物类别</w:t>
                  </w:r>
                </w:p>
              </w:tc>
              <w:tc>
                <w:tcPr>
                  <w:tcW w:w="2160" w:type="dxa"/>
                  <w:tcBorders>
                    <w:tl2br w:val="nil"/>
                    <w:tr2bl w:val="nil"/>
                  </w:tcBorders>
                  <w:noWrap/>
                  <w:vAlign w:val="center"/>
                </w:tcPr>
                <w:p>
                  <w:pPr>
                    <w:snapToGrid w:val="0"/>
                    <w:jc w:val="center"/>
                    <w:rPr>
                      <w:b/>
                      <w:bCs/>
                      <w:color w:val="auto"/>
                      <w:szCs w:val="21"/>
                    </w:rPr>
                  </w:pPr>
                  <w:r>
                    <w:rPr>
                      <w:b/>
                      <w:bCs/>
                      <w:color w:val="auto"/>
                      <w:szCs w:val="21"/>
                    </w:rPr>
                    <w:t>属性</w:t>
                  </w:r>
                </w:p>
              </w:tc>
              <w:tc>
                <w:tcPr>
                  <w:tcW w:w="1065" w:type="dxa"/>
                  <w:tcBorders>
                    <w:tl2br w:val="nil"/>
                    <w:tr2bl w:val="nil"/>
                  </w:tcBorders>
                  <w:noWrap/>
                  <w:vAlign w:val="center"/>
                </w:tcPr>
                <w:p>
                  <w:pPr>
                    <w:snapToGrid w:val="0"/>
                    <w:jc w:val="center"/>
                    <w:rPr>
                      <w:b/>
                      <w:bCs/>
                      <w:color w:val="auto"/>
                      <w:szCs w:val="21"/>
                    </w:rPr>
                  </w:pPr>
                  <w:r>
                    <w:rPr>
                      <w:b/>
                      <w:bCs/>
                      <w:color w:val="auto"/>
                      <w:szCs w:val="21"/>
                    </w:rPr>
                    <w:t>产生量</w:t>
                  </w:r>
                </w:p>
              </w:tc>
              <w:tc>
                <w:tcPr>
                  <w:tcW w:w="2766" w:type="dxa"/>
                  <w:tcBorders>
                    <w:tl2br w:val="nil"/>
                    <w:tr2bl w:val="nil"/>
                  </w:tcBorders>
                  <w:noWrap/>
                  <w:vAlign w:val="center"/>
                </w:tcPr>
                <w:p>
                  <w:pPr>
                    <w:tabs>
                      <w:tab w:val="left" w:pos="7304"/>
                      <w:tab w:val="left" w:pos="7656"/>
                      <w:tab w:val="left" w:pos="8272"/>
                      <w:tab w:val="left" w:pos="8536"/>
                    </w:tabs>
                    <w:jc w:val="center"/>
                    <w:rPr>
                      <w:b/>
                      <w:bCs/>
                      <w:color w:val="auto"/>
                      <w:szCs w:val="21"/>
                    </w:rPr>
                  </w:pPr>
                  <w:r>
                    <w:rPr>
                      <w:rFonts w:hint="eastAsia"/>
                      <w:b/>
                      <w:bCs/>
                      <w:color w:val="auto"/>
                      <w:szCs w:val="21"/>
                    </w:rPr>
                    <w:t>处理处置方式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29" w:type="dxa"/>
                  <w:vMerge w:val="restart"/>
                  <w:tcBorders>
                    <w:tl2br w:val="nil"/>
                    <w:tr2bl w:val="nil"/>
                  </w:tcBorders>
                  <w:noWrap/>
                  <w:vAlign w:val="center"/>
                </w:tcPr>
                <w:p>
                  <w:pPr>
                    <w:tabs>
                      <w:tab w:val="left" w:pos="7304"/>
                      <w:tab w:val="left" w:pos="7656"/>
                      <w:tab w:val="left" w:pos="8272"/>
                      <w:tab w:val="left" w:pos="8536"/>
                    </w:tabs>
                    <w:jc w:val="center"/>
                    <w:rPr>
                      <w:color w:val="auto"/>
                      <w:szCs w:val="21"/>
                    </w:rPr>
                  </w:pPr>
                  <w:r>
                    <w:rPr>
                      <w:color w:val="auto"/>
                      <w:szCs w:val="21"/>
                    </w:rPr>
                    <w:t>生产</w:t>
                  </w:r>
                </w:p>
                <w:p>
                  <w:pPr>
                    <w:tabs>
                      <w:tab w:val="left" w:pos="7304"/>
                      <w:tab w:val="left" w:pos="7656"/>
                      <w:tab w:val="left" w:pos="8272"/>
                      <w:tab w:val="left" w:pos="8536"/>
                    </w:tabs>
                    <w:jc w:val="center"/>
                    <w:rPr>
                      <w:color w:val="auto"/>
                      <w:szCs w:val="21"/>
                    </w:rPr>
                  </w:pPr>
                  <w:r>
                    <w:rPr>
                      <w:color w:val="auto"/>
                      <w:szCs w:val="21"/>
                    </w:rPr>
                    <w:t>固废</w:t>
                  </w:r>
                </w:p>
              </w:tc>
              <w:tc>
                <w:tcPr>
                  <w:tcW w:w="1350" w:type="dxa"/>
                  <w:tcBorders>
                    <w:tl2br w:val="nil"/>
                    <w:tr2bl w:val="nil"/>
                  </w:tcBorders>
                  <w:noWrap/>
                  <w:vAlign w:val="center"/>
                </w:tcPr>
                <w:p>
                  <w:pPr>
                    <w:tabs>
                      <w:tab w:val="left" w:pos="7304"/>
                      <w:tab w:val="left" w:pos="7656"/>
                      <w:tab w:val="left" w:pos="8272"/>
                      <w:tab w:val="left" w:pos="8536"/>
                    </w:tabs>
                    <w:jc w:val="center"/>
                    <w:rPr>
                      <w:rFonts w:eastAsia="宋体"/>
                      <w:color w:val="auto"/>
                      <w:szCs w:val="21"/>
                    </w:rPr>
                  </w:pPr>
                  <w:r>
                    <w:rPr>
                      <w:rFonts w:eastAsia="宋体"/>
                      <w:color w:val="auto"/>
                      <w:szCs w:val="21"/>
                    </w:rPr>
                    <w:t>废塑料</w:t>
                  </w:r>
                </w:p>
              </w:tc>
              <w:tc>
                <w:tcPr>
                  <w:tcW w:w="216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一般工业固体废物</w:t>
                  </w:r>
                </w:p>
              </w:tc>
              <w:tc>
                <w:tcPr>
                  <w:tcW w:w="1065"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100t/a</w:t>
                  </w:r>
                </w:p>
              </w:tc>
              <w:tc>
                <w:tcPr>
                  <w:tcW w:w="2766" w:type="dxa"/>
                  <w:tcBorders>
                    <w:tl2br w:val="nil"/>
                    <w:tr2bl w:val="nil"/>
                  </w:tcBorders>
                  <w:noWrap/>
                  <w:vAlign w:val="center"/>
                </w:tcPr>
                <w:p>
                  <w:pPr>
                    <w:tabs>
                      <w:tab w:val="left" w:pos="7304"/>
                      <w:tab w:val="left" w:pos="7656"/>
                      <w:tab w:val="left" w:pos="8272"/>
                      <w:tab w:val="left" w:pos="8536"/>
                    </w:tabs>
                    <w:jc w:val="center"/>
                    <w:rPr>
                      <w:rFonts w:eastAsia="宋体"/>
                      <w:color w:val="auto"/>
                      <w:szCs w:val="21"/>
                    </w:rPr>
                  </w:pPr>
                  <w:r>
                    <w:rPr>
                      <w:rFonts w:hint="eastAsia"/>
                      <w:color w:val="auto"/>
                      <w:szCs w:val="21"/>
                    </w:rPr>
                    <w:t>收集后当原料使用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29" w:type="dxa"/>
                  <w:vMerge w:val="continue"/>
                  <w:tcBorders>
                    <w:tl2br w:val="nil"/>
                    <w:tr2bl w:val="nil"/>
                  </w:tcBorders>
                  <w:noWrap/>
                  <w:vAlign w:val="center"/>
                </w:tcPr>
                <w:p>
                  <w:pPr>
                    <w:tabs>
                      <w:tab w:val="left" w:pos="7304"/>
                      <w:tab w:val="left" w:pos="7656"/>
                      <w:tab w:val="left" w:pos="8272"/>
                      <w:tab w:val="left" w:pos="8536"/>
                    </w:tabs>
                    <w:jc w:val="center"/>
                    <w:rPr>
                      <w:color w:val="auto"/>
                      <w:szCs w:val="21"/>
                    </w:rPr>
                  </w:pPr>
                </w:p>
              </w:tc>
              <w:tc>
                <w:tcPr>
                  <w:tcW w:w="135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eastAsia="宋体"/>
                      <w:color w:val="auto"/>
                      <w:szCs w:val="21"/>
                    </w:rPr>
                    <w:t>布袋除尘器收集的粉尘</w:t>
                  </w:r>
                </w:p>
              </w:tc>
              <w:tc>
                <w:tcPr>
                  <w:tcW w:w="216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一般工业固废</w:t>
                  </w:r>
                </w:p>
              </w:tc>
              <w:tc>
                <w:tcPr>
                  <w:tcW w:w="1065"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lang w:eastAsia="zh-CN"/>
                    </w:rPr>
                    <w:t>8.1</w:t>
                  </w:r>
                  <w:r>
                    <w:rPr>
                      <w:rFonts w:hint="eastAsia"/>
                      <w:color w:val="auto"/>
                      <w:szCs w:val="21"/>
                    </w:rPr>
                    <w:t>t/a</w:t>
                  </w:r>
                </w:p>
              </w:tc>
              <w:tc>
                <w:tcPr>
                  <w:tcW w:w="2766"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集中收集后外售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29" w:type="dxa"/>
                  <w:vMerge w:val="continue"/>
                  <w:tcBorders>
                    <w:tl2br w:val="nil"/>
                    <w:tr2bl w:val="nil"/>
                  </w:tcBorders>
                  <w:noWrap/>
                  <w:vAlign w:val="center"/>
                </w:tcPr>
                <w:p>
                  <w:pPr>
                    <w:tabs>
                      <w:tab w:val="left" w:pos="7304"/>
                      <w:tab w:val="left" w:pos="7656"/>
                      <w:tab w:val="left" w:pos="8272"/>
                      <w:tab w:val="left" w:pos="8536"/>
                    </w:tabs>
                    <w:jc w:val="center"/>
                    <w:rPr>
                      <w:color w:val="auto"/>
                      <w:szCs w:val="21"/>
                    </w:rPr>
                  </w:pPr>
                </w:p>
              </w:tc>
              <w:tc>
                <w:tcPr>
                  <w:tcW w:w="135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eastAsia="宋体"/>
                      <w:color w:val="auto"/>
                      <w:szCs w:val="21"/>
                    </w:rPr>
                    <w:t>废包装材料</w:t>
                  </w:r>
                </w:p>
              </w:tc>
              <w:tc>
                <w:tcPr>
                  <w:tcW w:w="216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一般工业固废</w:t>
                  </w:r>
                </w:p>
              </w:tc>
              <w:tc>
                <w:tcPr>
                  <w:tcW w:w="1065"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0.65t/a</w:t>
                  </w:r>
                </w:p>
              </w:tc>
              <w:tc>
                <w:tcPr>
                  <w:tcW w:w="2766"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集中收集后外售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29" w:type="dxa"/>
                  <w:vMerge w:val="continue"/>
                  <w:tcBorders>
                    <w:tl2br w:val="nil"/>
                    <w:tr2bl w:val="nil"/>
                  </w:tcBorders>
                  <w:noWrap/>
                  <w:vAlign w:val="center"/>
                </w:tcPr>
                <w:p>
                  <w:pPr>
                    <w:tabs>
                      <w:tab w:val="left" w:pos="7304"/>
                      <w:tab w:val="left" w:pos="7656"/>
                      <w:tab w:val="left" w:pos="8272"/>
                      <w:tab w:val="left" w:pos="8536"/>
                    </w:tabs>
                    <w:jc w:val="center"/>
                    <w:rPr>
                      <w:color w:val="auto"/>
                      <w:szCs w:val="21"/>
                    </w:rPr>
                  </w:pPr>
                </w:p>
              </w:tc>
              <w:tc>
                <w:tcPr>
                  <w:tcW w:w="1350" w:type="dxa"/>
                  <w:tcBorders>
                    <w:tl2br w:val="nil"/>
                    <w:tr2bl w:val="nil"/>
                  </w:tcBorders>
                  <w:noWrap/>
                  <w:vAlign w:val="center"/>
                </w:tcPr>
                <w:p>
                  <w:pPr>
                    <w:tabs>
                      <w:tab w:val="left" w:pos="7304"/>
                      <w:tab w:val="left" w:pos="7656"/>
                      <w:tab w:val="left" w:pos="8272"/>
                      <w:tab w:val="left" w:pos="8536"/>
                    </w:tabs>
                    <w:jc w:val="center"/>
                    <w:rPr>
                      <w:color w:val="auto"/>
                      <w:szCs w:val="21"/>
                      <w:u w:val="single"/>
                    </w:rPr>
                  </w:pPr>
                  <w:r>
                    <w:rPr>
                      <w:rFonts w:eastAsia="宋体"/>
                      <w:color w:val="auto"/>
                      <w:szCs w:val="21"/>
                      <w:u w:val="single"/>
                    </w:rPr>
                    <w:t>废活性炭</w:t>
                  </w:r>
                </w:p>
              </w:tc>
              <w:tc>
                <w:tcPr>
                  <w:tcW w:w="2160" w:type="dxa"/>
                  <w:tcBorders>
                    <w:tl2br w:val="nil"/>
                    <w:tr2bl w:val="nil"/>
                  </w:tcBorders>
                  <w:noWrap/>
                  <w:vAlign w:val="center"/>
                </w:tcPr>
                <w:p>
                  <w:pPr>
                    <w:tabs>
                      <w:tab w:val="left" w:pos="7304"/>
                      <w:tab w:val="left" w:pos="7656"/>
                      <w:tab w:val="left" w:pos="8272"/>
                      <w:tab w:val="left" w:pos="8536"/>
                    </w:tabs>
                    <w:jc w:val="center"/>
                    <w:rPr>
                      <w:color w:val="auto"/>
                      <w:szCs w:val="21"/>
                      <w:u w:val="single"/>
                    </w:rPr>
                  </w:pPr>
                  <w:r>
                    <w:rPr>
                      <w:rFonts w:hint="eastAsia"/>
                      <w:color w:val="auto"/>
                      <w:szCs w:val="21"/>
                      <w:u w:val="single"/>
                    </w:rPr>
                    <w:t>危险废物（HW08）</w:t>
                  </w:r>
                </w:p>
              </w:tc>
              <w:tc>
                <w:tcPr>
                  <w:tcW w:w="1065" w:type="dxa"/>
                  <w:tcBorders>
                    <w:tl2br w:val="nil"/>
                    <w:tr2bl w:val="nil"/>
                  </w:tcBorders>
                  <w:noWrap/>
                  <w:vAlign w:val="center"/>
                </w:tcPr>
                <w:p>
                  <w:pPr>
                    <w:tabs>
                      <w:tab w:val="left" w:pos="7304"/>
                      <w:tab w:val="left" w:pos="7656"/>
                      <w:tab w:val="left" w:pos="8272"/>
                      <w:tab w:val="left" w:pos="8536"/>
                    </w:tabs>
                    <w:jc w:val="center"/>
                    <w:rPr>
                      <w:color w:val="auto"/>
                      <w:szCs w:val="21"/>
                      <w:u w:val="single"/>
                    </w:rPr>
                  </w:pPr>
                  <w:r>
                    <w:rPr>
                      <w:rFonts w:hint="eastAsia"/>
                      <w:color w:val="auto"/>
                      <w:szCs w:val="21"/>
                      <w:u w:val="single"/>
                      <w:lang w:eastAsia="zh-CN"/>
                    </w:rPr>
                    <w:t>7.56</w:t>
                  </w:r>
                  <w:r>
                    <w:rPr>
                      <w:rFonts w:hint="eastAsia"/>
                      <w:color w:val="auto"/>
                      <w:szCs w:val="21"/>
                      <w:u w:val="single"/>
                    </w:rPr>
                    <w:t>t/a</w:t>
                  </w:r>
                </w:p>
              </w:tc>
              <w:tc>
                <w:tcPr>
                  <w:tcW w:w="2766" w:type="dxa"/>
                  <w:tcBorders>
                    <w:tl2br w:val="nil"/>
                    <w:tr2bl w:val="nil"/>
                  </w:tcBorders>
                  <w:noWrap/>
                  <w:vAlign w:val="center"/>
                </w:tcPr>
                <w:p>
                  <w:pPr>
                    <w:tabs>
                      <w:tab w:val="left" w:pos="7304"/>
                      <w:tab w:val="left" w:pos="7656"/>
                      <w:tab w:val="left" w:pos="8272"/>
                      <w:tab w:val="left" w:pos="8536"/>
                    </w:tabs>
                    <w:jc w:val="center"/>
                    <w:rPr>
                      <w:color w:val="auto"/>
                      <w:szCs w:val="21"/>
                      <w:u w:val="single"/>
                    </w:rPr>
                  </w:pPr>
                  <w:r>
                    <w:rPr>
                      <w:rFonts w:hint="eastAsia"/>
                      <w:color w:val="auto"/>
                      <w:szCs w:val="21"/>
                      <w:u w:val="single"/>
                    </w:rPr>
                    <w:t>暂存于危废暂存间，定期交由有资质的单位处理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529" w:type="dxa"/>
                  <w:vMerge w:val="continue"/>
                  <w:tcBorders>
                    <w:tl2br w:val="nil"/>
                    <w:tr2bl w:val="nil"/>
                  </w:tcBorders>
                  <w:noWrap/>
                  <w:vAlign w:val="center"/>
                </w:tcPr>
                <w:p>
                  <w:pPr>
                    <w:tabs>
                      <w:tab w:val="left" w:pos="7304"/>
                      <w:tab w:val="left" w:pos="7656"/>
                      <w:tab w:val="left" w:pos="8272"/>
                      <w:tab w:val="left" w:pos="8536"/>
                    </w:tabs>
                    <w:jc w:val="center"/>
                    <w:rPr>
                      <w:color w:val="auto"/>
                      <w:szCs w:val="21"/>
                    </w:rPr>
                  </w:pPr>
                </w:p>
              </w:tc>
              <w:tc>
                <w:tcPr>
                  <w:tcW w:w="3510" w:type="dxa"/>
                  <w:gridSpan w:val="2"/>
                  <w:tcBorders>
                    <w:tl2br w:val="nil"/>
                    <w:tr2bl w:val="nil"/>
                  </w:tcBorders>
                  <w:noWrap/>
                  <w:vAlign w:val="center"/>
                </w:tcPr>
                <w:p>
                  <w:pPr>
                    <w:tabs>
                      <w:tab w:val="left" w:pos="7304"/>
                      <w:tab w:val="left" w:pos="7656"/>
                      <w:tab w:val="left" w:pos="8272"/>
                      <w:tab w:val="left" w:pos="8536"/>
                    </w:tabs>
                    <w:jc w:val="center"/>
                    <w:rPr>
                      <w:rFonts w:hint="eastAsia"/>
                      <w:color w:val="auto"/>
                      <w:szCs w:val="21"/>
                      <w:u w:val="single"/>
                    </w:rPr>
                  </w:pPr>
                  <w:r>
                    <w:rPr>
                      <w:rFonts w:hint="eastAsia" w:eastAsia="宋体"/>
                      <w:color w:val="auto"/>
                      <w:szCs w:val="21"/>
                      <w:u w:val="single"/>
                      <w:lang w:val="en-US" w:eastAsia="zh-CN"/>
                    </w:rPr>
                    <w:t>废灯管</w:t>
                  </w:r>
                </w:p>
              </w:tc>
              <w:tc>
                <w:tcPr>
                  <w:tcW w:w="1065" w:type="dxa"/>
                  <w:tcBorders>
                    <w:tl2br w:val="nil"/>
                    <w:tr2bl w:val="nil"/>
                  </w:tcBorders>
                  <w:noWrap/>
                  <w:vAlign w:val="center"/>
                </w:tcPr>
                <w:p>
                  <w:pPr>
                    <w:tabs>
                      <w:tab w:val="left" w:pos="7304"/>
                      <w:tab w:val="left" w:pos="7656"/>
                      <w:tab w:val="left" w:pos="8272"/>
                      <w:tab w:val="left" w:pos="8536"/>
                    </w:tabs>
                    <w:jc w:val="center"/>
                    <w:rPr>
                      <w:rFonts w:hint="default"/>
                      <w:color w:val="auto"/>
                      <w:szCs w:val="21"/>
                      <w:u w:val="single"/>
                      <w:lang w:val="en-US" w:eastAsia="zh-CN"/>
                    </w:rPr>
                  </w:pPr>
                  <w:r>
                    <w:rPr>
                      <w:rFonts w:hint="eastAsia"/>
                      <w:color w:val="auto"/>
                      <w:szCs w:val="21"/>
                      <w:u w:val="single"/>
                      <w:lang w:val="en-US" w:eastAsia="zh-CN"/>
                    </w:rPr>
                    <w:t>0.1</w:t>
                  </w:r>
                  <w:r>
                    <w:rPr>
                      <w:rFonts w:hint="eastAsia"/>
                      <w:color w:val="auto"/>
                      <w:szCs w:val="21"/>
                      <w:u w:val="single"/>
                    </w:rPr>
                    <w:t>t/a</w:t>
                  </w:r>
                </w:p>
              </w:tc>
              <w:tc>
                <w:tcPr>
                  <w:tcW w:w="2766" w:type="dxa"/>
                  <w:tcBorders>
                    <w:tl2br w:val="nil"/>
                    <w:tr2bl w:val="nil"/>
                  </w:tcBorders>
                  <w:noWrap/>
                  <w:vAlign w:val="center"/>
                </w:tcPr>
                <w:p>
                  <w:pPr>
                    <w:tabs>
                      <w:tab w:val="left" w:pos="7304"/>
                      <w:tab w:val="left" w:pos="7656"/>
                      <w:tab w:val="left" w:pos="8272"/>
                      <w:tab w:val="left" w:pos="8536"/>
                    </w:tabs>
                    <w:jc w:val="center"/>
                    <w:rPr>
                      <w:rFonts w:hint="default" w:eastAsiaTheme="minorEastAsia"/>
                      <w:color w:val="auto"/>
                      <w:szCs w:val="21"/>
                      <w:u w:val="single"/>
                      <w:lang w:val="en-US" w:eastAsia="zh-CN"/>
                    </w:rPr>
                  </w:pPr>
                  <w:r>
                    <w:rPr>
                      <w:rFonts w:hint="eastAsia"/>
                      <w:color w:val="auto"/>
                      <w:szCs w:val="21"/>
                      <w:u w:val="single"/>
                      <w:lang w:val="en-US" w:eastAsia="zh-CN"/>
                    </w:rPr>
                    <w:t>厂家更换后及时带走，不在厂区储存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879" w:type="dxa"/>
                  <w:gridSpan w:val="2"/>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生活垃圾</w:t>
                  </w:r>
                </w:p>
              </w:tc>
              <w:tc>
                <w:tcPr>
                  <w:tcW w:w="2160"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一般固废</w:t>
                  </w:r>
                </w:p>
              </w:tc>
              <w:tc>
                <w:tcPr>
                  <w:tcW w:w="1065"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2.4t/a</w:t>
                  </w:r>
                </w:p>
              </w:tc>
              <w:tc>
                <w:tcPr>
                  <w:tcW w:w="2766" w:type="dxa"/>
                  <w:tcBorders>
                    <w:tl2br w:val="nil"/>
                    <w:tr2bl w:val="nil"/>
                  </w:tcBorders>
                  <w:noWrap/>
                  <w:vAlign w:val="center"/>
                </w:tcPr>
                <w:p>
                  <w:pPr>
                    <w:tabs>
                      <w:tab w:val="left" w:pos="7304"/>
                      <w:tab w:val="left" w:pos="7656"/>
                      <w:tab w:val="left" w:pos="8272"/>
                      <w:tab w:val="left" w:pos="8536"/>
                    </w:tabs>
                    <w:jc w:val="center"/>
                    <w:rPr>
                      <w:color w:val="auto"/>
                      <w:szCs w:val="21"/>
                    </w:rPr>
                  </w:pPr>
                  <w:r>
                    <w:rPr>
                      <w:rFonts w:hint="eastAsia"/>
                      <w:color w:val="auto"/>
                      <w:szCs w:val="21"/>
                    </w:rPr>
                    <w:t>定点收集转移到当地垃圾中转站，由环卫部门清理运走</w:t>
                  </w:r>
                </w:p>
              </w:tc>
            </w:tr>
          </w:tbl>
          <w:p>
            <w:pPr>
              <w:snapToGrid w:val="0"/>
              <w:spacing w:line="360" w:lineRule="auto"/>
              <w:ind w:firstLine="480" w:firstLineChars="200"/>
              <w:rPr>
                <w:rFonts w:ascii="宋体" w:hAnsi="宋体" w:eastAsia="宋体"/>
                <w:color w:val="auto"/>
                <w:szCs w:val="21"/>
              </w:rPr>
            </w:pPr>
            <w:r>
              <w:rPr>
                <w:rFonts w:ascii="宋体" w:hAnsi="宋体" w:eastAsia="宋体"/>
                <w:color w:val="auto"/>
                <w:sz w:val="24"/>
                <w:szCs w:val="24"/>
              </w:rPr>
              <w:t>综上所述，本项目固体废物处理处置符合国家《固体废物污染环境防治法》规定的原则，采取上述措施后，项目固体废物可得到妥善的处理，对周围环境造成的影响很小</w:t>
            </w:r>
            <w:r>
              <w:rPr>
                <w:rFonts w:ascii="宋体" w:hAnsi="宋体" w:eastAsia="宋体"/>
                <w:color w:val="auto"/>
                <w:szCs w:val="21"/>
              </w:rPr>
              <w:t>。</w:t>
            </w:r>
          </w:p>
          <w:p>
            <w:pPr>
              <w:pStyle w:val="6"/>
              <w:spacing w:line="360" w:lineRule="auto"/>
              <w:jc w:val="both"/>
              <w:rPr>
                <w:rFonts w:ascii="Times New Roman" w:hAnsi="Times New Roman" w:eastAsia="Times New Roman"/>
                <w:color w:val="auto"/>
                <w:sz w:val="21"/>
                <w:szCs w:val="21"/>
              </w:rPr>
            </w:pPr>
            <w:r>
              <w:rPr>
                <w:rFonts w:hint="eastAsia" w:ascii="Times New Roman" w:hAnsi="Times New Roman" w:eastAsia="宋体"/>
                <w:color w:val="auto"/>
                <w:sz w:val="21"/>
                <w:szCs w:val="21"/>
                <w:lang w:val="en-US" w:eastAsia="zh-CN"/>
              </w:rPr>
              <w:t>5</w:t>
            </w:r>
            <w:r>
              <w:rPr>
                <w:rFonts w:ascii="Times New Roman" w:hAnsi="Times New Roman" w:eastAsia="Times New Roman"/>
                <w:color w:val="auto"/>
                <w:sz w:val="21"/>
                <w:szCs w:val="21"/>
              </w:rPr>
              <w:t>、环境风险分析</w:t>
            </w:r>
          </w:p>
          <w:p>
            <w:pPr>
              <w:pStyle w:val="6"/>
              <w:spacing w:line="360" w:lineRule="auto"/>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环境风险评价的目的是分析和预测建设项目存在的潜在危险、有害因素，建设项目建设和运行期间可能发生的突发性事件或事故(一般不包括人为破坏及自然灾害)，提出合理可行的防范、应急与减缓措施，以使建设项目事故率、损失和环境影响达到可接受水平。</w:t>
            </w:r>
          </w:p>
          <w:p>
            <w:pPr>
              <w:pStyle w:val="6"/>
              <w:spacing w:line="360" w:lineRule="auto"/>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（1）环境风险潜势初判</w:t>
            </w:r>
          </w:p>
          <w:p>
            <w:pPr>
              <w:pStyle w:val="6"/>
              <w:spacing w:line="360" w:lineRule="auto"/>
              <w:ind w:firstLine="480" w:firstLineChars="200"/>
              <w:jc w:val="both"/>
              <w:rPr>
                <w:rFonts w:ascii="宋体" w:hAnsi="宋体" w:eastAsia="宋体"/>
                <w:b w:val="0"/>
                <w:bCs w:val="0"/>
                <w:color w:val="auto"/>
                <w:sz w:val="21"/>
                <w:szCs w:val="21"/>
              </w:rPr>
            </w:pPr>
            <w:r>
              <w:rPr>
                <w:rFonts w:hint="eastAsia" w:ascii="宋体" w:hAnsi="宋体" w:eastAsia="宋体"/>
                <w:b w:val="0"/>
                <w:bCs w:val="0"/>
                <w:color w:val="auto"/>
                <w:sz w:val="24"/>
                <w:szCs w:val="24"/>
              </w:rPr>
              <w:t>根据建设项目涉及的物质和工艺系统的危险性及其所在地的环境敏感程度，结合事故情形下环境影响途径，对建设项目潜在环境危害程度进行概化分析，具体按照表4-</w:t>
            </w:r>
            <w:r>
              <w:rPr>
                <w:rFonts w:hint="eastAsia" w:ascii="宋体" w:hAnsi="宋体" w:eastAsia="宋体"/>
                <w:b w:val="0"/>
                <w:bCs w:val="0"/>
                <w:color w:val="auto"/>
                <w:sz w:val="24"/>
                <w:szCs w:val="24"/>
                <w:lang w:val="en-US" w:eastAsia="zh-CN"/>
              </w:rPr>
              <w:t>12</w:t>
            </w:r>
            <w:r>
              <w:rPr>
                <w:rFonts w:hint="eastAsia" w:ascii="宋体" w:hAnsi="宋体" w:eastAsia="宋体"/>
                <w:b w:val="0"/>
                <w:bCs w:val="0"/>
                <w:color w:val="auto"/>
                <w:sz w:val="24"/>
                <w:szCs w:val="24"/>
              </w:rPr>
              <w:t>确定环境风险潜势</w:t>
            </w:r>
            <w:r>
              <w:rPr>
                <w:rFonts w:hint="eastAsia" w:ascii="宋体" w:hAnsi="宋体" w:eastAsia="宋体"/>
                <w:b w:val="0"/>
                <w:bCs w:val="0"/>
                <w:color w:val="auto"/>
                <w:sz w:val="21"/>
                <w:szCs w:val="21"/>
              </w:rPr>
              <w:t>。</w:t>
            </w:r>
          </w:p>
          <w:p>
            <w:pPr>
              <w:spacing w:line="360" w:lineRule="auto"/>
              <w:jc w:val="center"/>
              <w:rPr>
                <w:rFonts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12</w:t>
            </w:r>
            <w:r>
              <w:rPr>
                <w:rFonts w:hint="eastAsia" w:ascii="宋体" w:hAnsi="宋体" w:eastAsia="宋体"/>
                <w:b/>
                <w:bCs/>
                <w:color w:val="auto"/>
                <w:szCs w:val="21"/>
              </w:rPr>
              <w:t>建设项目环境风险潜势划分</w:t>
            </w:r>
          </w:p>
          <w:tbl>
            <w:tblPr>
              <w:tblStyle w:val="19"/>
              <w:tblW w:w="765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80"/>
              <w:gridCol w:w="1580"/>
              <w:gridCol w:w="158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37" w:type="dxa"/>
                  <w:vMerge w:val="restart"/>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环境敏感程度（</w:t>
                  </w:r>
                  <w:r>
                    <w:rPr>
                      <w:rFonts w:eastAsia="宋体"/>
                      <w:b/>
                      <w:color w:val="auto"/>
                      <w:szCs w:val="21"/>
                    </w:rPr>
                    <w:t>E</w:t>
                  </w:r>
                  <w:r>
                    <w:rPr>
                      <w:rFonts w:hAnsi="宋体" w:eastAsia="宋体"/>
                      <w:b/>
                      <w:color w:val="auto"/>
                      <w:szCs w:val="21"/>
                    </w:rPr>
                    <w:t>）</w:t>
                  </w:r>
                </w:p>
              </w:tc>
              <w:tc>
                <w:tcPr>
                  <w:tcW w:w="7937" w:type="dxa"/>
                  <w:gridSpan w:val="4"/>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危险物质与工艺系统危险性（</w:t>
                  </w:r>
                  <w:r>
                    <w:rPr>
                      <w:rFonts w:eastAsia="宋体"/>
                      <w:b/>
                      <w:color w:val="auto"/>
                      <w:szCs w:val="21"/>
                    </w:rPr>
                    <w:t>P</w:t>
                  </w:r>
                  <w:r>
                    <w:rPr>
                      <w:rFonts w:hAnsi="宋体" w:eastAsia="宋体"/>
                      <w:b/>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937" w:type="dxa"/>
                  <w:vMerge w:val="continue"/>
                  <w:tcBorders>
                    <w:tl2br w:val="nil"/>
                    <w:tr2bl w:val="nil"/>
                  </w:tcBorders>
                  <w:shd w:val="clear" w:color="auto" w:fill="auto"/>
                  <w:noWrap/>
                  <w:vAlign w:val="center"/>
                </w:tcPr>
                <w:p>
                  <w:pPr>
                    <w:rPr>
                      <w:rFonts w:eastAsia="宋体"/>
                      <w:b/>
                      <w:color w:val="auto"/>
                      <w:szCs w:val="21"/>
                    </w:rPr>
                  </w:pPr>
                </w:p>
              </w:tc>
              <w:tc>
                <w:tcPr>
                  <w:tcW w:w="7937"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极高危害（</w:t>
                  </w:r>
                  <w:r>
                    <w:rPr>
                      <w:rFonts w:eastAsia="宋体"/>
                      <w:b/>
                      <w:color w:val="auto"/>
                      <w:szCs w:val="21"/>
                    </w:rPr>
                    <w:t>P1</w:t>
                  </w:r>
                  <w:r>
                    <w:rPr>
                      <w:rFonts w:hAnsi="宋体" w:eastAsia="宋体"/>
                      <w:b/>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高度危害（</w:t>
                  </w:r>
                  <w:r>
                    <w:rPr>
                      <w:rFonts w:eastAsia="宋体"/>
                      <w:b/>
                      <w:color w:val="auto"/>
                      <w:szCs w:val="21"/>
                    </w:rPr>
                    <w:t>P2</w:t>
                  </w:r>
                  <w:r>
                    <w:rPr>
                      <w:rFonts w:hAnsi="宋体" w:eastAsia="宋体"/>
                      <w:b/>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中度危害（</w:t>
                  </w:r>
                  <w:r>
                    <w:rPr>
                      <w:rFonts w:eastAsia="宋体"/>
                      <w:b/>
                      <w:color w:val="auto"/>
                      <w:szCs w:val="21"/>
                    </w:rPr>
                    <w:t>P3</w:t>
                  </w:r>
                  <w:r>
                    <w:rPr>
                      <w:rFonts w:hAnsi="宋体" w:eastAsia="宋体"/>
                      <w:b/>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低度危害（</w:t>
                  </w:r>
                  <w:r>
                    <w:rPr>
                      <w:rFonts w:eastAsia="宋体"/>
                      <w:b/>
                      <w:color w:val="auto"/>
                      <w:szCs w:val="21"/>
                    </w:rPr>
                    <w:t>P4</w:t>
                  </w:r>
                  <w:r>
                    <w:rPr>
                      <w:rFonts w:hAnsi="宋体" w:eastAsia="宋体"/>
                      <w:b/>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环境高度敏感区（</w:t>
                  </w:r>
                  <w:r>
                    <w:rPr>
                      <w:rFonts w:eastAsia="宋体"/>
                      <w:color w:val="auto"/>
                      <w:szCs w:val="21"/>
                    </w:rPr>
                    <w:t>E1</w:t>
                  </w:r>
                  <w:r>
                    <w:rPr>
                      <w:rFonts w:hAnsi="宋体" w:eastAsia="宋体"/>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r>
                    <w:rPr>
                      <w:rFonts w:eastAsia="宋体"/>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环境中度敏感区（</w:t>
                  </w:r>
                  <w:r>
                    <w:rPr>
                      <w:rFonts w:eastAsia="宋体"/>
                      <w:color w:val="auto"/>
                      <w:szCs w:val="21"/>
                    </w:rPr>
                    <w:t>E2</w:t>
                  </w:r>
                  <w:r>
                    <w:rPr>
                      <w:rFonts w:hAnsi="宋体" w:eastAsia="宋体"/>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2 \* ROMAN </w:instrText>
                  </w:r>
                  <w:r>
                    <w:rPr>
                      <w:rFonts w:eastAsia="宋体"/>
                      <w:color w:val="auto"/>
                      <w:szCs w:val="21"/>
                    </w:rPr>
                    <w:fldChar w:fldCharType="separate"/>
                  </w:r>
                  <w:r>
                    <w:rPr>
                      <w:rFonts w:eastAsia="宋体"/>
                      <w:color w:val="auto"/>
                      <w:szCs w:val="21"/>
                    </w:rPr>
                    <w:t>II</w:t>
                  </w:r>
                  <w:r>
                    <w:rPr>
                      <w:rFonts w:eastAsia="宋体"/>
                      <w:color w:val="auto"/>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环境低度敏感区（</w:t>
                  </w:r>
                  <w:r>
                    <w:rPr>
                      <w:rFonts w:eastAsia="宋体"/>
                      <w:color w:val="auto"/>
                      <w:szCs w:val="21"/>
                    </w:rPr>
                    <w:t>E3</w:t>
                  </w:r>
                  <w:r>
                    <w:rPr>
                      <w:rFonts w:hAnsi="宋体" w:eastAsia="宋体"/>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2 \* ROMAN </w:instrText>
                  </w:r>
                  <w:r>
                    <w:rPr>
                      <w:rFonts w:eastAsia="宋体"/>
                      <w:color w:val="auto"/>
                      <w:szCs w:val="21"/>
                    </w:rPr>
                    <w:fldChar w:fldCharType="separate"/>
                  </w:r>
                  <w:r>
                    <w:rPr>
                      <w:rFonts w:eastAsia="宋体"/>
                      <w:color w:val="auto"/>
                      <w:szCs w:val="21"/>
                    </w:rPr>
                    <w:t>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2 \* ROMAN </w:instrText>
                  </w:r>
                  <w:r>
                    <w:rPr>
                      <w:rFonts w:eastAsia="宋体"/>
                      <w:color w:val="auto"/>
                      <w:szCs w:val="21"/>
                    </w:rPr>
                    <w:fldChar w:fldCharType="separate"/>
                  </w:r>
                  <w:r>
                    <w:rPr>
                      <w:rFonts w:eastAsia="宋体"/>
                      <w:color w:val="auto"/>
                      <w:szCs w:val="21"/>
                    </w:rPr>
                    <w:t>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1 \* ROMAN </w:instrText>
                  </w:r>
                  <w:r>
                    <w:rPr>
                      <w:rFonts w:eastAsia="宋体"/>
                      <w:color w:val="auto"/>
                      <w:szCs w:val="21"/>
                    </w:rPr>
                    <w:fldChar w:fldCharType="separate"/>
                  </w:r>
                  <w:r>
                    <w:rPr>
                      <w:rFonts w:eastAsia="宋体"/>
                      <w:color w:val="auto"/>
                      <w:szCs w:val="21"/>
                    </w:rPr>
                    <w:t>I</w:t>
                  </w:r>
                  <w:r>
                    <w:rPr>
                      <w:rFonts w:eastAsia="宋体"/>
                      <w:color w:val="auto"/>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37" w:type="dxa"/>
                  <w:gridSpan w:val="5"/>
                  <w:tcBorders>
                    <w:tl2br w:val="nil"/>
                    <w:tr2bl w:val="nil"/>
                  </w:tcBorders>
                  <w:shd w:val="clear" w:color="auto" w:fill="auto"/>
                  <w:noWrap/>
                  <w:vAlign w:val="center"/>
                </w:tcPr>
                <w:p>
                  <w:pPr>
                    <w:adjustRightInd w:val="0"/>
                    <w:snapToGrid w:val="0"/>
                    <w:rPr>
                      <w:rFonts w:eastAsia="宋体"/>
                      <w:color w:val="auto"/>
                      <w:szCs w:val="21"/>
                    </w:rPr>
                  </w:pPr>
                  <w:r>
                    <w:rPr>
                      <w:rFonts w:hAnsi="宋体" w:eastAsia="宋体"/>
                      <w:color w:val="auto"/>
                      <w:szCs w:val="21"/>
                    </w:rPr>
                    <w:t>注：</w:t>
                  </w: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r>
                    <w:rPr>
                      <w:rFonts w:eastAsia="宋体"/>
                      <w:color w:val="auto"/>
                      <w:szCs w:val="21"/>
                    </w:rPr>
                    <w:t>+</w:t>
                  </w:r>
                  <w:r>
                    <w:rPr>
                      <w:rFonts w:hAnsi="宋体" w:eastAsia="宋体"/>
                      <w:color w:val="auto"/>
                      <w:szCs w:val="21"/>
                    </w:rPr>
                    <w:t>为极高环境风险</w:t>
                  </w:r>
                </w:p>
              </w:tc>
            </w:tr>
          </w:tbl>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计算所涉及的每种危险物质在厂界内的最大存在总量与其在附录B中对应临界量的比值Q。在不同厂区的同一种物质，按其在厂界内的最大存在总量计算。对长输管线项目，按照两个截断阀室之间管段危险物质最大存在总量计算。</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当只涉及一种危险物质时，计算该物质的总量与其临界量比值，即为Q；</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当存在多种危险物质时，则按下列公式计算物质总量与其临界量比值（Q）：</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Q=q1/Q1+q2/Q2+···qn/Qn</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式中q1、q2、···、qn—每种危险物质的最大存在总量，t；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Q1、Q2、···、Qn—每种危险物质的临界量，t。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当Q＜1时，该项目环境风险潜势为I。</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当Q≥1时，将Q值划分为：（1）1≤Q＜10；（2）10≤Q＜100；（3）Q≥100。</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u w:val="single"/>
              </w:rPr>
              <w:t>本项目原料主要为塑料粒子、发泡剂、色母粒等。经查阅《建设项目环境风险评价技术导则》（HJ169-2018）附录B重点关注的危险物质及临界量，该项目</w:t>
            </w:r>
            <w:r>
              <w:rPr>
                <w:rFonts w:hint="eastAsia" w:ascii="宋体" w:hAnsi="宋体" w:eastAsia="宋体"/>
                <w:color w:val="auto"/>
                <w:sz w:val="24"/>
                <w:szCs w:val="24"/>
                <w:u w:val="single"/>
                <w:lang w:val="en-US" w:eastAsia="zh-CN"/>
              </w:rPr>
              <w:t>原辅材料无涉及风险物质，项目Q值=0＜1，</w:t>
            </w:r>
            <w:r>
              <w:rPr>
                <w:rFonts w:hint="eastAsia" w:ascii="宋体" w:hAnsi="宋体" w:eastAsia="宋体"/>
                <w:color w:val="auto"/>
                <w:sz w:val="24"/>
                <w:szCs w:val="24"/>
                <w:u w:val="single"/>
              </w:rPr>
              <w:t>该项目环境风险潜势为I</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（2）风险评价等级</w:t>
            </w:r>
          </w:p>
          <w:p>
            <w:pPr>
              <w:spacing w:line="360" w:lineRule="auto"/>
              <w:ind w:firstLine="480" w:firstLineChars="200"/>
              <w:rPr>
                <w:rFonts w:eastAsia="宋体"/>
                <w:color w:val="auto"/>
              </w:rPr>
            </w:pPr>
            <w:r>
              <w:rPr>
                <w:rFonts w:hint="eastAsia" w:ascii="宋体" w:hAnsi="宋体" w:eastAsia="宋体"/>
                <w:color w:val="auto"/>
                <w:sz w:val="24"/>
                <w:szCs w:val="24"/>
              </w:rPr>
              <w:t>根据建设项目涉及的物质及工艺系统危险性和所在地的环境敏感性确定环境风险潜势后，按照表4-</w:t>
            </w:r>
            <w:r>
              <w:rPr>
                <w:rFonts w:hint="eastAsia" w:ascii="宋体" w:hAnsi="宋体" w:eastAsia="宋体"/>
                <w:color w:val="auto"/>
                <w:sz w:val="24"/>
                <w:szCs w:val="24"/>
                <w:lang w:val="en-US" w:eastAsia="zh-CN"/>
              </w:rPr>
              <w:t>13</w:t>
            </w:r>
            <w:r>
              <w:rPr>
                <w:rFonts w:hint="eastAsia" w:ascii="宋体" w:hAnsi="宋体" w:eastAsia="宋体"/>
                <w:color w:val="auto"/>
                <w:sz w:val="24"/>
                <w:szCs w:val="24"/>
              </w:rPr>
              <w:t>确定评价工作等级</w:t>
            </w:r>
            <w:r>
              <w:rPr>
                <w:rFonts w:hAnsi="宋体" w:eastAsia="宋体"/>
                <w:color w:val="auto"/>
              </w:rPr>
              <w:t>。</w:t>
            </w:r>
          </w:p>
          <w:p>
            <w:pPr>
              <w:spacing w:line="360" w:lineRule="auto"/>
              <w:jc w:val="center"/>
              <w:rPr>
                <w:rFonts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13</w:t>
            </w:r>
            <w:r>
              <w:rPr>
                <w:rFonts w:hint="eastAsia" w:ascii="宋体" w:hAnsi="宋体" w:eastAsia="宋体"/>
                <w:b/>
                <w:bCs/>
                <w:color w:val="auto"/>
                <w:szCs w:val="21"/>
              </w:rPr>
              <w:t>环境风险评价工作等级划分</w:t>
            </w:r>
          </w:p>
          <w:tbl>
            <w:tblPr>
              <w:tblStyle w:val="19"/>
              <w:tblW w:w="765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80"/>
              <w:gridCol w:w="1580"/>
              <w:gridCol w:w="158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环境风险潜势</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r>
                    <w:rPr>
                      <w:rFonts w:hAnsi="宋体" w:eastAsia="宋体"/>
                      <w:color w:val="auto"/>
                      <w:szCs w:val="21"/>
                    </w:rPr>
                    <w:t>、</w:t>
                  </w:r>
                  <w:r>
                    <w:rPr>
                      <w:rFonts w:eastAsia="宋体"/>
                      <w:color w:val="auto"/>
                      <w:szCs w:val="21"/>
                    </w:rPr>
                    <w:fldChar w:fldCharType="begin"/>
                  </w:r>
                  <w:r>
                    <w:rPr>
                      <w:rFonts w:eastAsia="宋体"/>
                      <w:color w:val="auto"/>
                      <w:szCs w:val="21"/>
                    </w:rPr>
                    <w:instrText xml:space="preserve"> = 4 \* ROMAN </w:instrText>
                  </w:r>
                  <w:r>
                    <w:rPr>
                      <w:rFonts w:eastAsia="宋体"/>
                      <w:color w:val="auto"/>
                      <w:szCs w:val="21"/>
                    </w:rPr>
                    <w:fldChar w:fldCharType="separate"/>
                  </w:r>
                  <w:r>
                    <w:rPr>
                      <w:rFonts w:eastAsia="宋体"/>
                      <w:color w:val="auto"/>
                      <w:szCs w:val="21"/>
                    </w:rPr>
                    <w:t>IV</w:t>
                  </w:r>
                  <w:r>
                    <w:rPr>
                      <w:rFonts w:eastAsia="宋体"/>
                      <w:color w:val="auto"/>
                      <w:szCs w:val="21"/>
                    </w:rPr>
                    <w:fldChar w:fldCharType="end"/>
                  </w:r>
                  <w:r>
                    <w:rPr>
                      <w:rFonts w:eastAsia="宋体"/>
                      <w:color w:val="auto"/>
                      <w:szCs w:val="21"/>
                    </w:rPr>
                    <w:t>+</w:t>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3 \* ROMAN </w:instrText>
                  </w:r>
                  <w:r>
                    <w:rPr>
                      <w:rFonts w:eastAsia="宋体"/>
                      <w:color w:val="auto"/>
                      <w:szCs w:val="21"/>
                    </w:rPr>
                    <w:fldChar w:fldCharType="separate"/>
                  </w:r>
                  <w:r>
                    <w:rPr>
                      <w:rFonts w:eastAsia="宋体"/>
                      <w:color w:val="auto"/>
                      <w:szCs w:val="21"/>
                    </w:rPr>
                    <w:t>III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2 \* ROMAN </w:instrText>
                  </w:r>
                  <w:r>
                    <w:rPr>
                      <w:rFonts w:eastAsia="宋体"/>
                      <w:color w:val="auto"/>
                      <w:szCs w:val="21"/>
                    </w:rPr>
                    <w:fldChar w:fldCharType="separate"/>
                  </w:r>
                  <w:r>
                    <w:rPr>
                      <w:rFonts w:eastAsia="宋体"/>
                      <w:color w:val="auto"/>
                      <w:szCs w:val="21"/>
                    </w:rPr>
                    <w:t>II</w:t>
                  </w:r>
                  <w:r>
                    <w:rPr>
                      <w:rFonts w:eastAsia="宋体"/>
                      <w:color w:val="auto"/>
                      <w:szCs w:val="21"/>
                    </w:rPr>
                    <w:fldChar w:fldCharType="end"/>
                  </w:r>
                </w:p>
              </w:tc>
              <w:tc>
                <w:tcPr>
                  <w:tcW w:w="793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eastAsia="宋体"/>
                      <w:color w:val="auto"/>
                      <w:szCs w:val="21"/>
                    </w:rPr>
                    <w:fldChar w:fldCharType="begin"/>
                  </w:r>
                  <w:r>
                    <w:rPr>
                      <w:rFonts w:eastAsia="宋体"/>
                      <w:color w:val="auto"/>
                      <w:szCs w:val="21"/>
                    </w:rPr>
                    <w:instrText xml:space="preserve"> = 1 \* ROMAN </w:instrText>
                  </w:r>
                  <w:r>
                    <w:rPr>
                      <w:rFonts w:eastAsia="宋体"/>
                      <w:color w:val="auto"/>
                      <w:szCs w:val="21"/>
                    </w:rPr>
                    <w:fldChar w:fldCharType="separate"/>
                  </w:r>
                  <w:r>
                    <w:rPr>
                      <w:rFonts w:eastAsia="宋体"/>
                      <w:color w:val="auto"/>
                      <w:szCs w:val="21"/>
                    </w:rPr>
                    <w:t>I</w:t>
                  </w:r>
                  <w:r>
                    <w:rPr>
                      <w:rFonts w:eastAsia="宋体"/>
                      <w:color w:val="auto"/>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评价工作等级</w:t>
                  </w:r>
                </w:p>
              </w:tc>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一</w:t>
                  </w:r>
                </w:p>
              </w:tc>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二</w:t>
                  </w:r>
                </w:p>
              </w:tc>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三</w:t>
                  </w:r>
                </w:p>
              </w:tc>
              <w:tc>
                <w:tcPr>
                  <w:tcW w:w="7937" w:type="dxa"/>
                  <w:tcBorders>
                    <w:tl2br w:val="nil"/>
                    <w:tr2bl w:val="nil"/>
                  </w:tcBorders>
                  <w:shd w:val="clear" w:color="auto" w:fill="auto"/>
                  <w:noWrap/>
                </w:tcPr>
                <w:p>
                  <w:pPr>
                    <w:adjustRightInd w:val="0"/>
                    <w:snapToGrid w:val="0"/>
                    <w:jc w:val="center"/>
                    <w:rPr>
                      <w:rFonts w:eastAsia="宋体"/>
                      <w:color w:val="auto"/>
                      <w:szCs w:val="21"/>
                    </w:rPr>
                  </w:pPr>
                  <w:r>
                    <w:rPr>
                      <w:rFonts w:hAnsi="宋体" w:eastAsia="宋体"/>
                      <w:color w:val="auto"/>
                      <w:szCs w:val="21"/>
                    </w:rPr>
                    <w:t>简单分析</w:t>
                  </w:r>
                  <w:r>
                    <w:rPr>
                      <w:rFonts w:eastAsia="宋体"/>
                      <w:color w:val="auto"/>
                      <w:szCs w:val="21"/>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7" w:type="dxa"/>
                  <w:gridSpan w:val="5"/>
                  <w:tcBorders>
                    <w:tl2br w:val="nil"/>
                    <w:tr2bl w:val="nil"/>
                  </w:tcBorders>
                  <w:shd w:val="clear" w:color="auto" w:fill="auto"/>
                  <w:noWrap/>
                </w:tcPr>
                <w:p>
                  <w:pPr>
                    <w:adjustRightInd w:val="0"/>
                    <w:snapToGrid w:val="0"/>
                    <w:rPr>
                      <w:rFonts w:eastAsia="宋体"/>
                      <w:color w:val="auto"/>
                      <w:szCs w:val="21"/>
                    </w:rPr>
                  </w:pPr>
                  <w:r>
                    <w:rPr>
                      <w:rFonts w:hAnsi="宋体" w:eastAsia="宋体"/>
                      <w:color w:val="auto"/>
                      <w:szCs w:val="21"/>
                    </w:rPr>
                    <w:t>是相对于详细评价工作内容而言，在描述危险物质、环境影响途径、环境危害后果、风险防范措施等方面给出定性的说明。</w:t>
                  </w:r>
                </w:p>
              </w:tc>
            </w:tr>
          </w:tbl>
          <w:p>
            <w:pPr>
              <w:pStyle w:val="2"/>
              <w:rPr>
                <w:rFonts w:ascii="宋体" w:hAnsi="宋体" w:eastAsia="宋体"/>
                <w:color w:val="auto"/>
                <w:sz w:val="24"/>
                <w:szCs w:val="24"/>
              </w:rPr>
            </w:pPr>
            <w:r>
              <w:rPr>
                <w:rFonts w:hint="eastAsia" w:ascii="宋体" w:hAnsi="宋体" w:eastAsia="宋体"/>
                <w:color w:val="auto"/>
                <w:sz w:val="24"/>
                <w:szCs w:val="24"/>
              </w:rPr>
              <w:t>根据上表该项目环境风险潜势为</w:t>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1 \* ROMAN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I</w:t>
            </w:r>
            <w:r>
              <w:rPr>
                <w:rFonts w:hint="eastAsia" w:ascii="宋体" w:hAnsi="宋体" w:eastAsia="宋体"/>
                <w:color w:val="auto"/>
                <w:sz w:val="24"/>
                <w:szCs w:val="24"/>
              </w:rPr>
              <w:fldChar w:fldCharType="end"/>
            </w:r>
            <w:r>
              <w:rPr>
                <w:rFonts w:hint="eastAsia" w:ascii="宋体" w:hAnsi="宋体" w:eastAsia="宋体"/>
                <w:color w:val="auto"/>
                <w:sz w:val="24"/>
                <w:szCs w:val="24"/>
              </w:rPr>
              <w:t>，故评价工作等级为简单分析。</w:t>
            </w: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14</w:t>
            </w:r>
            <w:r>
              <w:rPr>
                <w:rFonts w:hint="eastAsia" w:ascii="宋体" w:hAnsi="宋体" w:eastAsia="宋体"/>
                <w:b/>
                <w:bCs/>
                <w:color w:val="auto"/>
                <w:szCs w:val="21"/>
              </w:rPr>
              <w:t>建设项目环境风险简单分析内容表</w:t>
            </w:r>
          </w:p>
          <w:tbl>
            <w:tblPr>
              <w:tblStyle w:val="19"/>
              <w:tblW w:w="790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58"/>
              <w:gridCol w:w="1550"/>
              <w:gridCol w:w="1317"/>
              <w:gridCol w:w="888"/>
              <w:gridCol w:w="1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建设项目名称</w:t>
                  </w:r>
                </w:p>
              </w:tc>
              <w:tc>
                <w:tcPr>
                  <w:tcW w:w="6359" w:type="dxa"/>
                  <w:gridSpan w:val="5"/>
                  <w:tcBorders>
                    <w:tl2br w:val="nil"/>
                    <w:tr2bl w:val="nil"/>
                  </w:tcBorders>
                  <w:shd w:val="clear" w:color="auto" w:fill="auto"/>
                  <w:noWrap/>
                  <w:vAlign w:val="center"/>
                </w:tcPr>
                <w:p>
                  <w:pPr>
                    <w:adjustRightInd w:val="0"/>
                    <w:snapToGrid w:val="0"/>
                    <w:jc w:val="center"/>
                    <w:rPr>
                      <w:rFonts w:eastAsia="宋体"/>
                      <w:color w:val="auto"/>
                      <w:szCs w:val="21"/>
                    </w:rPr>
                  </w:pPr>
                  <w:r>
                    <w:rPr>
                      <w:rFonts w:hint="eastAsia" w:hAnsi="宋体" w:eastAsia="宋体"/>
                      <w:color w:val="auto"/>
                      <w:szCs w:val="21"/>
                    </w:rPr>
                    <w:t>（利新）新型节能环保保温材料项目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建设地点</w:t>
                  </w:r>
                </w:p>
              </w:tc>
              <w:tc>
                <w:tcPr>
                  <w:tcW w:w="858"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w:t>
                  </w:r>
                  <w:r>
                    <w:rPr>
                      <w:rFonts w:hint="eastAsia" w:hAnsi="宋体" w:eastAsia="宋体"/>
                      <w:color w:val="auto"/>
                      <w:szCs w:val="21"/>
                    </w:rPr>
                    <w:t>湖南</w:t>
                  </w:r>
                  <w:r>
                    <w:rPr>
                      <w:rFonts w:hAnsi="宋体" w:eastAsia="宋体"/>
                      <w:color w:val="auto"/>
                      <w:szCs w:val="21"/>
                    </w:rPr>
                    <w:t>）省</w:t>
                  </w:r>
                </w:p>
              </w:tc>
              <w:tc>
                <w:tcPr>
                  <w:tcW w:w="1550"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w:t>
                  </w:r>
                  <w:r>
                    <w:rPr>
                      <w:rFonts w:hint="eastAsia" w:hAnsi="宋体" w:eastAsia="宋体"/>
                      <w:color w:val="auto"/>
                      <w:szCs w:val="21"/>
                    </w:rPr>
                    <w:t>常德</w:t>
                  </w:r>
                  <w:r>
                    <w:rPr>
                      <w:rFonts w:hAnsi="宋体" w:eastAsia="宋体"/>
                      <w:color w:val="auto"/>
                      <w:szCs w:val="21"/>
                    </w:rPr>
                    <w:t>）市</w:t>
                  </w:r>
                </w:p>
              </w:tc>
              <w:tc>
                <w:tcPr>
                  <w:tcW w:w="131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w:t>
                  </w:r>
                  <w:r>
                    <w:rPr>
                      <w:rFonts w:eastAsia="宋体"/>
                      <w:color w:val="auto"/>
                      <w:szCs w:val="21"/>
                    </w:rPr>
                    <w:t>/</w:t>
                  </w:r>
                  <w:r>
                    <w:rPr>
                      <w:rFonts w:hAnsi="宋体" w:eastAsia="宋体"/>
                      <w:color w:val="auto"/>
                      <w:szCs w:val="21"/>
                    </w:rPr>
                    <w:t>）区</w:t>
                  </w:r>
                </w:p>
              </w:tc>
              <w:tc>
                <w:tcPr>
                  <w:tcW w:w="888" w:type="dxa"/>
                  <w:tcBorders>
                    <w:tl2br w:val="nil"/>
                    <w:tr2bl w:val="nil"/>
                  </w:tcBorders>
                  <w:shd w:val="clear" w:color="auto" w:fill="auto"/>
                  <w:noWrap/>
                  <w:vAlign w:val="center"/>
                </w:tcPr>
                <w:p>
                  <w:pPr>
                    <w:adjustRightInd w:val="0"/>
                    <w:snapToGrid w:val="0"/>
                    <w:jc w:val="both"/>
                    <w:rPr>
                      <w:rFonts w:eastAsia="宋体"/>
                      <w:color w:val="auto"/>
                      <w:szCs w:val="21"/>
                    </w:rPr>
                  </w:pPr>
                  <w:r>
                    <w:rPr>
                      <w:rFonts w:hAnsi="宋体" w:eastAsia="宋体"/>
                      <w:color w:val="auto"/>
                      <w:szCs w:val="21"/>
                    </w:rPr>
                    <w:t>（</w:t>
                  </w:r>
                  <w:r>
                    <w:rPr>
                      <w:rFonts w:hint="eastAsia" w:hAnsi="宋体" w:eastAsia="宋体"/>
                      <w:color w:val="auto"/>
                      <w:szCs w:val="21"/>
                    </w:rPr>
                    <w:t>津市</w:t>
                  </w:r>
                  <w:r>
                    <w:rPr>
                      <w:rFonts w:hAnsi="宋体" w:eastAsia="宋体"/>
                      <w:color w:val="auto"/>
                      <w:szCs w:val="21"/>
                    </w:rPr>
                    <w:t>）</w:t>
                  </w:r>
                  <w:r>
                    <w:rPr>
                      <w:rFonts w:hint="eastAsia" w:hAnsi="宋体" w:eastAsia="宋体"/>
                      <w:color w:val="auto"/>
                      <w:szCs w:val="21"/>
                    </w:rPr>
                    <w:t>市</w:t>
                  </w:r>
                </w:p>
              </w:tc>
              <w:tc>
                <w:tcPr>
                  <w:tcW w:w="1746"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int="eastAsia" w:hAnsi="宋体" w:eastAsia="宋体"/>
                      <w:color w:val="auto"/>
                      <w:szCs w:val="21"/>
                    </w:rPr>
                    <w:t>津市高新技术产业开发区团湖大道右侧钰兴科技园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地理坐标</w:t>
                  </w:r>
                </w:p>
              </w:tc>
              <w:tc>
                <w:tcPr>
                  <w:tcW w:w="858"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经度</w:t>
                  </w:r>
                </w:p>
              </w:tc>
              <w:tc>
                <w:tcPr>
                  <w:tcW w:w="1550" w:type="dxa"/>
                  <w:tcBorders>
                    <w:tl2br w:val="nil"/>
                    <w:tr2bl w:val="nil"/>
                  </w:tcBorders>
                  <w:shd w:val="clear" w:color="auto" w:fill="auto"/>
                  <w:noWrap/>
                  <w:vAlign w:val="center"/>
                </w:tcPr>
                <w:p>
                  <w:pPr>
                    <w:adjustRightInd w:val="0"/>
                    <w:snapToGrid w:val="0"/>
                    <w:rPr>
                      <w:rFonts w:eastAsia="宋体"/>
                      <w:color w:val="auto"/>
                      <w:szCs w:val="21"/>
                    </w:rPr>
                  </w:pPr>
                  <w:r>
                    <w:rPr>
                      <w:rFonts w:hint="eastAsia" w:eastAsia="宋体"/>
                      <w:color w:val="auto"/>
                      <w:szCs w:val="21"/>
                    </w:rPr>
                    <w:t>111.84949763</w:t>
                  </w:r>
                </w:p>
              </w:tc>
              <w:tc>
                <w:tcPr>
                  <w:tcW w:w="1317" w:type="dxa"/>
                  <w:tcBorders>
                    <w:tl2br w:val="nil"/>
                    <w:tr2bl w:val="nil"/>
                  </w:tcBorders>
                  <w:shd w:val="clear" w:color="auto" w:fill="auto"/>
                  <w:noWrap/>
                  <w:vAlign w:val="center"/>
                </w:tcPr>
                <w:p>
                  <w:pPr>
                    <w:adjustRightInd w:val="0"/>
                    <w:snapToGrid w:val="0"/>
                    <w:jc w:val="center"/>
                    <w:rPr>
                      <w:rFonts w:eastAsia="宋体"/>
                      <w:color w:val="auto"/>
                      <w:szCs w:val="21"/>
                    </w:rPr>
                  </w:pPr>
                  <w:r>
                    <w:rPr>
                      <w:rFonts w:hAnsi="宋体" w:eastAsia="宋体"/>
                      <w:color w:val="auto"/>
                      <w:szCs w:val="21"/>
                    </w:rPr>
                    <w:t>纬度</w:t>
                  </w:r>
                </w:p>
              </w:tc>
              <w:tc>
                <w:tcPr>
                  <w:tcW w:w="2634" w:type="dxa"/>
                  <w:gridSpan w:val="2"/>
                  <w:tcBorders>
                    <w:tl2br w:val="nil"/>
                    <w:tr2bl w:val="nil"/>
                  </w:tcBorders>
                  <w:shd w:val="clear" w:color="auto" w:fill="auto"/>
                  <w:noWrap/>
                  <w:vAlign w:val="center"/>
                </w:tcPr>
                <w:p>
                  <w:pPr>
                    <w:adjustRightInd w:val="0"/>
                    <w:snapToGrid w:val="0"/>
                    <w:jc w:val="center"/>
                    <w:rPr>
                      <w:rFonts w:eastAsia="宋体"/>
                      <w:color w:val="auto"/>
                      <w:szCs w:val="21"/>
                    </w:rPr>
                  </w:pPr>
                  <w:r>
                    <w:rPr>
                      <w:rFonts w:hint="eastAsia" w:eastAsia="宋体"/>
                      <w:color w:val="auto"/>
                      <w:szCs w:val="21"/>
                    </w:rPr>
                    <w:t>29.56905039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主要危险物质及分布</w:t>
                  </w:r>
                </w:p>
              </w:tc>
              <w:tc>
                <w:tcPr>
                  <w:tcW w:w="6359" w:type="dxa"/>
                  <w:gridSpan w:val="5"/>
                  <w:tcBorders>
                    <w:tl2br w:val="nil"/>
                    <w:tr2bl w:val="nil"/>
                  </w:tcBorders>
                  <w:shd w:val="clear" w:color="auto" w:fill="auto"/>
                  <w:noWrap/>
                  <w:vAlign w:val="center"/>
                </w:tcPr>
                <w:p>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环境影响途径及危害后果（大气、地表水、地下水等）</w:t>
                  </w:r>
                </w:p>
              </w:tc>
              <w:tc>
                <w:tcPr>
                  <w:tcW w:w="6359" w:type="dxa"/>
                  <w:gridSpan w:val="5"/>
                  <w:tcBorders>
                    <w:tl2br w:val="nil"/>
                    <w:tr2bl w:val="nil"/>
                  </w:tcBorders>
                  <w:shd w:val="clear" w:color="auto" w:fill="auto"/>
                  <w:noWrap/>
                  <w:vAlign w:val="center"/>
                </w:tcPr>
                <w:p>
                  <w:pPr>
                    <w:adjustRightInd w:val="0"/>
                    <w:snapToGrid w:val="0"/>
                    <w:rPr>
                      <w:rFonts w:eastAsia="宋体"/>
                      <w:color w:val="auto"/>
                      <w:szCs w:val="21"/>
                    </w:rPr>
                  </w:pPr>
                  <w:r>
                    <w:rPr>
                      <w:rFonts w:hAnsi="宋体" w:eastAsia="宋体"/>
                      <w:color w:val="auto"/>
                      <w:szCs w:val="21"/>
                    </w:rPr>
                    <w:t>废气净化装置发生故障，废气未经净化直接排放会对周边大气环境造成一定的影响；因突发泄漏、火灾事故时，对事故消防用水、冲洗用水的应急处理（处置）措施不当，将导致含有污染物的泄露液及大量消防用水、冲洗用水直接进入所在地的地表水体（水系）沟渠、河流，造成对地表水的污染，如渗入地下水，造成地下水的污染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adjustRightInd w:val="0"/>
                    <w:snapToGrid w:val="0"/>
                    <w:jc w:val="center"/>
                    <w:rPr>
                      <w:rFonts w:eastAsia="宋体"/>
                      <w:b/>
                      <w:color w:val="auto"/>
                      <w:szCs w:val="21"/>
                    </w:rPr>
                  </w:pPr>
                  <w:r>
                    <w:rPr>
                      <w:rFonts w:hAnsi="宋体" w:eastAsia="宋体"/>
                      <w:b/>
                      <w:color w:val="auto"/>
                      <w:szCs w:val="21"/>
                    </w:rPr>
                    <w:t>风险防范措施要求</w:t>
                  </w:r>
                </w:p>
              </w:tc>
              <w:tc>
                <w:tcPr>
                  <w:tcW w:w="6359" w:type="dxa"/>
                  <w:gridSpan w:val="5"/>
                  <w:tcBorders>
                    <w:tl2br w:val="nil"/>
                    <w:tr2bl w:val="nil"/>
                  </w:tcBorders>
                  <w:shd w:val="clear" w:color="auto" w:fill="auto"/>
                  <w:noWrap/>
                </w:tcPr>
                <w:p>
                  <w:pPr>
                    <w:rPr>
                      <w:rFonts w:hint="eastAsia" w:eastAsiaTheme="minorEastAsia"/>
                      <w:color w:val="auto"/>
                      <w:lang w:eastAsia="zh-CN"/>
                    </w:rPr>
                  </w:pPr>
                  <w:r>
                    <w:rPr>
                      <w:color w:val="auto"/>
                    </w:rPr>
                    <w:t>1、加强对危险性原辅材料的管理；制定安全操作规程，要求操作人员严格按操作规程作业；对从事危险化学作业人员定期进行安全培训教育；并对其作业场所进行安全检查。</w:t>
                  </w:r>
                </w:p>
                <w:p>
                  <w:pPr>
                    <w:rPr>
                      <w:rFonts w:hint="eastAsia" w:eastAsiaTheme="minorEastAsia"/>
                      <w:color w:val="auto"/>
                      <w:lang w:eastAsia="zh-CN"/>
                    </w:rPr>
                  </w:pPr>
                  <w:r>
                    <w:rPr>
                      <w:color w:val="auto"/>
                    </w:rPr>
                    <w:t>2、加强对废气、废水处理设施的日常巡检、保养、维修。及时发现有可能引起事故的异常运行苗头，消除事故隐患。</w:t>
                  </w:r>
                </w:p>
                <w:p>
                  <w:pPr>
                    <w:adjustRightInd w:val="0"/>
                    <w:snapToGrid w:val="0"/>
                    <w:rPr>
                      <w:color w:val="auto"/>
                    </w:rPr>
                  </w:pPr>
                  <w:r>
                    <w:rPr>
                      <w:color w:val="auto"/>
                    </w:rPr>
                    <w:t>3、严格按《危险化学品安全管理条例》的要求，加强对危险化学品的管理。</w:t>
                  </w:r>
                </w:p>
                <w:p>
                  <w:pPr>
                    <w:pStyle w:val="2"/>
                    <w:rPr>
                      <w:color w:val="auto"/>
                    </w:rPr>
                  </w:pPr>
                  <w:r>
                    <w:rPr>
                      <w:rStyle w:val="22"/>
                      <w:rFonts w:hint="eastAsia"/>
                      <w:color w:val="auto"/>
                    </w:rPr>
                    <w:t>4、加强对厂区火源控制管理，一旦发生火灾，灭火过程中需遵循下述措施：①如有可能，转移未着火的容器。防止包装破损，引起环境污染。②收容消防废水，防止流入雨水管网进入河流。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shd w:val="clear" w:color="auto" w:fill="auto"/>
                  <w:noWrap/>
                  <w:vAlign w:val="center"/>
                </w:tcPr>
                <w:p>
                  <w:pPr>
                    <w:jc w:val="center"/>
                    <w:rPr>
                      <w:rFonts w:eastAsia="宋体"/>
                      <w:b/>
                      <w:color w:val="auto"/>
                      <w:szCs w:val="21"/>
                    </w:rPr>
                  </w:pPr>
                  <w:r>
                    <w:rPr>
                      <w:rFonts w:hAnsi="宋体" w:eastAsia="宋体"/>
                      <w:b/>
                      <w:color w:val="auto"/>
                      <w:szCs w:val="21"/>
                    </w:rPr>
                    <w:t>填表说明（列出项目相关信息及评价说明）</w:t>
                  </w:r>
                </w:p>
              </w:tc>
              <w:tc>
                <w:tcPr>
                  <w:tcW w:w="6359" w:type="dxa"/>
                  <w:gridSpan w:val="5"/>
                  <w:tcBorders>
                    <w:tl2br w:val="nil"/>
                    <w:tr2bl w:val="nil"/>
                  </w:tcBorders>
                  <w:shd w:val="clear" w:color="auto" w:fill="auto"/>
                  <w:noWrap/>
                </w:tcPr>
                <w:p>
                  <w:pPr>
                    <w:rPr>
                      <w:rFonts w:eastAsia="宋体"/>
                      <w:color w:val="auto"/>
                      <w:szCs w:val="21"/>
                    </w:rPr>
                  </w:pPr>
                  <w:r>
                    <w:rPr>
                      <w:rFonts w:hAnsi="宋体" w:eastAsia="宋体"/>
                      <w:color w:val="auto"/>
                      <w:szCs w:val="21"/>
                    </w:rPr>
                    <w:t>本项目为</w:t>
                  </w:r>
                  <w:r>
                    <w:rPr>
                      <w:rFonts w:hint="eastAsia" w:hAnsi="宋体" w:eastAsia="宋体"/>
                      <w:color w:val="auto"/>
                      <w:szCs w:val="21"/>
                    </w:rPr>
                    <w:t>新</w:t>
                  </w:r>
                  <w:r>
                    <w:rPr>
                      <w:rFonts w:hAnsi="宋体" w:eastAsia="宋体"/>
                      <w:color w:val="auto"/>
                      <w:szCs w:val="21"/>
                    </w:rPr>
                    <w:t>建项目，主要生产</w:t>
                  </w:r>
                  <w:r>
                    <w:rPr>
                      <w:rFonts w:hint="eastAsia" w:hAnsi="宋体" w:eastAsia="宋体"/>
                      <w:color w:val="auto"/>
                      <w:szCs w:val="21"/>
                    </w:rPr>
                    <w:t>保温板</w:t>
                  </w:r>
                  <w:r>
                    <w:rPr>
                      <w:rFonts w:hAnsi="宋体" w:eastAsia="宋体"/>
                      <w:color w:val="auto"/>
                      <w:szCs w:val="21"/>
                    </w:rPr>
                    <w:t>。本项目生产过程中不使用危险物质，其危险物质数量与临界量比值</w:t>
                  </w:r>
                  <w:r>
                    <w:rPr>
                      <w:rFonts w:eastAsia="宋体"/>
                      <w:color w:val="auto"/>
                      <w:szCs w:val="21"/>
                    </w:rPr>
                    <w:t>Q</w:t>
                  </w:r>
                  <w:r>
                    <w:rPr>
                      <w:rFonts w:hint="eastAsia" w:eastAsia="宋体"/>
                      <w:color w:val="auto"/>
                      <w:szCs w:val="21"/>
                      <w:lang w:val="en-US" w:eastAsia="zh-CN"/>
                    </w:rPr>
                    <w:t>=0</w:t>
                  </w:r>
                  <w:r>
                    <w:rPr>
                      <w:rFonts w:hAnsi="宋体" w:eastAsia="宋体"/>
                      <w:color w:val="auto"/>
                      <w:szCs w:val="21"/>
                    </w:rPr>
                    <w:t>＜</w:t>
                  </w:r>
                  <w:r>
                    <w:rPr>
                      <w:rFonts w:eastAsia="宋体"/>
                      <w:color w:val="auto"/>
                      <w:szCs w:val="21"/>
                    </w:rPr>
                    <w:t>1</w:t>
                  </w:r>
                  <w:r>
                    <w:rPr>
                      <w:rFonts w:hAnsi="宋体" w:eastAsia="宋体"/>
                      <w:color w:val="auto"/>
                      <w:szCs w:val="21"/>
                    </w:rPr>
                    <w:t>，故本项目环境风险潜势为</w:t>
                  </w:r>
                  <w:r>
                    <w:rPr>
                      <w:rFonts w:eastAsia="宋体"/>
                      <w:color w:val="auto"/>
                      <w:szCs w:val="21"/>
                    </w:rPr>
                    <w:t>Ⅰ</w:t>
                  </w:r>
                  <w:r>
                    <w:rPr>
                      <w:rFonts w:hAnsi="宋体" w:eastAsia="宋体"/>
                      <w:color w:val="auto"/>
                      <w:szCs w:val="21"/>
                    </w:rPr>
                    <w:t>，可开展简单分析，采取风险防范措施后，处于可接受水平。</w:t>
                  </w:r>
                </w:p>
              </w:tc>
            </w:tr>
          </w:tbl>
          <w:p>
            <w:pPr>
              <w:pStyle w:val="6"/>
              <w:jc w:val="both"/>
              <w:rPr>
                <w:rFonts w:ascii="Times New Roman" w:hAnsi="Times New Roman" w:eastAsia="Times New Roman"/>
                <w:color w:val="auto"/>
                <w:sz w:val="21"/>
                <w:szCs w:val="21"/>
              </w:rPr>
            </w:pPr>
            <w:r>
              <w:rPr>
                <w:rFonts w:hint="eastAsia" w:ascii="Times New Roman" w:hAnsi="Times New Roman" w:eastAsia="宋体"/>
                <w:color w:val="auto"/>
                <w:sz w:val="21"/>
                <w:szCs w:val="21"/>
                <w:lang w:val="en-US" w:eastAsia="zh-CN"/>
              </w:rPr>
              <w:t>6</w:t>
            </w:r>
            <w:r>
              <w:rPr>
                <w:rFonts w:ascii="Times New Roman" w:hAnsi="Times New Roman" w:eastAsia="Times New Roman"/>
                <w:color w:val="auto"/>
                <w:sz w:val="21"/>
                <w:szCs w:val="21"/>
              </w:rPr>
              <w:t>、</w:t>
            </w:r>
            <w:r>
              <w:rPr>
                <w:rFonts w:hint="eastAsia" w:ascii="Times New Roman" w:hAnsi="Times New Roman" w:eastAsia="Times New Roman"/>
                <w:color w:val="auto"/>
                <w:sz w:val="21"/>
                <w:szCs w:val="21"/>
              </w:rPr>
              <w:t>环保投资估算</w:t>
            </w:r>
          </w:p>
          <w:p>
            <w:pPr>
              <w:spacing w:line="360" w:lineRule="auto"/>
              <w:ind w:firstLine="480" w:firstLineChars="200"/>
              <w:rPr>
                <w:rFonts w:ascii="宋体" w:hAnsi="宋体" w:eastAsia="宋体"/>
                <w:color w:val="auto"/>
                <w:szCs w:val="21"/>
              </w:rPr>
            </w:pPr>
            <w:r>
              <w:rPr>
                <w:rFonts w:hint="eastAsia" w:ascii="宋体" w:hAnsi="宋体" w:eastAsia="宋体"/>
                <w:color w:val="auto"/>
                <w:sz w:val="24"/>
                <w:szCs w:val="24"/>
              </w:rPr>
              <w:t>本项目总投资1000万元，其中环保设施投资58.5万元，所占比例为5.85%。本项目环保投资情况及环保设施备案要求见表4-</w:t>
            </w:r>
            <w:r>
              <w:rPr>
                <w:rFonts w:hint="eastAsia" w:ascii="宋体" w:hAnsi="宋体" w:eastAsia="宋体"/>
                <w:color w:val="auto"/>
                <w:sz w:val="24"/>
                <w:szCs w:val="24"/>
                <w:lang w:val="en-US" w:eastAsia="zh-CN"/>
              </w:rPr>
              <w:t>15</w:t>
            </w:r>
            <w:r>
              <w:rPr>
                <w:rFonts w:hint="eastAsia" w:ascii="宋体" w:hAnsi="宋体" w:eastAsia="宋体"/>
                <w:color w:val="auto"/>
                <w:szCs w:val="21"/>
              </w:rPr>
              <w:t>。</w:t>
            </w:r>
          </w:p>
          <w:p>
            <w:pPr>
              <w:spacing w:line="360" w:lineRule="auto"/>
              <w:jc w:val="center"/>
              <w:rPr>
                <w:rFonts w:ascii="宋体" w:hAnsi="宋体" w:eastAsia="宋体"/>
                <w:b/>
                <w:bCs/>
                <w:color w:val="auto"/>
                <w:szCs w:val="21"/>
              </w:rPr>
            </w:pPr>
            <w:r>
              <w:rPr>
                <w:rFonts w:hint="eastAsia" w:ascii="宋体" w:hAnsi="宋体" w:eastAsia="宋体"/>
                <w:b/>
                <w:bCs/>
                <w:color w:val="auto"/>
                <w:szCs w:val="21"/>
              </w:rPr>
              <w:t>表4-</w:t>
            </w:r>
            <w:r>
              <w:rPr>
                <w:rFonts w:hint="eastAsia" w:ascii="宋体" w:hAnsi="宋体" w:eastAsia="宋体"/>
                <w:b/>
                <w:bCs/>
                <w:color w:val="auto"/>
                <w:szCs w:val="21"/>
                <w:lang w:val="en-US" w:eastAsia="zh-CN"/>
              </w:rPr>
              <w:t>15</w:t>
            </w:r>
            <w:r>
              <w:rPr>
                <w:rFonts w:hint="eastAsia" w:ascii="宋体" w:hAnsi="宋体" w:eastAsia="宋体"/>
                <w:b/>
                <w:bCs/>
                <w:color w:val="auto"/>
                <w:szCs w:val="21"/>
              </w:rPr>
              <w:t>环保投资情况及环保设施验收要求表</w:t>
            </w:r>
          </w:p>
          <w:tbl>
            <w:tblPr>
              <w:tblStyle w:val="19"/>
              <w:tblW w:w="789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12"/>
              <w:gridCol w:w="5220"/>
              <w:gridCol w:w="11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66" w:type="dxa"/>
                  <w:gridSpan w:val="2"/>
                  <w:tcBorders>
                    <w:tl2br w:val="nil"/>
                    <w:tr2bl w:val="nil"/>
                  </w:tcBorders>
                  <w:noWrap/>
                  <w:vAlign w:val="center"/>
                </w:tcPr>
                <w:p>
                  <w:pPr>
                    <w:pStyle w:val="31"/>
                    <w:jc w:val="center"/>
                    <w:rPr>
                      <w:color w:val="auto"/>
                    </w:rPr>
                  </w:pPr>
                  <w:r>
                    <w:rPr>
                      <w:rFonts w:hint="eastAsia"/>
                      <w:color w:val="auto"/>
                    </w:rPr>
                    <w:t>治理项目</w:t>
                  </w:r>
                </w:p>
              </w:tc>
              <w:tc>
                <w:tcPr>
                  <w:tcW w:w="5220" w:type="dxa"/>
                  <w:tcBorders>
                    <w:tl2br w:val="nil"/>
                    <w:tr2bl w:val="nil"/>
                  </w:tcBorders>
                  <w:noWrap/>
                  <w:vAlign w:val="center"/>
                </w:tcPr>
                <w:p>
                  <w:pPr>
                    <w:pStyle w:val="31"/>
                    <w:jc w:val="center"/>
                    <w:rPr>
                      <w:color w:val="auto"/>
                    </w:rPr>
                  </w:pPr>
                  <w:r>
                    <w:rPr>
                      <w:rFonts w:hint="eastAsia"/>
                      <w:color w:val="auto"/>
                    </w:rPr>
                    <w:t>处理设施</w:t>
                  </w:r>
                </w:p>
              </w:tc>
              <w:tc>
                <w:tcPr>
                  <w:tcW w:w="1104" w:type="dxa"/>
                  <w:tcBorders>
                    <w:tl2br w:val="nil"/>
                    <w:tr2bl w:val="nil"/>
                  </w:tcBorders>
                  <w:noWrap/>
                  <w:vAlign w:val="center"/>
                </w:tcPr>
                <w:p>
                  <w:pPr>
                    <w:pStyle w:val="31"/>
                    <w:jc w:val="center"/>
                    <w:rPr>
                      <w:color w:val="auto"/>
                    </w:rPr>
                  </w:pPr>
                  <w:r>
                    <w:rPr>
                      <w:rFonts w:hint="eastAsia"/>
                      <w:color w:val="auto"/>
                    </w:rPr>
                    <w:t>投资金额</w:t>
                  </w:r>
                </w:p>
                <w:p>
                  <w:pPr>
                    <w:pStyle w:val="31"/>
                    <w:jc w:val="center"/>
                    <w:rPr>
                      <w:color w:val="auto"/>
                    </w:rPr>
                  </w:pPr>
                  <w:r>
                    <w:rPr>
                      <w:rFonts w:hint="eastAsia"/>
                      <w:color w:val="auto"/>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restart"/>
                  <w:tcBorders>
                    <w:tl2br w:val="nil"/>
                    <w:tr2bl w:val="nil"/>
                  </w:tcBorders>
                  <w:noWrap/>
                  <w:vAlign w:val="center"/>
                </w:tcPr>
                <w:p>
                  <w:pPr>
                    <w:pStyle w:val="31"/>
                    <w:jc w:val="center"/>
                    <w:rPr>
                      <w:color w:val="auto"/>
                    </w:rPr>
                  </w:pPr>
                  <w:r>
                    <w:rPr>
                      <w:rFonts w:hint="eastAsia"/>
                      <w:color w:val="auto"/>
                    </w:rPr>
                    <w:t>废水</w:t>
                  </w:r>
                </w:p>
              </w:tc>
              <w:tc>
                <w:tcPr>
                  <w:tcW w:w="1012" w:type="dxa"/>
                  <w:tcBorders>
                    <w:tl2br w:val="nil"/>
                    <w:tr2bl w:val="nil"/>
                  </w:tcBorders>
                  <w:noWrap/>
                  <w:vAlign w:val="center"/>
                </w:tcPr>
                <w:p>
                  <w:pPr>
                    <w:pStyle w:val="31"/>
                    <w:jc w:val="center"/>
                    <w:rPr>
                      <w:color w:val="auto"/>
                    </w:rPr>
                  </w:pPr>
                  <w:r>
                    <w:rPr>
                      <w:rFonts w:hint="eastAsia"/>
                      <w:color w:val="auto"/>
                    </w:rPr>
                    <w:t>生活污水</w:t>
                  </w:r>
                </w:p>
              </w:tc>
              <w:tc>
                <w:tcPr>
                  <w:tcW w:w="5220" w:type="dxa"/>
                  <w:tcBorders>
                    <w:tl2br w:val="nil"/>
                    <w:tr2bl w:val="nil"/>
                  </w:tcBorders>
                  <w:noWrap/>
                  <w:vAlign w:val="center"/>
                </w:tcPr>
                <w:p>
                  <w:pPr>
                    <w:pStyle w:val="31"/>
                    <w:jc w:val="center"/>
                    <w:rPr>
                      <w:color w:val="auto"/>
                    </w:rPr>
                  </w:pPr>
                  <w:r>
                    <w:rPr>
                      <w:rFonts w:hint="eastAsia"/>
                      <w:color w:val="auto"/>
                    </w:rPr>
                    <w:t>化粪池（10m</w:t>
                  </w:r>
                  <w:r>
                    <w:rPr>
                      <w:rFonts w:hint="eastAsia"/>
                      <w:color w:val="auto"/>
                      <w:vertAlign w:val="superscript"/>
                    </w:rPr>
                    <w:t>3</w:t>
                  </w:r>
                  <w:r>
                    <w:rPr>
                      <w:rFonts w:hint="eastAsia"/>
                      <w:color w:val="auto"/>
                    </w:rPr>
                    <w:t>）</w:t>
                  </w:r>
                </w:p>
              </w:tc>
              <w:tc>
                <w:tcPr>
                  <w:tcW w:w="1104" w:type="dxa"/>
                  <w:tcBorders>
                    <w:tl2br w:val="nil"/>
                    <w:tr2bl w:val="nil"/>
                  </w:tcBorders>
                  <w:noWrap/>
                  <w:vAlign w:val="center"/>
                </w:tcPr>
                <w:p>
                  <w:pPr>
                    <w:pStyle w:val="31"/>
                    <w:jc w:val="center"/>
                    <w:rPr>
                      <w:color w:val="auto"/>
                    </w:rPr>
                  </w:pPr>
                  <w:r>
                    <w:rPr>
                      <w:rFonts w:hint="eastAsia"/>
                      <w:color w:val="auto"/>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continue"/>
                  <w:tcBorders>
                    <w:tl2br w:val="nil"/>
                    <w:tr2bl w:val="nil"/>
                  </w:tcBorders>
                  <w:noWrap/>
                  <w:vAlign w:val="center"/>
                </w:tcPr>
                <w:p>
                  <w:pPr>
                    <w:pStyle w:val="31"/>
                    <w:jc w:val="center"/>
                    <w:rPr>
                      <w:color w:val="auto"/>
                    </w:rPr>
                  </w:pPr>
                </w:p>
              </w:tc>
              <w:tc>
                <w:tcPr>
                  <w:tcW w:w="1012" w:type="dxa"/>
                  <w:tcBorders>
                    <w:tl2br w:val="nil"/>
                    <w:tr2bl w:val="nil"/>
                  </w:tcBorders>
                  <w:noWrap/>
                  <w:vAlign w:val="center"/>
                </w:tcPr>
                <w:p>
                  <w:pPr>
                    <w:pStyle w:val="31"/>
                    <w:jc w:val="center"/>
                    <w:rPr>
                      <w:color w:val="auto"/>
                    </w:rPr>
                  </w:pPr>
                  <w:r>
                    <w:rPr>
                      <w:rFonts w:hint="eastAsia"/>
                      <w:color w:val="auto"/>
                    </w:rPr>
                    <w:t>生产废水</w:t>
                  </w:r>
                </w:p>
              </w:tc>
              <w:tc>
                <w:tcPr>
                  <w:tcW w:w="5220" w:type="dxa"/>
                  <w:tcBorders>
                    <w:tl2br w:val="nil"/>
                    <w:tr2bl w:val="nil"/>
                  </w:tcBorders>
                  <w:noWrap/>
                  <w:vAlign w:val="center"/>
                </w:tcPr>
                <w:p>
                  <w:pPr>
                    <w:pStyle w:val="31"/>
                    <w:jc w:val="center"/>
                    <w:rPr>
                      <w:color w:val="auto"/>
                    </w:rPr>
                  </w:pPr>
                  <w:r>
                    <w:rPr>
                      <w:rFonts w:hint="eastAsia"/>
                      <w:color w:val="auto"/>
                    </w:rPr>
                    <w:t>10m</w:t>
                  </w:r>
                  <w:r>
                    <w:rPr>
                      <w:rFonts w:hint="eastAsia"/>
                      <w:color w:val="auto"/>
                      <w:vertAlign w:val="superscript"/>
                    </w:rPr>
                    <w:t>3</w:t>
                  </w:r>
                  <w:r>
                    <w:rPr>
                      <w:rFonts w:hint="eastAsia"/>
                      <w:color w:val="auto"/>
                    </w:rPr>
                    <w:t>的循环冷却水池</w:t>
                  </w:r>
                </w:p>
              </w:tc>
              <w:tc>
                <w:tcPr>
                  <w:tcW w:w="1104" w:type="dxa"/>
                  <w:tcBorders>
                    <w:tl2br w:val="nil"/>
                    <w:tr2bl w:val="nil"/>
                  </w:tcBorders>
                  <w:noWrap/>
                  <w:vAlign w:val="center"/>
                </w:tcPr>
                <w:p>
                  <w:pPr>
                    <w:pStyle w:val="31"/>
                    <w:jc w:val="center"/>
                    <w:rPr>
                      <w:color w:val="auto"/>
                    </w:rPr>
                  </w:pPr>
                  <w:r>
                    <w:rPr>
                      <w:rFonts w:hint="eastAsia"/>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restart"/>
                  <w:tcBorders>
                    <w:tl2br w:val="nil"/>
                    <w:tr2bl w:val="nil"/>
                  </w:tcBorders>
                  <w:noWrap/>
                  <w:vAlign w:val="center"/>
                </w:tcPr>
                <w:p>
                  <w:pPr>
                    <w:pStyle w:val="31"/>
                    <w:jc w:val="center"/>
                    <w:rPr>
                      <w:color w:val="auto"/>
                    </w:rPr>
                  </w:pPr>
                  <w:r>
                    <w:rPr>
                      <w:rFonts w:hint="eastAsia"/>
                      <w:color w:val="auto"/>
                    </w:rPr>
                    <w:t>废气</w:t>
                  </w:r>
                </w:p>
              </w:tc>
              <w:tc>
                <w:tcPr>
                  <w:tcW w:w="1012" w:type="dxa"/>
                  <w:tcBorders>
                    <w:tl2br w:val="nil"/>
                    <w:tr2bl w:val="nil"/>
                  </w:tcBorders>
                  <w:noWrap/>
                  <w:vAlign w:val="center"/>
                </w:tcPr>
                <w:p>
                  <w:pPr>
                    <w:pStyle w:val="31"/>
                    <w:jc w:val="center"/>
                    <w:rPr>
                      <w:color w:val="auto"/>
                    </w:rPr>
                  </w:pPr>
                  <w:r>
                    <w:rPr>
                      <w:rFonts w:hint="eastAsia"/>
                      <w:color w:val="auto"/>
                    </w:rPr>
                    <w:t>有机废气</w:t>
                  </w:r>
                </w:p>
              </w:tc>
              <w:tc>
                <w:tcPr>
                  <w:tcW w:w="5220" w:type="dxa"/>
                  <w:tcBorders>
                    <w:tl2br w:val="nil"/>
                    <w:tr2bl w:val="nil"/>
                  </w:tcBorders>
                  <w:noWrap/>
                  <w:vAlign w:val="center"/>
                </w:tcPr>
                <w:p>
                  <w:pPr>
                    <w:pStyle w:val="31"/>
                    <w:jc w:val="center"/>
                    <w:rPr>
                      <w:color w:val="auto"/>
                    </w:rPr>
                  </w:pPr>
                  <w:r>
                    <w:rPr>
                      <w:rFonts w:hint="eastAsia"/>
                      <w:color w:val="auto"/>
                      <w:lang w:val="en-US" w:eastAsia="zh-CN"/>
                    </w:rPr>
                    <w:t>厂房封闭+喷淋</w:t>
                  </w:r>
                  <w:r>
                    <w:rPr>
                      <w:rFonts w:hint="eastAsia"/>
                      <w:color w:val="auto"/>
                    </w:rPr>
                    <w:t>+UV气氧催化+活性炭吸附装置+1根内径0.3m的15米高排气筒</w:t>
                  </w:r>
                </w:p>
              </w:tc>
              <w:tc>
                <w:tcPr>
                  <w:tcW w:w="1104" w:type="dxa"/>
                  <w:tcBorders>
                    <w:tl2br w:val="nil"/>
                    <w:tr2bl w:val="nil"/>
                  </w:tcBorders>
                  <w:noWrap/>
                  <w:vAlign w:val="center"/>
                </w:tcPr>
                <w:p>
                  <w:pPr>
                    <w:pStyle w:val="31"/>
                    <w:jc w:val="center"/>
                    <w:rPr>
                      <w:color w:val="auto"/>
                    </w:rPr>
                  </w:pPr>
                  <w:r>
                    <w:rPr>
                      <w:rFonts w:hint="eastAsia"/>
                      <w:color w:val="auto"/>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continue"/>
                  <w:tcBorders>
                    <w:tl2br w:val="nil"/>
                    <w:tr2bl w:val="nil"/>
                  </w:tcBorders>
                  <w:noWrap/>
                  <w:vAlign w:val="center"/>
                </w:tcPr>
                <w:p>
                  <w:pPr>
                    <w:pStyle w:val="31"/>
                    <w:jc w:val="center"/>
                    <w:rPr>
                      <w:color w:val="auto"/>
                    </w:rPr>
                  </w:pPr>
                </w:p>
              </w:tc>
              <w:tc>
                <w:tcPr>
                  <w:tcW w:w="1012" w:type="dxa"/>
                  <w:tcBorders>
                    <w:tl2br w:val="nil"/>
                    <w:tr2bl w:val="nil"/>
                  </w:tcBorders>
                  <w:noWrap/>
                  <w:vAlign w:val="center"/>
                </w:tcPr>
                <w:p>
                  <w:pPr>
                    <w:pStyle w:val="31"/>
                    <w:jc w:val="center"/>
                    <w:rPr>
                      <w:color w:val="auto"/>
                    </w:rPr>
                  </w:pPr>
                  <w:r>
                    <w:rPr>
                      <w:rFonts w:hint="eastAsia"/>
                      <w:color w:val="auto"/>
                    </w:rPr>
                    <w:t>粉尘</w:t>
                  </w:r>
                </w:p>
              </w:tc>
              <w:tc>
                <w:tcPr>
                  <w:tcW w:w="5220" w:type="dxa"/>
                  <w:tcBorders>
                    <w:tl2br w:val="nil"/>
                    <w:tr2bl w:val="nil"/>
                  </w:tcBorders>
                  <w:noWrap/>
                  <w:vAlign w:val="center"/>
                </w:tcPr>
                <w:p>
                  <w:pPr>
                    <w:pStyle w:val="31"/>
                    <w:jc w:val="center"/>
                    <w:rPr>
                      <w:rFonts w:hint="eastAsia" w:eastAsiaTheme="minorEastAsia"/>
                      <w:color w:val="auto"/>
                      <w:lang w:eastAsia="zh-CN"/>
                    </w:rPr>
                  </w:pPr>
                  <w:r>
                    <w:rPr>
                      <w:rFonts w:hint="eastAsia"/>
                      <w:color w:val="auto"/>
                      <w:lang w:val="en-US" w:eastAsia="zh-CN"/>
                    </w:rPr>
                    <w:t>厂房封闭</w:t>
                  </w:r>
                  <w:r>
                    <w:rPr>
                      <w:rFonts w:hint="eastAsia"/>
                      <w:color w:val="auto"/>
                    </w:rPr>
                    <w:t>+布袋除尘+</w:t>
                  </w:r>
                  <w:r>
                    <w:rPr>
                      <w:rFonts w:hint="eastAsia"/>
                      <w:color w:val="auto"/>
                      <w:lang w:val="en-US" w:eastAsia="zh-CN"/>
                    </w:rPr>
                    <w:t>喷淋</w:t>
                  </w:r>
                </w:p>
              </w:tc>
              <w:tc>
                <w:tcPr>
                  <w:tcW w:w="1104" w:type="dxa"/>
                  <w:tcBorders>
                    <w:tl2br w:val="nil"/>
                    <w:tr2bl w:val="nil"/>
                  </w:tcBorders>
                  <w:noWrap/>
                  <w:vAlign w:val="center"/>
                </w:tcPr>
                <w:p>
                  <w:pPr>
                    <w:pStyle w:val="31"/>
                    <w:jc w:val="center"/>
                    <w:rPr>
                      <w:color w:val="auto"/>
                    </w:rPr>
                  </w:pPr>
                  <w:r>
                    <w:rPr>
                      <w:rFonts w:hint="eastAsia"/>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54" w:type="dxa"/>
                  <w:vMerge w:val="continue"/>
                  <w:tcBorders>
                    <w:tl2br w:val="nil"/>
                    <w:tr2bl w:val="nil"/>
                  </w:tcBorders>
                  <w:noWrap/>
                  <w:vAlign w:val="center"/>
                </w:tcPr>
                <w:p>
                  <w:pPr>
                    <w:pStyle w:val="31"/>
                    <w:jc w:val="center"/>
                    <w:rPr>
                      <w:color w:val="auto"/>
                    </w:rPr>
                  </w:pPr>
                </w:p>
              </w:tc>
              <w:tc>
                <w:tcPr>
                  <w:tcW w:w="1012" w:type="dxa"/>
                  <w:tcBorders>
                    <w:tl2br w:val="nil"/>
                    <w:tr2bl w:val="nil"/>
                  </w:tcBorders>
                  <w:noWrap/>
                  <w:vAlign w:val="center"/>
                </w:tcPr>
                <w:p>
                  <w:pPr>
                    <w:pStyle w:val="31"/>
                    <w:jc w:val="center"/>
                    <w:rPr>
                      <w:color w:val="auto"/>
                    </w:rPr>
                  </w:pPr>
                  <w:r>
                    <w:rPr>
                      <w:rFonts w:hint="eastAsia"/>
                      <w:color w:val="auto"/>
                    </w:rPr>
                    <w:t>食堂油烟</w:t>
                  </w:r>
                </w:p>
              </w:tc>
              <w:tc>
                <w:tcPr>
                  <w:tcW w:w="5220" w:type="dxa"/>
                  <w:tcBorders>
                    <w:tl2br w:val="nil"/>
                    <w:tr2bl w:val="nil"/>
                  </w:tcBorders>
                  <w:noWrap/>
                  <w:vAlign w:val="center"/>
                </w:tcPr>
                <w:p>
                  <w:pPr>
                    <w:pStyle w:val="31"/>
                    <w:jc w:val="center"/>
                    <w:rPr>
                      <w:color w:val="auto"/>
                    </w:rPr>
                  </w:pPr>
                  <w:r>
                    <w:rPr>
                      <w:rFonts w:hint="eastAsia"/>
                      <w:color w:val="auto"/>
                    </w:rPr>
                    <w:t>高效油烟净化器1套</w:t>
                  </w:r>
                </w:p>
              </w:tc>
              <w:tc>
                <w:tcPr>
                  <w:tcW w:w="1104" w:type="dxa"/>
                  <w:tcBorders>
                    <w:tl2br w:val="nil"/>
                    <w:tr2bl w:val="nil"/>
                  </w:tcBorders>
                  <w:noWrap/>
                  <w:vAlign w:val="center"/>
                </w:tcPr>
                <w:p>
                  <w:pPr>
                    <w:pStyle w:val="31"/>
                    <w:jc w:val="center"/>
                    <w:rPr>
                      <w:color w:val="auto"/>
                    </w:rPr>
                  </w:pPr>
                  <w:r>
                    <w:rPr>
                      <w:rFonts w:hint="eastAsia"/>
                      <w:color w:val="auto"/>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66" w:type="dxa"/>
                  <w:gridSpan w:val="2"/>
                  <w:tcBorders>
                    <w:tl2br w:val="nil"/>
                    <w:tr2bl w:val="nil"/>
                  </w:tcBorders>
                  <w:noWrap/>
                  <w:vAlign w:val="center"/>
                </w:tcPr>
                <w:p>
                  <w:pPr>
                    <w:pStyle w:val="31"/>
                    <w:jc w:val="center"/>
                    <w:rPr>
                      <w:color w:val="auto"/>
                    </w:rPr>
                  </w:pPr>
                  <w:bookmarkStart w:id="1" w:name="OLE_LINK36"/>
                  <w:bookmarkStart w:id="2" w:name="_Hlk305856285"/>
                  <w:bookmarkStart w:id="3" w:name="OLE_LINK35"/>
                  <w:r>
                    <w:rPr>
                      <w:rFonts w:hint="eastAsia"/>
                      <w:color w:val="auto"/>
                    </w:rPr>
                    <w:t>噪声</w:t>
                  </w:r>
                </w:p>
              </w:tc>
              <w:tc>
                <w:tcPr>
                  <w:tcW w:w="5220" w:type="dxa"/>
                  <w:tcBorders>
                    <w:tl2br w:val="nil"/>
                    <w:tr2bl w:val="nil"/>
                  </w:tcBorders>
                  <w:noWrap/>
                  <w:vAlign w:val="center"/>
                </w:tcPr>
                <w:p>
                  <w:pPr>
                    <w:pStyle w:val="31"/>
                    <w:jc w:val="center"/>
                    <w:rPr>
                      <w:color w:val="auto"/>
                    </w:rPr>
                  </w:pPr>
                  <w:r>
                    <w:rPr>
                      <w:rFonts w:hint="eastAsia"/>
                      <w:color w:val="auto"/>
                    </w:rPr>
                    <w:t>采用低噪音设备，置于室内，隔音减振处理、绿化</w:t>
                  </w:r>
                </w:p>
              </w:tc>
              <w:tc>
                <w:tcPr>
                  <w:tcW w:w="1104" w:type="dxa"/>
                  <w:tcBorders>
                    <w:tl2br w:val="nil"/>
                    <w:tr2bl w:val="nil"/>
                  </w:tcBorders>
                  <w:noWrap/>
                  <w:vAlign w:val="center"/>
                </w:tcPr>
                <w:p>
                  <w:pPr>
                    <w:pStyle w:val="31"/>
                    <w:jc w:val="center"/>
                    <w:rPr>
                      <w:color w:val="auto"/>
                    </w:rPr>
                  </w:pPr>
                  <w:r>
                    <w:rPr>
                      <w:rFonts w:hint="eastAsia"/>
                      <w:color w:val="auto"/>
                    </w:rPr>
                    <w:t>2</w:t>
                  </w:r>
                </w:p>
              </w:tc>
            </w:tr>
            <w:bookmarkEnd w:id="1"/>
            <w:bookmarkEnd w:id="2"/>
            <w:bookmarkEnd w:id="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restart"/>
                  <w:tcBorders>
                    <w:tl2br w:val="nil"/>
                    <w:tr2bl w:val="nil"/>
                  </w:tcBorders>
                  <w:noWrap/>
                  <w:vAlign w:val="center"/>
                </w:tcPr>
                <w:p>
                  <w:pPr>
                    <w:pStyle w:val="31"/>
                    <w:jc w:val="center"/>
                    <w:rPr>
                      <w:color w:val="auto"/>
                    </w:rPr>
                  </w:pPr>
                  <w:r>
                    <w:rPr>
                      <w:rFonts w:hint="eastAsia"/>
                      <w:color w:val="auto"/>
                    </w:rPr>
                    <w:t>固体废物</w:t>
                  </w:r>
                </w:p>
              </w:tc>
              <w:tc>
                <w:tcPr>
                  <w:tcW w:w="1012" w:type="dxa"/>
                  <w:tcBorders>
                    <w:tl2br w:val="nil"/>
                    <w:tr2bl w:val="nil"/>
                  </w:tcBorders>
                  <w:noWrap/>
                  <w:vAlign w:val="center"/>
                </w:tcPr>
                <w:p>
                  <w:pPr>
                    <w:pStyle w:val="31"/>
                    <w:jc w:val="center"/>
                    <w:rPr>
                      <w:color w:val="auto"/>
                    </w:rPr>
                  </w:pPr>
                  <w:r>
                    <w:rPr>
                      <w:rFonts w:hint="eastAsia"/>
                      <w:color w:val="auto"/>
                    </w:rPr>
                    <w:t>一般工业固体废物</w:t>
                  </w:r>
                </w:p>
              </w:tc>
              <w:tc>
                <w:tcPr>
                  <w:tcW w:w="5220" w:type="dxa"/>
                  <w:tcBorders>
                    <w:tl2br w:val="nil"/>
                    <w:tr2bl w:val="nil"/>
                  </w:tcBorders>
                  <w:noWrap/>
                  <w:vAlign w:val="center"/>
                </w:tcPr>
                <w:p>
                  <w:pPr>
                    <w:pStyle w:val="31"/>
                    <w:jc w:val="center"/>
                    <w:rPr>
                      <w:color w:val="auto"/>
                    </w:rPr>
                  </w:pPr>
                  <w:r>
                    <w:rPr>
                      <w:rFonts w:hint="eastAsia"/>
                      <w:color w:val="auto"/>
                    </w:rPr>
                    <w:t>定点收集、定期外售或者交厂界回收，不外排</w:t>
                  </w:r>
                </w:p>
              </w:tc>
              <w:tc>
                <w:tcPr>
                  <w:tcW w:w="1104" w:type="dxa"/>
                  <w:tcBorders>
                    <w:tl2br w:val="nil"/>
                    <w:tr2bl w:val="nil"/>
                  </w:tcBorders>
                  <w:noWrap/>
                  <w:vAlign w:val="center"/>
                </w:tcPr>
                <w:p>
                  <w:pPr>
                    <w:pStyle w:val="31"/>
                    <w:jc w:val="center"/>
                    <w:rPr>
                      <w:color w:val="auto"/>
                    </w:rPr>
                  </w:pPr>
                  <w:r>
                    <w:rPr>
                      <w:rFonts w:hint="eastAsia"/>
                      <w:color w:val="auto"/>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continue"/>
                  <w:tcBorders>
                    <w:tl2br w:val="nil"/>
                    <w:tr2bl w:val="nil"/>
                  </w:tcBorders>
                  <w:noWrap/>
                  <w:vAlign w:val="center"/>
                </w:tcPr>
                <w:p>
                  <w:pPr>
                    <w:pStyle w:val="31"/>
                    <w:jc w:val="center"/>
                    <w:rPr>
                      <w:color w:val="auto"/>
                    </w:rPr>
                  </w:pPr>
                </w:p>
              </w:tc>
              <w:tc>
                <w:tcPr>
                  <w:tcW w:w="1012" w:type="dxa"/>
                  <w:tcBorders>
                    <w:tl2br w:val="nil"/>
                    <w:tr2bl w:val="nil"/>
                  </w:tcBorders>
                  <w:noWrap/>
                  <w:vAlign w:val="center"/>
                </w:tcPr>
                <w:p>
                  <w:pPr>
                    <w:pStyle w:val="31"/>
                    <w:jc w:val="center"/>
                    <w:rPr>
                      <w:color w:val="auto"/>
                    </w:rPr>
                  </w:pPr>
                  <w:r>
                    <w:rPr>
                      <w:rFonts w:hint="eastAsia"/>
                      <w:color w:val="auto"/>
                    </w:rPr>
                    <w:t>危险废物</w:t>
                  </w:r>
                </w:p>
              </w:tc>
              <w:tc>
                <w:tcPr>
                  <w:tcW w:w="5220" w:type="dxa"/>
                  <w:tcBorders>
                    <w:tl2br w:val="nil"/>
                    <w:tr2bl w:val="nil"/>
                  </w:tcBorders>
                  <w:noWrap/>
                  <w:vAlign w:val="center"/>
                </w:tcPr>
                <w:p>
                  <w:pPr>
                    <w:pStyle w:val="31"/>
                    <w:jc w:val="center"/>
                    <w:rPr>
                      <w:color w:val="auto"/>
                    </w:rPr>
                  </w:pPr>
                  <w:r>
                    <w:rPr>
                      <w:rFonts w:hint="eastAsia"/>
                      <w:color w:val="auto"/>
                    </w:rPr>
                    <w:t>危废暂存间5m</w:t>
                  </w:r>
                  <w:r>
                    <w:rPr>
                      <w:rFonts w:hint="eastAsia"/>
                      <w:color w:val="auto"/>
                      <w:vertAlign w:val="superscript"/>
                    </w:rPr>
                    <w:t>2</w:t>
                  </w:r>
                </w:p>
              </w:tc>
              <w:tc>
                <w:tcPr>
                  <w:tcW w:w="1104" w:type="dxa"/>
                  <w:tcBorders>
                    <w:tl2br w:val="nil"/>
                    <w:tr2bl w:val="nil"/>
                  </w:tcBorders>
                  <w:noWrap/>
                  <w:vAlign w:val="center"/>
                </w:tcPr>
                <w:p>
                  <w:pPr>
                    <w:pStyle w:val="31"/>
                    <w:jc w:val="center"/>
                    <w:rPr>
                      <w:color w:val="auto"/>
                    </w:rPr>
                  </w:pPr>
                  <w:r>
                    <w:rPr>
                      <w:rFonts w:hint="eastAsia"/>
                      <w:color w:val="auto"/>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4" w:type="dxa"/>
                  <w:vMerge w:val="continue"/>
                  <w:tcBorders>
                    <w:tl2br w:val="nil"/>
                    <w:tr2bl w:val="nil"/>
                  </w:tcBorders>
                  <w:noWrap/>
                  <w:vAlign w:val="center"/>
                </w:tcPr>
                <w:p>
                  <w:pPr>
                    <w:pStyle w:val="31"/>
                    <w:jc w:val="center"/>
                    <w:rPr>
                      <w:color w:val="auto"/>
                    </w:rPr>
                  </w:pPr>
                </w:p>
              </w:tc>
              <w:tc>
                <w:tcPr>
                  <w:tcW w:w="1012" w:type="dxa"/>
                  <w:tcBorders>
                    <w:tl2br w:val="nil"/>
                    <w:tr2bl w:val="nil"/>
                  </w:tcBorders>
                  <w:noWrap/>
                  <w:vAlign w:val="center"/>
                </w:tcPr>
                <w:p>
                  <w:pPr>
                    <w:pStyle w:val="31"/>
                    <w:jc w:val="center"/>
                    <w:rPr>
                      <w:color w:val="auto"/>
                    </w:rPr>
                  </w:pPr>
                  <w:r>
                    <w:rPr>
                      <w:rFonts w:hint="eastAsia"/>
                      <w:color w:val="auto"/>
                    </w:rPr>
                    <w:t>生活垃圾</w:t>
                  </w:r>
                </w:p>
              </w:tc>
              <w:tc>
                <w:tcPr>
                  <w:tcW w:w="5220" w:type="dxa"/>
                  <w:tcBorders>
                    <w:tl2br w:val="nil"/>
                    <w:tr2bl w:val="nil"/>
                  </w:tcBorders>
                  <w:noWrap/>
                  <w:vAlign w:val="center"/>
                </w:tcPr>
                <w:p>
                  <w:pPr>
                    <w:pStyle w:val="31"/>
                    <w:jc w:val="center"/>
                    <w:rPr>
                      <w:color w:val="auto"/>
                    </w:rPr>
                  </w:pPr>
                  <w:r>
                    <w:rPr>
                      <w:rFonts w:hint="eastAsia"/>
                      <w:color w:val="auto"/>
                    </w:rPr>
                    <w:t>点收集转移到当地垃圾中转站，由环卫部门清运</w:t>
                  </w:r>
                </w:p>
              </w:tc>
              <w:tc>
                <w:tcPr>
                  <w:tcW w:w="1104" w:type="dxa"/>
                  <w:tcBorders>
                    <w:tl2br w:val="nil"/>
                    <w:tr2bl w:val="nil"/>
                  </w:tcBorders>
                  <w:noWrap/>
                  <w:vAlign w:val="center"/>
                </w:tcPr>
                <w:p>
                  <w:pPr>
                    <w:pStyle w:val="31"/>
                    <w:jc w:val="center"/>
                    <w:rPr>
                      <w:color w:val="auto"/>
                    </w:rPr>
                  </w:pPr>
                  <w:r>
                    <w:rPr>
                      <w:rFonts w:hint="eastAsia"/>
                      <w:color w:val="auto"/>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566" w:type="dxa"/>
                  <w:gridSpan w:val="2"/>
                  <w:tcBorders>
                    <w:tl2br w:val="nil"/>
                    <w:tr2bl w:val="nil"/>
                  </w:tcBorders>
                  <w:noWrap/>
                  <w:vAlign w:val="center"/>
                </w:tcPr>
                <w:p>
                  <w:pPr>
                    <w:pStyle w:val="31"/>
                    <w:jc w:val="center"/>
                    <w:rPr>
                      <w:color w:val="auto"/>
                    </w:rPr>
                  </w:pPr>
                  <w:r>
                    <w:rPr>
                      <w:rFonts w:hint="eastAsia"/>
                      <w:color w:val="auto"/>
                    </w:rPr>
                    <w:t>风险设施</w:t>
                  </w:r>
                </w:p>
              </w:tc>
              <w:tc>
                <w:tcPr>
                  <w:tcW w:w="5220" w:type="dxa"/>
                  <w:tcBorders>
                    <w:tl2br w:val="nil"/>
                    <w:tr2bl w:val="nil"/>
                  </w:tcBorders>
                  <w:noWrap/>
                  <w:vAlign w:val="center"/>
                </w:tcPr>
                <w:p>
                  <w:pPr>
                    <w:pStyle w:val="31"/>
                    <w:jc w:val="center"/>
                    <w:rPr>
                      <w:color w:val="auto"/>
                    </w:rPr>
                  </w:pPr>
                  <w:r>
                    <w:rPr>
                      <w:rFonts w:hint="eastAsia"/>
                      <w:color w:val="auto"/>
                    </w:rPr>
                    <w:t>防火厂房</w:t>
                  </w:r>
                </w:p>
              </w:tc>
              <w:tc>
                <w:tcPr>
                  <w:tcW w:w="1104" w:type="dxa"/>
                  <w:tcBorders>
                    <w:tl2br w:val="nil"/>
                    <w:tr2bl w:val="nil"/>
                  </w:tcBorders>
                  <w:noWrap/>
                  <w:vAlign w:val="center"/>
                </w:tcPr>
                <w:p>
                  <w:pPr>
                    <w:pStyle w:val="31"/>
                    <w:jc w:val="center"/>
                    <w:rPr>
                      <w:color w:val="auto"/>
                    </w:rPr>
                  </w:pP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86" w:type="dxa"/>
                  <w:gridSpan w:val="3"/>
                  <w:tcBorders>
                    <w:tl2br w:val="nil"/>
                    <w:tr2bl w:val="nil"/>
                  </w:tcBorders>
                  <w:noWrap/>
                  <w:vAlign w:val="center"/>
                </w:tcPr>
                <w:p>
                  <w:pPr>
                    <w:pStyle w:val="31"/>
                    <w:jc w:val="center"/>
                    <w:rPr>
                      <w:color w:val="auto"/>
                    </w:rPr>
                  </w:pPr>
                  <w:r>
                    <w:rPr>
                      <w:rFonts w:hint="eastAsia"/>
                      <w:color w:val="auto"/>
                    </w:rPr>
                    <w:t>合计</w:t>
                  </w:r>
                </w:p>
              </w:tc>
              <w:tc>
                <w:tcPr>
                  <w:tcW w:w="1104" w:type="dxa"/>
                  <w:tcBorders>
                    <w:tl2br w:val="nil"/>
                    <w:tr2bl w:val="nil"/>
                  </w:tcBorders>
                  <w:noWrap/>
                  <w:vAlign w:val="center"/>
                </w:tcPr>
                <w:p>
                  <w:pPr>
                    <w:pStyle w:val="31"/>
                    <w:jc w:val="center"/>
                    <w:rPr>
                      <w:color w:val="auto"/>
                    </w:rPr>
                  </w:pPr>
                  <w:r>
                    <w:rPr>
                      <w:rFonts w:hint="eastAsia"/>
                      <w:color w:val="auto"/>
                    </w:rPr>
                    <w:t>58.5</w:t>
                  </w:r>
                </w:p>
              </w:tc>
            </w:tr>
          </w:tbl>
          <w:p>
            <w:pPr>
              <w:spacing w:line="360" w:lineRule="auto"/>
              <w:rPr>
                <w:rFonts w:ascii="宋体" w:hAnsi="宋体" w:eastAsia="宋体"/>
                <w:color w:val="auto"/>
                <w:spacing w:val="-10"/>
                <w:szCs w:val="21"/>
              </w:rPr>
            </w:pPr>
          </w:p>
        </w:tc>
      </w:tr>
    </w:tbl>
    <w:p>
      <w:pPr>
        <w:rPr>
          <w:rFonts w:ascii="黑体" w:hAnsi="黑体" w:eastAsia="黑体"/>
          <w:color w:val="000000"/>
          <w:sz w:val="30"/>
          <w:szCs w:val="30"/>
        </w:rPr>
      </w:pPr>
      <w:r>
        <w:rPr>
          <w:rFonts w:ascii="黑体" w:hAnsi="黑体" w:eastAsia="黑体"/>
          <w:color w:val="000000"/>
          <w:sz w:val="30"/>
          <w:szCs w:val="30"/>
        </w:rPr>
        <w:br w:type="page"/>
      </w:r>
    </w:p>
    <w:p>
      <w:pPr>
        <w:pStyle w:val="15"/>
        <w:spacing w:line="360" w:lineRule="auto"/>
        <w:ind w:firstLine="600" w:firstLineChars="200"/>
        <w:jc w:val="center"/>
        <w:outlineLvl w:val="0"/>
        <w:rPr>
          <w:rFonts w:hint="eastAsia" w:ascii="黑体" w:hAnsi="黑体" w:eastAsia="黑体" w:cs="Times New Roman"/>
          <w:snapToGrid w:val="0"/>
          <w:sz w:val="30"/>
          <w:szCs w:val="30"/>
          <w:lang w:val="en-US" w:eastAsia="zh-CN"/>
        </w:rPr>
      </w:pPr>
      <w:r>
        <w:rPr>
          <w:rFonts w:hint="eastAsia" w:ascii="黑体" w:hAnsi="黑体" w:eastAsia="黑体" w:cs="Times New Roman"/>
          <w:snapToGrid w:val="0"/>
          <w:sz w:val="30"/>
          <w:szCs w:val="30"/>
          <w:lang w:val="en-US" w:eastAsia="zh-CN"/>
        </w:rPr>
        <w:t>五、环境保护措施监督检查清单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75"/>
        <w:gridCol w:w="1950"/>
        <w:gridCol w:w="1493"/>
        <w:gridCol w:w="183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98" w:hRule="atLeast"/>
        </w:trPr>
        <w:tc>
          <w:tcPr>
            <w:tcW w:w="1575" w:type="dxa"/>
            <w:tcBorders>
              <w:top w:val="single" w:color="000000" w:sz="8" w:space="0"/>
              <w:left w:val="single" w:color="000000" w:sz="8" w:space="0"/>
              <w:bottom w:val="single" w:color="000000" w:sz="8" w:space="0"/>
              <w:right w:val="single" w:color="000000" w:sz="8" w:space="0"/>
            </w:tcBorders>
          </w:tcPr>
          <w:p>
            <w:pPr>
              <w:spacing w:line="360" w:lineRule="auto"/>
              <w:ind w:firstLine="840"/>
              <w:rPr>
                <w:rFonts w:ascii="宋体" w:hAnsi="宋体" w:eastAsia="宋体"/>
                <w:color w:val="000000"/>
                <w:sz w:val="24"/>
                <w:szCs w:val="24"/>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-66675</wp:posOffset>
                      </wp:positionV>
                      <wp:extent cx="975360" cy="762000"/>
                      <wp:effectExtent l="3175" t="3810" r="12065" b="11430"/>
                      <wp:wrapNone/>
                      <wp:docPr id="3" name="直线 7"/>
                      <wp:cNvGraphicFramePr/>
                      <a:graphic xmlns:a="http://schemas.openxmlformats.org/drawingml/2006/main">
                        <a:graphicData uri="http://schemas.microsoft.com/office/word/2010/wordprocessingShape">
                          <wps:wsp>
                            <wps:cNvCnPr/>
                            <wps:spPr>
                              <a:xfrm flipH="1" flipV="1">
                                <a:off x="0" y="0"/>
                                <a:ext cx="975360" cy="762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x y;margin-left:-2.7pt;margin-top:-5.25pt;height:60pt;width:76.8pt;z-index:251665408;mso-width-relative:page;mso-height-relative:page;" filled="f" stroked="t" coordsize="21600,21600" o:gfxdata="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fgrj9UAAAAKAQAADwAAAAAAAAABACAAAAAiAAAAZHJzL2Rvd25yZXYueG1sUEsB&#10;AhQAFAAAAAgAh07iQMgjRR/4AQAA8wMAAA4AAAAAAAAAAQAgAAAAJAEAAGRycy9lMm9Eb2MueG1s&#10;UEsFBgAAAAAGAAYAWQEAAI4FAAAAAA==&#10;">
                      <v:fill on="f" focussize="0,0"/>
                      <v:stroke color="#000000" joinstyle="round"/>
                      <v:imagedata o:title=""/>
                      <o:lock v:ext="edit" aspectratio="f"/>
                    </v:line>
                  </w:pict>
                </mc:Fallback>
              </mc:AlternateContent>
            </w:r>
            <w:r>
              <w:rPr>
                <w:rFonts w:ascii="宋体" w:hAnsi="宋体" w:eastAsia="宋体"/>
                <w:color w:val="000000"/>
                <w:sz w:val="24"/>
                <w:szCs w:val="24"/>
              </w:rPr>
              <w:t>内容</w:t>
            </w:r>
          </w:p>
          <w:p>
            <w:pPr>
              <w:spacing w:line="360" w:lineRule="auto"/>
              <w:rPr>
                <w:rFonts w:ascii="宋体" w:hAnsi="宋体" w:eastAsia="宋体"/>
                <w:color w:val="000000"/>
                <w:sz w:val="24"/>
                <w:szCs w:val="24"/>
              </w:rPr>
            </w:pPr>
            <w:r>
              <w:rPr>
                <w:rFonts w:ascii="宋体" w:hAnsi="宋体" w:eastAsia="宋体"/>
                <w:color w:val="000000"/>
                <w:sz w:val="24"/>
                <w:szCs w:val="24"/>
              </w:rPr>
              <w:t>要素</w:t>
            </w:r>
          </w:p>
        </w:tc>
        <w:tc>
          <w:tcPr>
            <w:tcW w:w="195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排放口</w:t>
            </w:r>
            <w:r>
              <w:rPr>
                <w:rFonts w:ascii="Calibri" w:hAnsi="Calibri" w:eastAsia="Calibri"/>
                <w:color w:val="000000"/>
                <w:sz w:val="24"/>
                <w:szCs w:val="24"/>
              </w:rPr>
              <w:t>(</w:t>
            </w:r>
            <w:r>
              <w:rPr>
                <w:rFonts w:ascii="宋体" w:hAnsi="宋体" w:eastAsia="宋体"/>
                <w:color w:val="000000"/>
                <w:sz w:val="24"/>
                <w:szCs w:val="24"/>
              </w:rPr>
              <w:t>编号、</w:t>
            </w:r>
          </w:p>
          <w:p>
            <w:pPr>
              <w:spacing w:line="360" w:lineRule="auto"/>
              <w:jc w:val="center"/>
              <w:rPr>
                <w:rFonts w:ascii="宋体" w:hAnsi="宋体" w:eastAsia="宋体"/>
                <w:color w:val="000000"/>
                <w:sz w:val="24"/>
                <w:szCs w:val="24"/>
              </w:rPr>
            </w:pPr>
            <w:r>
              <w:rPr>
                <w:rFonts w:ascii="宋体" w:hAnsi="宋体" w:eastAsia="宋体"/>
                <w:color w:val="000000"/>
                <w:sz w:val="24"/>
                <w:szCs w:val="24"/>
              </w:rPr>
              <w:t>名称</w:t>
            </w:r>
            <w:r>
              <w:rPr>
                <w:rFonts w:ascii="Calibri" w:hAnsi="Calibri" w:eastAsia="Calibri"/>
                <w:color w:val="000000"/>
                <w:sz w:val="24"/>
                <w:szCs w:val="24"/>
              </w:rPr>
              <w:t>)/</w:t>
            </w:r>
            <w:r>
              <w:rPr>
                <w:rFonts w:ascii="宋体" w:hAnsi="宋体" w:eastAsia="宋体"/>
                <w:color w:val="000000"/>
                <w:sz w:val="24"/>
                <w:szCs w:val="24"/>
              </w:rPr>
              <w:t>污染源</w:t>
            </w: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污染物项目</w:t>
            </w:r>
          </w:p>
        </w:tc>
        <w:tc>
          <w:tcPr>
            <w:tcW w:w="183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环境保护措施</w:t>
            </w:r>
          </w:p>
        </w:tc>
        <w:tc>
          <w:tcPr>
            <w:tcW w:w="19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575"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大气环境</w:t>
            </w:r>
          </w:p>
        </w:tc>
        <w:tc>
          <w:tcPr>
            <w:tcW w:w="1950" w:type="dxa"/>
            <w:vMerge w:val="restart"/>
            <w:tcBorders>
              <w:top w:val="single" w:color="000000" w:sz="8" w:space="0"/>
              <w:left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DA001</w:t>
            </w:r>
            <w:r>
              <w:rPr>
                <w:rFonts w:hint="eastAsia" w:ascii="Times New Roman" w:hAnsi="Times New Roman" w:eastAsia="宋体"/>
                <w:color w:val="000000"/>
                <w:sz w:val="24"/>
                <w:szCs w:val="24"/>
                <w:lang w:val="en-US" w:eastAsia="zh-CN"/>
              </w:rPr>
              <w:t>废气</w:t>
            </w:r>
            <w:r>
              <w:rPr>
                <w:rFonts w:ascii="Times New Roman" w:hAnsi="Times New Roman" w:eastAsia="Times New Roman"/>
                <w:color w:val="000000"/>
                <w:sz w:val="24"/>
                <w:szCs w:val="24"/>
              </w:rPr>
              <w:t>排放口</w:t>
            </w: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颗粒物</w:t>
            </w:r>
          </w:p>
        </w:tc>
        <w:tc>
          <w:tcPr>
            <w:tcW w:w="183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eastAsia" w:ascii="Times New Roman" w:hAnsi="Times New Roman" w:eastAsia="宋体"/>
                <w:color w:val="000000"/>
                <w:sz w:val="24"/>
                <w:szCs w:val="24"/>
                <w:lang w:eastAsia="zh-CN"/>
              </w:rPr>
            </w:pPr>
            <w:r>
              <w:rPr>
                <w:rFonts w:hint="eastAsia" w:ascii="宋体" w:hAnsi="宋体" w:eastAsia="宋体"/>
                <w:color w:val="000000"/>
                <w:sz w:val="24"/>
                <w:szCs w:val="24"/>
                <w:lang w:val="en-US" w:eastAsia="zh-CN"/>
              </w:rPr>
              <w:t>厂房封闭+</w:t>
            </w:r>
            <w:r>
              <w:rPr>
                <w:rFonts w:ascii="宋体" w:hAnsi="宋体" w:eastAsia="宋体"/>
                <w:color w:val="000000"/>
                <w:sz w:val="24"/>
                <w:szCs w:val="24"/>
              </w:rPr>
              <w:t>布袋除尘器</w:t>
            </w:r>
            <w:r>
              <w:rPr>
                <w:rFonts w:ascii="Times New Roman" w:hAnsi="Times New Roman" w:eastAsia="Times New Roman"/>
                <w:color w:val="000000"/>
                <w:sz w:val="24"/>
                <w:szCs w:val="24"/>
              </w:rPr>
              <w:t>+</w:t>
            </w:r>
            <w:r>
              <w:rPr>
                <w:rFonts w:hint="eastAsia" w:ascii="Times New Roman" w:hAnsi="Times New Roman" w:eastAsia="宋体"/>
                <w:color w:val="000000"/>
                <w:sz w:val="24"/>
                <w:szCs w:val="24"/>
                <w:lang w:val="en-US" w:eastAsia="zh-CN"/>
              </w:rPr>
              <w:t>喷淋</w:t>
            </w:r>
          </w:p>
        </w:tc>
        <w:tc>
          <w:tcPr>
            <w:tcW w:w="19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GB16297-1996《大气污染物综合排放标准》表2二级标准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50" w:type="dxa"/>
            <w:vMerge w:val="continue"/>
            <w:tcBorders>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宋体"/>
                <w:color w:val="000000"/>
                <w:sz w:val="24"/>
                <w:szCs w:val="24"/>
              </w:rPr>
            </w:pP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rPr>
              <w:t>非甲烷总烃</w:t>
            </w:r>
          </w:p>
        </w:tc>
        <w:tc>
          <w:tcPr>
            <w:tcW w:w="183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hint="eastAsia" w:ascii="宋体" w:hAnsi="宋体" w:eastAsia="宋体"/>
                <w:color w:val="000000"/>
                <w:sz w:val="24"/>
                <w:szCs w:val="24"/>
                <w:lang w:val="en-US" w:eastAsia="zh-CN"/>
              </w:rPr>
              <w:t>厂房封闭</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喷淋+</w:t>
            </w:r>
            <w:r>
              <w:rPr>
                <w:rFonts w:hint="eastAsia" w:ascii="宋体" w:hAnsi="宋体" w:eastAsia="宋体"/>
                <w:color w:val="000000"/>
                <w:sz w:val="24"/>
                <w:szCs w:val="24"/>
              </w:rPr>
              <w:t>UV光氧催化+活性炭吸附</w:t>
            </w:r>
            <w:r>
              <w:rPr>
                <w:rFonts w:ascii="Times New Roman" w:hAnsi="Times New Roman" w:eastAsia="Times New Roman"/>
                <w:color w:val="000000"/>
                <w:sz w:val="24"/>
                <w:szCs w:val="24"/>
              </w:rPr>
              <w:t>+</w:t>
            </w:r>
            <w:r>
              <w:rPr>
                <w:rFonts w:hint="eastAsia" w:ascii="Times New Roman" w:hAnsi="Times New Roman" w:eastAsia="宋体"/>
                <w:color w:val="000000"/>
                <w:sz w:val="24"/>
                <w:szCs w:val="24"/>
              </w:rPr>
              <w:t>15</w:t>
            </w:r>
            <w:r>
              <w:rPr>
                <w:rFonts w:ascii="Times New Roman" w:hAnsi="Times New Roman" w:eastAsia="Times New Roman"/>
                <w:color w:val="000000"/>
                <w:sz w:val="24"/>
                <w:szCs w:val="24"/>
              </w:rPr>
              <w:t>米高排气筒</w:t>
            </w:r>
          </w:p>
        </w:tc>
        <w:tc>
          <w:tcPr>
            <w:tcW w:w="19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《合成树脂工业污染物排放标准》（GB31572-2015）中</w:t>
            </w:r>
            <w:r>
              <w:rPr>
                <w:rFonts w:hint="eastAsia" w:ascii="宋体" w:hAnsi="宋体" w:eastAsia="宋体"/>
                <w:color w:val="000000"/>
                <w:sz w:val="24"/>
                <w:szCs w:val="24"/>
                <w:lang w:val="en-US" w:eastAsia="zh-CN"/>
              </w:rPr>
              <w:t>表5</w:t>
            </w:r>
            <w:r>
              <w:rPr>
                <w:rFonts w:hint="eastAsia" w:ascii="宋体" w:hAnsi="宋体" w:eastAsia="宋体"/>
                <w:color w:val="000000"/>
                <w:sz w:val="24"/>
                <w:szCs w:val="24"/>
              </w:rPr>
              <w:t>非甲烷总烃排放标准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3" w:hRule="atLeast"/>
        </w:trPr>
        <w:tc>
          <w:tcPr>
            <w:tcW w:w="1575"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地表水环境</w:t>
            </w:r>
          </w:p>
        </w:tc>
        <w:tc>
          <w:tcPr>
            <w:tcW w:w="1950" w:type="dxa"/>
            <w:vMerge w:val="restart"/>
            <w:tcBorders>
              <w:top w:val="single" w:color="000000" w:sz="8" w:space="0"/>
              <w:left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DW001生活污水排放口</w:t>
            </w:r>
          </w:p>
        </w:tc>
        <w:tc>
          <w:tcPr>
            <w:tcW w:w="1493" w:type="dxa"/>
            <w:tcBorders>
              <w:top w:val="single" w:color="000000" w:sz="8" w:space="0"/>
              <w:left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COD</w:t>
            </w:r>
          </w:p>
        </w:tc>
        <w:tc>
          <w:tcPr>
            <w:tcW w:w="1832" w:type="dxa"/>
            <w:vMerge w:val="restart"/>
            <w:tcBorders>
              <w:top w:val="single" w:color="000000" w:sz="8" w:space="0"/>
              <w:left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宋体" w:hAnsi="宋体" w:eastAsia="宋体"/>
                <w:color w:val="000000"/>
                <w:sz w:val="24"/>
                <w:szCs w:val="24"/>
              </w:rPr>
              <w:t>化粪池（处理规模为</w:t>
            </w:r>
            <w:r>
              <w:rPr>
                <w:rFonts w:ascii="Times New Roman" w:hAnsi="Times New Roman" w:eastAsia="Times New Roman"/>
                <w:color w:val="000000"/>
                <w:sz w:val="24"/>
                <w:szCs w:val="24"/>
              </w:rPr>
              <w:t>5m</w:t>
            </w:r>
            <w:r>
              <w:rPr>
                <w:rFonts w:ascii="Times New Roman" w:hAnsi="Times New Roman" w:eastAsia="Times New Roman"/>
                <w:color w:val="000000"/>
                <w:sz w:val="24"/>
                <w:szCs w:val="24"/>
                <w:vertAlign w:val="superscript"/>
              </w:rPr>
              <w:t>3</w:t>
            </w:r>
            <w:r>
              <w:rPr>
                <w:rFonts w:ascii="Times New Roman" w:hAnsi="Times New Roman" w:eastAsia="Times New Roman"/>
                <w:color w:val="000000"/>
                <w:sz w:val="24"/>
                <w:szCs w:val="24"/>
              </w:rPr>
              <w:t>/d</w:t>
            </w:r>
            <w:r>
              <w:rPr>
                <w:rFonts w:ascii="宋体" w:hAnsi="宋体" w:eastAsia="宋体"/>
                <w:color w:val="000000"/>
                <w:sz w:val="24"/>
                <w:szCs w:val="24"/>
              </w:rPr>
              <w:t>）</w:t>
            </w:r>
            <w:r>
              <w:rPr>
                <w:rFonts w:ascii="Times New Roman" w:hAnsi="Times New Roman" w:eastAsia="Times New Roman"/>
                <w:color w:val="000000"/>
                <w:sz w:val="24"/>
                <w:szCs w:val="24"/>
              </w:rPr>
              <w:t>+市政污水管网到</w:t>
            </w:r>
            <w:r>
              <w:rPr>
                <w:rFonts w:hint="eastAsia" w:ascii="Times New Roman" w:hAnsi="Times New Roman" w:eastAsia="宋体"/>
                <w:color w:val="000000"/>
                <w:sz w:val="24"/>
                <w:szCs w:val="24"/>
              </w:rPr>
              <w:t>津市工业园</w:t>
            </w:r>
            <w:r>
              <w:rPr>
                <w:rFonts w:ascii="Times New Roman" w:hAnsi="Times New Roman" w:eastAsia="Times New Roman"/>
                <w:color w:val="000000"/>
                <w:sz w:val="24"/>
                <w:szCs w:val="24"/>
              </w:rPr>
              <w:t>污水处理厂</w:t>
            </w:r>
          </w:p>
        </w:tc>
        <w:tc>
          <w:tcPr>
            <w:tcW w:w="1940" w:type="dxa"/>
            <w:vMerge w:val="restart"/>
            <w:tcBorders>
              <w:top w:val="single" w:color="000000" w:sz="8" w:space="0"/>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《污水综合排放标准》</w:t>
            </w:r>
            <w:r>
              <w:rPr>
                <w:rFonts w:ascii="Calibri" w:hAnsi="Calibri" w:eastAsia="Calibri"/>
                <w:color w:val="000000"/>
                <w:sz w:val="24"/>
                <w:szCs w:val="24"/>
              </w:rPr>
              <w:t>(GB8978-1996)</w:t>
            </w:r>
            <w:r>
              <w:rPr>
                <w:rFonts w:ascii="宋体" w:hAnsi="宋体" w:eastAsia="宋体"/>
                <w:color w:val="000000"/>
                <w:sz w:val="24"/>
                <w:szCs w:val="24"/>
              </w:rPr>
              <w:t>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5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BOD</w:t>
            </w:r>
            <w:r>
              <w:rPr>
                <w:rFonts w:ascii="Times New Roman" w:hAnsi="Times New Roman" w:eastAsia="Times New Roman"/>
                <w:color w:val="000000"/>
                <w:sz w:val="24"/>
                <w:szCs w:val="24"/>
                <w:vertAlign w:val="subscript"/>
              </w:rPr>
              <w:t>5</w:t>
            </w:r>
          </w:p>
        </w:tc>
        <w:tc>
          <w:tcPr>
            <w:tcW w:w="1832"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4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5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SS</w:t>
            </w:r>
          </w:p>
        </w:tc>
        <w:tc>
          <w:tcPr>
            <w:tcW w:w="1832"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4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5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氨氮</w:t>
            </w:r>
          </w:p>
        </w:tc>
        <w:tc>
          <w:tcPr>
            <w:tcW w:w="1832"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40" w:type="dxa"/>
            <w:vMerge w:val="continue"/>
            <w:tcBorders>
              <w:left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2" w:hRule="atLeas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50" w:type="dxa"/>
            <w:vMerge w:val="continue"/>
            <w:tcBorders>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动植物油</w:t>
            </w:r>
          </w:p>
        </w:tc>
        <w:tc>
          <w:tcPr>
            <w:tcW w:w="1832" w:type="dxa"/>
            <w:vMerge w:val="continue"/>
            <w:tcBorders>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c>
          <w:tcPr>
            <w:tcW w:w="1940" w:type="dxa"/>
            <w:vMerge w:val="continue"/>
            <w:tcBorders>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12"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声环境</w:t>
            </w:r>
          </w:p>
        </w:tc>
        <w:tc>
          <w:tcPr>
            <w:tcW w:w="195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厂界</w:t>
            </w: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等效连续A声级</w:t>
            </w:r>
          </w:p>
        </w:tc>
        <w:tc>
          <w:tcPr>
            <w:tcW w:w="183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设备基础减震、厂房及建筑材料隔声、吸声等措施</w:t>
            </w:r>
          </w:p>
        </w:tc>
        <w:tc>
          <w:tcPr>
            <w:tcW w:w="19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《工业企业厂界环境噪声排放标准》</w:t>
            </w:r>
            <w:r>
              <w:rPr>
                <w:rFonts w:ascii="Calibri" w:hAnsi="Calibri" w:eastAsia="Calibri"/>
                <w:color w:val="000000"/>
                <w:sz w:val="24"/>
                <w:szCs w:val="24"/>
              </w:rPr>
              <w:t>(GB12348-2008)</w:t>
            </w:r>
            <w:r>
              <w:rPr>
                <w:rFonts w:hint="eastAsia" w:ascii="Calibri" w:hAnsi="Calibri" w:eastAsia="宋体"/>
                <w:color w:val="000000"/>
                <w:sz w:val="24"/>
                <w:szCs w:val="24"/>
              </w:rPr>
              <w:t>3</w:t>
            </w:r>
            <w:r>
              <w:rPr>
                <w:rFonts w:ascii="宋体" w:hAnsi="宋体" w:eastAsia="宋体"/>
                <w:color w:val="000000"/>
                <w:sz w:val="24"/>
                <w:szCs w:val="24"/>
              </w:rPr>
              <w:t>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电磁辐射</w:t>
            </w:r>
          </w:p>
        </w:tc>
        <w:tc>
          <w:tcPr>
            <w:tcW w:w="195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149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183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19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固体废物</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both"/>
              <w:rPr>
                <w:rFonts w:hint="eastAsia" w:ascii="宋体" w:hAnsi="宋体" w:eastAsia="宋体"/>
                <w:color w:val="000000"/>
                <w:sz w:val="24"/>
                <w:szCs w:val="24"/>
                <w:lang w:eastAsia="zh-CN"/>
              </w:rPr>
            </w:pPr>
            <w:r>
              <w:rPr>
                <w:rFonts w:hint="eastAsia" w:ascii="宋体" w:hAnsi="宋体" w:eastAsia="宋体"/>
                <w:color w:val="000000"/>
                <w:sz w:val="24"/>
                <w:szCs w:val="24"/>
              </w:rPr>
              <w:t>生活垃圾定点收集转移到当地垃圾中转站，由环卫部门清理运走，废塑料收集后当原料使用，布袋除尘器收集的粉尘、废包装材料集中收集后外售</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废灯管由厂家更换后及时带走，不在厂区储存，</w:t>
            </w:r>
            <w:r>
              <w:rPr>
                <w:rFonts w:hint="eastAsia" w:ascii="宋体" w:hAnsi="宋体" w:eastAsia="宋体"/>
                <w:color w:val="000000"/>
                <w:sz w:val="24"/>
                <w:szCs w:val="24"/>
                <w:lang w:eastAsia="zh-CN"/>
              </w:rPr>
              <w:t>危险废物交由有资质的单位处理，不外排。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2"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土壤及地下水</w:t>
            </w:r>
          </w:p>
          <w:p>
            <w:pPr>
              <w:spacing w:line="360" w:lineRule="auto"/>
              <w:jc w:val="center"/>
              <w:rPr>
                <w:rFonts w:ascii="宋体" w:hAnsi="宋体" w:eastAsia="宋体"/>
                <w:color w:val="000000"/>
                <w:sz w:val="24"/>
                <w:szCs w:val="24"/>
              </w:rPr>
            </w:pPr>
            <w:r>
              <w:rPr>
                <w:rFonts w:ascii="宋体" w:hAnsi="宋体" w:eastAsia="宋体"/>
                <w:color w:val="000000"/>
                <w:sz w:val="24"/>
                <w:szCs w:val="24"/>
              </w:rPr>
              <w:t>污染防治措施</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3"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z w:val="24"/>
                <w:szCs w:val="24"/>
              </w:rPr>
            </w:pPr>
            <w:r>
              <w:rPr>
                <w:rFonts w:ascii="宋体" w:hAnsi="宋体" w:eastAsia="宋体"/>
                <w:color w:val="000000"/>
                <w:sz w:val="24"/>
                <w:szCs w:val="24"/>
              </w:rPr>
              <w:t>生态保护措施</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eastAsia" w:ascii="Times New Roman" w:hAnsi="Times New Roman" w:eastAsia="宋体"/>
                <w:color w:val="000000"/>
                <w:sz w:val="24"/>
                <w:szCs w:val="24"/>
                <w:lang w:eastAsia="zh-CN"/>
              </w:rPr>
            </w:pPr>
            <w:r>
              <w:rPr>
                <w:rFonts w:hint="eastAsia" w:ascii="Times New Roman" w:hAnsi="Times New Roman" w:eastAsia="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43"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pacing w:val="-8"/>
                <w:sz w:val="24"/>
                <w:szCs w:val="24"/>
              </w:rPr>
            </w:pPr>
            <w:r>
              <w:rPr>
                <w:rFonts w:ascii="宋体" w:hAnsi="宋体" w:eastAsia="宋体"/>
                <w:color w:val="000000"/>
                <w:spacing w:val="-8"/>
                <w:sz w:val="24"/>
                <w:szCs w:val="24"/>
              </w:rPr>
              <w:t>环境风险</w:t>
            </w:r>
          </w:p>
          <w:p>
            <w:pPr>
              <w:spacing w:line="360" w:lineRule="auto"/>
              <w:jc w:val="center"/>
              <w:rPr>
                <w:rFonts w:ascii="宋体" w:hAnsi="宋体" w:eastAsia="宋体"/>
                <w:color w:val="000000"/>
                <w:spacing w:val="-8"/>
                <w:sz w:val="24"/>
                <w:szCs w:val="24"/>
              </w:rPr>
            </w:pPr>
            <w:r>
              <w:rPr>
                <w:rFonts w:ascii="宋体" w:hAnsi="宋体" w:eastAsia="宋体"/>
                <w:color w:val="000000"/>
                <w:spacing w:val="-8"/>
                <w:sz w:val="24"/>
                <w:szCs w:val="24"/>
              </w:rPr>
              <w:t>防范措施</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both"/>
              <w:rPr>
                <w:rFonts w:hint="eastAsia"/>
                <w:sz w:val="24"/>
                <w:szCs w:val="24"/>
                <w:u w:val="single"/>
                <w:lang w:val="en-US" w:eastAsia="zh-CN"/>
              </w:rPr>
            </w:pPr>
            <w:r>
              <w:rPr>
                <w:rFonts w:hint="eastAsia"/>
                <w:sz w:val="24"/>
                <w:szCs w:val="24"/>
                <w:u w:val="single"/>
                <w:lang w:val="en-US" w:eastAsia="zh-CN"/>
              </w:rPr>
              <w:t>1、加强对危险性原辅材料的管理；制定安全操作规程，要求操作人员严格按操作规程作业；对从事危险化学作业人员定期进行安全培训教育；并对其作业场所进行安全检查。</w:t>
            </w:r>
          </w:p>
          <w:p>
            <w:pPr>
              <w:spacing w:line="360" w:lineRule="auto"/>
              <w:jc w:val="both"/>
              <w:rPr>
                <w:rFonts w:hint="eastAsia"/>
                <w:sz w:val="24"/>
                <w:szCs w:val="24"/>
                <w:u w:val="single"/>
                <w:lang w:val="en-US" w:eastAsia="zh-CN"/>
              </w:rPr>
            </w:pPr>
            <w:r>
              <w:rPr>
                <w:rFonts w:hint="eastAsia"/>
                <w:sz w:val="24"/>
                <w:szCs w:val="24"/>
                <w:u w:val="single"/>
                <w:lang w:val="en-US" w:eastAsia="zh-CN"/>
              </w:rPr>
              <w:t>2、加强对废气、废水处理设施的日常巡检、保养、维修。及时发现有可能引起事故的异常运行苗头，消除事故隐患。</w:t>
            </w:r>
          </w:p>
          <w:p>
            <w:pPr>
              <w:spacing w:line="360" w:lineRule="auto"/>
              <w:jc w:val="both"/>
              <w:rPr>
                <w:rFonts w:hint="eastAsia"/>
                <w:sz w:val="24"/>
                <w:szCs w:val="24"/>
                <w:u w:val="single"/>
                <w:lang w:val="en-US" w:eastAsia="zh-CN"/>
              </w:rPr>
            </w:pPr>
            <w:r>
              <w:rPr>
                <w:rFonts w:hint="eastAsia"/>
                <w:sz w:val="24"/>
                <w:szCs w:val="24"/>
                <w:u w:val="single"/>
                <w:lang w:val="en-US" w:eastAsia="zh-CN"/>
              </w:rPr>
              <w:t>3、严格按《危险化学品安全管理条例》的要求，加强对危险化学品的管理。</w:t>
            </w:r>
          </w:p>
          <w:p>
            <w:pPr>
              <w:spacing w:line="360" w:lineRule="auto"/>
              <w:jc w:val="both"/>
              <w:rPr>
                <w:rFonts w:ascii="Times New Roman" w:hAnsi="Times New Roman" w:eastAsia="Times New Roman"/>
                <w:color w:val="000000"/>
                <w:sz w:val="24"/>
                <w:szCs w:val="24"/>
              </w:rPr>
            </w:pPr>
            <w:r>
              <w:rPr>
                <w:rFonts w:hint="eastAsia"/>
                <w:sz w:val="24"/>
                <w:szCs w:val="24"/>
                <w:u w:val="single"/>
                <w:lang w:val="en-US" w:eastAsia="zh-CN"/>
              </w:rPr>
              <w:t>4、加强对厂区火源控制管理，一旦发生火灾，灭火过程中需遵循下述措施：①如有可能，转移未着火的容器。防止包装破损，引起环境污染。②收容消防废水，防止流入雨水管网进入河流。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90" w:hRule="atLeas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olor w:val="000000"/>
                <w:spacing w:val="-8"/>
                <w:sz w:val="24"/>
                <w:szCs w:val="24"/>
              </w:rPr>
            </w:pPr>
            <w:r>
              <w:rPr>
                <w:rFonts w:ascii="宋体" w:hAnsi="宋体" w:eastAsia="宋体"/>
                <w:color w:val="000000"/>
                <w:spacing w:val="-8"/>
                <w:sz w:val="24"/>
                <w:szCs w:val="24"/>
              </w:rPr>
              <w:t>其他环境</w:t>
            </w:r>
          </w:p>
          <w:p>
            <w:pPr>
              <w:spacing w:line="360" w:lineRule="auto"/>
              <w:jc w:val="center"/>
              <w:rPr>
                <w:rFonts w:ascii="宋体" w:hAnsi="宋体" w:eastAsia="宋体"/>
                <w:color w:val="000000"/>
                <w:spacing w:val="-8"/>
                <w:sz w:val="24"/>
                <w:szCs w:val="24"/>
              </w:rPr>
            </w:pPr>
            <w:r>
              <w:rPr>
                <w:rFonts w:ascii="宋体" w:hAnsi="宋体" w:eastAsia="宋体"/>
                <w:color w:val="000000"/>
                <w:spacing w:val="-8"/>
                <w:sz w:val="24"/>
                <w:szCs w:val="24"/>
              </w:rPr>
              <w:t>管理要求</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numPr>
                <w:ilvl w:val="0"/>
                <w:numId w:val="6"/>
              </w:numPr>
              <w:spacing w:line="360" w:lineRule="auto"/>
              <w:ind w:firstLine="482" w:firstLineChars="200"/>
              <w:jc w:val="both"/>
              <w:rPr>
                <w:rFonts w:hint="eastAsia" w:ascii="Times New Roman" w:hAnsi="Times New Roman" w:eastAsia="宋体"/>
                <w:b/>
                <w:bCs/>
                <w:color w:val="000000"/>
                <w:sz w:val="24"/>
                <w:szCs w:val="24"/>
                <w:u w:val="single"/>
                <w:lang w:val="en-US" w:eastAsia="zh-CN"/>
              </w:rPr>
            </w:pPr>
            <w:r>
              <w:rPr>
                <w:rFonts w:hint="eastAsia" w:ascii="Times New Roman" w:hAnsi="Times New Roman" w:eastAsia="宋体"/>
                <w:b/>
                <w:bCs/>
                <w:color w:val="000000"/>
                <w:sz w:val="24"/>
                <w:szCs w:val="24"/>
                <w:u w:val="single"/>
                <w:lang w:val="en-US" w:eastAsia="zh-CN"/>
              </w:rPr>
              <w:t>排污许可</w:t>
            </w:r>
          </w:p>
          <w:p>
            <w:pPr>
              <w:numPr>
                <w:ilvl w:val="0"/>
                <w:numId w:val="0"/>
              </w:numPr>
              <w:spacing w:line="360" w:lineRule="auto"/>
              <w:ind w:firstLine="480" w:firstLineChars="200"/>
              <w:jc w:val="both"/>
              <w:rPr>
                <w:rFonts w:hint="eastAsia" w:ascii="Times New Roman" w:hAnsi="Times New Roman" w:eastAsia="宋体"/>
                <w:color w:val="000000"/>
                <w:sz w:val="24"/>
                <w:szCs w:val="24"/>
                <w:u w:val="single"/>
                <w:lang w:val="en-US" w:eastAsia="zh-CN"/>
              </w:rPr>
            </w:pPr>
            <w:r>
              <w:rPr>
                <w:rFonts w:hint="eastAsia" w:ascii="Times New Roman" w:hAnsi="Times New Roman" w:eastAsia="Times New Roman"/>
                <w:color w:val="000000"/>
                <w:sz w:val="24"/>
                <w:szCs w:val="24"/>
                <w:u w:val="single"/>
              </w:rPr>
              <w:t>根据《固定污染源排污许可分类管理名录（2019年版）》</w:t>
            </w:r>
            <w:r>
              <w:rPr>
                <w:rFonts w:hint="eastAsia" w:ascii="Times New Roman" w:hAnsi="Times New Roman" w:eastAsia="宋体"/>
                <w:color w:val="000000"/>
                <w:sz w:val="24"/>
                <w:szCs w:val="24"/>
                <w:u w:val="single"/>
                <w:lang w:val="en-US" w:eastAsia="zh-CN"/>
              </w:rPr>
              <w:t>本项目属于，</w:t>
            </w:r>
            <w:r>
              <w:rPr>
                <w:rFonts w:hint="eastAsia" w:ascii="Times New Roman" w:hAnsi="Times New Roman" w:eastAsia="Times New Roman"/>
                <w:color w:val="000000"/>
                <w:sz w:val="24"/>
                <w:szCs w:val="24"/>
                <w:u w:val="single"/>
              </w:rPr>
              <w:t>二十四橡胶和塑料制品业62塑料制品业292。</w:t>
            </w:r>
            <w:r>
              <w:rPr>
                <w:rFonts w:hint="eastAsia" w:ascii="Times New Roman" w:hAnsi="Times New Roman" w:eastAsia="宋体"/>
                <w:color w:val="000000"/>
                <w:sz w:val="24"/>
                <w:szCs w:val="24"/>
                <w:u w:val="single"/>
                <w:lang w:val="en-US" w:eastAsia="zh-CN"/>
              </w:rPr>
              <w:t>其中重点管理为：塑料人造革、合成革制造2925；简化管理为：年产1万吨及以上的泡沫塑料制造2924，年产1万吨及以上涉及改性的塑料薄膜制造2921、塑料板、管、型材制造2922。</w:t>
            </w:r>
          </w:p>
          <w:p>
            <w:pPr>
              <w:spacing w:line="360" w:lineRule="auto"/>
              <w:ind w:firstLine="480" w:firstLineChars="200"/>
              <w:jc w:val="both"/>
              <w:rPr>
                <w:rFonts w:hint="eastAsia" w:ascii="Times New Roman" w:hAnsi="Times New Roman" w:eastAsia="Times New Roman"/>
                <w:color w:val="000000"/>
                <w:sz w:val="24"/>
                <w:szCs w:val="24"/>
              </w:rPr>
            </w:pPr>
            <w:r>
              <w:rPr>
                <w:rFonts w:hint="eastAsia" w:ascii="Times New Roman" w:hAnsi="Times New Roman" w:eastAsia="Times New Roman"/>
                <w:color w:val="000000"/>
                <w:sz w:val="24"/>
                <w:szCs w:val="24"/>
                <w:u w:val="single"/>
              </w:rPr>
              <w:t>本项目为塑料零件及其他塑料制品制造2929</w:t>
            </w:r>
            <w:r>
              <w:rPr>
                <w:rFonts w:hint="eastAsia" w:ascii="Times New Roman" w:hAnsi="Times New Roman" w:eastAsia="宋体"/>
                <w:color w:val="000000"/>
                <w:sz w:val="24"/>
                <w:szCs w:val="24"/>
                <w:u w:val="single"/>
                <w:lang w:eastAsia="zh-CN"/>
              </w:rPr>
              <w:t>，</w:t>
            </w:r>
            <w:r>
              <w:rPr>
                <w:rFonts w:hint="eastAsia" w:ascii="Times New Roman" w:hAnsi="Times New Roman" w:eastAsia="宋体"/>
                <w:color w:val="000000"/>
                <w:sz w:val="24"/>
                <w:szCs w:val="24"/>
                <w:u w:val="single"/>
                <w:lang w:val="en-US" w:eastAsia="zh-CN"/>
              </w:rPr>
              <w:t>年产量为300吨，没超过1万吨</w:t>
            </w:r>
            <w:r>
              <w:rPr>
                <w:rFonts w:hint="eastAsia" w:ascii="Times New Roman" w:hAnsi="Times New Roman" w:eastAsia="Times New Roman"/>
                <w:color w:val="000000"/>
                <w:sz w:val="24"/>
                <w:szCs w:val="24"/>
                <w:u w:val="single"/>
              </w:rPr>
              <w:t>。因此，本项目属于排污许可证的简化管理</w:t>
            </w:r>
            <w:r>
              <w:rPr>
                <w:rFonts w:hint="eastAsia" w:ascii="Times New Roman" w:hAnsi="Times New Roman" w:eastAsia="Times New Roman"/>
                <w:color w:val="000000"/>
                <w:sz w:val="24"/>
                <w:szCs w:val="24"/>
              </w:rPr>
              <w:t>。</w:t>
            </w:r>
          </w:p>
          <w:p>
            <w:pPr>
              <w:spacing w:line="360" w:lineRule="auto"/>
              <w:ind w:firstLine="482" w:firstLineChars="200"/>
              <w:jc w:val="both"/>
              <w:rPr>
                <w:rFonts w:hint="eastAsia" w:ascii="Times New Roman" w:hAnsi="Times New Roman" w:eastAsia="Times New Roman"/>
                <w:b/>
                <w:bCs/>
                <w:color w:val="000000"/>
                <w:sz w:val="24"/>
                <w:szCs w:val="24"/>
                <w:u w:val="single"/>
              </w:rPr>
            </w:pPr>
            <w:r>
              <w:rPr>
                <w:rFonts w:hint="eastAsia" w:ascii="Times New Roman" w:hAnsi="Times New Roman" w:eastAsia="宋体"/>
                <w:b/>
                <w:bCs/>
                <w:color w:val="000000"/>
                <w:sz w:val="24"/>
                <w:szCs w:val="24"/>
                <w:u w:val="single"/>
                <w:lang w:val="en-US" w:eastAsia="zh-CN"/>
              </w:rPr>
              <w:t>2、</w:t>
            </w:r>
            <w:r>
              <w:rPr>
                <w:rFonts w:hint="eastAsia" w:ascii="Times New Roman" w:hAnsi="Times New Roman" w:eastAsia="Times New Roman"/>
                <w:b/>
                <w:bCs/>
                <w:color w:val="000000"/>
                <w:sz w:val="24"/>
                <w:szCs w:val="24"/>
                <w:u w:val="single"/>
              </w:rPr>
              <w:t>环保验收</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根据《建设项目竣工环境保护验收暂行办法》（国环规环评[2017]4号第十二条：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建设项目竣工环境保护企业自行验收工作程序：</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（1）在建设项目竣工后、正式投入生产或运行前，企业按照环境影响报告表及其批复文件要求，对与主体工程配套建设的环境保护设施落实情况进行查验。</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2）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（3）验收调查（监测）报告编制完成后，由企业法人组织对建设项目环境保护设施和环境保护措施进行验收，形成书面报告备查，并向社会公开。</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4）企业自行组织竣工环境保护验收时，应成立验收组，对建设项目环境保护设施及其他环境保护措施进行资料审查、现场踏勘，形成验收意见，验收组成员名单附后。验收意见应经三分之二以上验收组成员同意。</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验收组应由项目法人、设计单位、施工单位、环境监理单位、环境监测单位、环境影响报告表编制单位、变更环境影响报告表编制单位、验收调查（监测）报告编制单位代表，以及不少于5名行业专家组成。</w:t>
            </w:r>
          </w:p>
          <w:p>
            <w:pPr>
              <w:spacing w:line="360" w:lineRule="auto"/>
              <w:ind w:firstLine="480" w:firstLineChars="200"/>
              <w:jc w:val="both"/>
              <w:rPr>
                <w:rFonts w:hint="eastAsia" w:ascii="Times New Roman" w:hAnsi="Times New Roman" w:eastAsia="Times New Roman"/>
                <w:color w:val="000000"/>
                <w:sz w:val="24"/>
                <w:szCs w:val="24"/>
                <w:u w:val="single"/>
              </w:rPr>
            </w:pPr>
            <w:r>
              <w:rPr>
                <w:rFonts w:hint="eastAsia" w:ascii="Times New Roman" w:hAnsi="Times New Roman" w:eastAsia="Times New Roman"/>
                <w:color w:val="000000"/>
                <w:sz w:val="24"/>
                <w:szCs w:val="24"/>
                <w:u w:val="single"/>
              </w:rPr>
              <w:t>（5）企业应对验收意见中提出的环保问题进行整改。环境保护设施未经验收或者验收不合格的，建设项目主体工程不得投入生产或者使用。</w:t>
            </w:r>
          </w:p>
          <w:p>
            <w:pPr>
              <w:spacing w:line="360" w:lineRule="auto"/>
              <w:ind w:firstLine="480" w:firstLineChars="200"/>
              <w:jc w:val="both"/>
              <w:rPr>
                <w:rFonts w:ascii="Times New Roman" w:hAnsi="Times New Roman" w:eastAsia="Times New Roman"/>
                <w:color w:val="000000"/>
                <w:sz w:val="24"/>
                <w:szCs w:val="24"/>
              </w:rPr>
            </w:pPr>
            <w:r>
              <w:rPr>
                <w:rFonts w:hint="eastAsia" w:ascii="Times New Roman" w:hAnsi="Times New Roman" w:eastAsia="Times New Roman"/>
                <w:color w:val="000000"/>
                <w:sz w:val="24"/>
                <w:szCs w:val="24"/>
                <w:u w:val="single"/>
              </w:rPr>
              <w:t>（6）企业应自验收通过之日起30个工作日内，制作竣工环境保护验收意见书，并将验收意见书、验收调查（监测）报告和“三同时”验收登记表上传至建设项目竣工环境保护企业自行验收信息平台，并如实向社会公开</w:t>
            </w:r>
            <w:r>
              <w:rPr>
                <w:rFonts w:hint="eastAsia" w:ascii="Times New Roman" w:hAnsi="Times New Roman" w:eastAsia="Times New Roman"/>
                <w:color w:val="000000"/>
                <w:sz w:val="24"/>
                <w:szCs w:val="24"/>
              </w:rPr>
              <w:t>。</w:t>
            </w:r>
          </w:p>
        </w:tc>
      </w:tr>
    </w:tbl>
    <w:p>
      <w:pPr>
        <w:snapToGrid w:val="0"/>
        <w:jc w:val="left"/>
        <w:rPr>
          <w:rFonts w:ascii="微软雅黑" w:hAnsi="微软雅黑" w:eastAsia="微软雅黑"/>
          <w:color w:val="000000"/>
          <w:szCs w:val="21"/>
        </w:rPr>
      </w:pPr>
    </w:p>
    <w:p>
      <w:pPr>
        <w:rPr>
          <w:rFonts w:ascii="黑体" w:hAnsi="黑体" w:eastAsia="黑体"/>
          <w:color w:val="000000"/>
          <w:sz w:val="30"/>
          <w:szCs w:val="30"/>
        </w:rPr>
      </w:pPr>
      <w:r>
        <w:rPr>
          <w:rFonts w:ascii="黑体" w:hAnsi="黑体" w:eastAsia="黑体"/>
          <w:color w:val="000000"/>
          <w:sz w:val="30"/>
          <w:szCs w:val="30"/>
        </w:rPr>
        <w:br w:type="page"/>
      </w:r>
    </w:p>
    <w:p>
      <w:pPr>
        <w:pStyle w:val="15"/>
        <w:spacing w:line="360" w:lineRule="auto"/>
        <w:ind w:firstLine="600" w:firstLineChars="200"/>
        <w:jc w:val="center"/>
        <w:outlineLvl w:val="0"/>
        <w:rPr>
          <w:rFonts w:hint="eastAsia" w:ascii="黑体" w:hAnsi="黑体" w:eastAsia="黑体" w:cs="Times New Roman"/>
          <w:snapToGrid w:val="0"/>
          <w:sz w:val="30"/>
          <w:szCs w:val="30"/>
          <w:lang w:val="en-US" w:eastAsia="zh-CN"/>
        </w:rPr>
      </w:pPr>
      <w:r>
        <w:rPr>
          <w:rFonts w:hint="eastAsia" w:ascii="黑体" w:hAnsi="黑体" w:eastAsia="黑体" w:cs="Times New Roman"/>
          <w:snapToGrid w:val="0"/>
          <w:sz w:val="30"/>
          <w:szCs w:val="30"/>
          <w:lang w:val="en-US" w:eastAsia="zh-CN"/>
        </w:rPr>
        <w:t>六、结论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21" w:hRule="atLeast"/>
        </w:trPr>
        <w:tc>
          <w:tcPr>
            <w:tcW w:w="8865" w:type="dxa"/>
            <w:tcBorders>
              <w:top w:val="single" w:color="000000" w:sz="8" w:space="0"/>
              <w:left w:val="single" w:color="000000" w:sz="8" w:space="0"/>
              <w:bottom w:val="single" w:color="000000" w:sz="8" w:space="0"/>
              <w:right w:val="single" w:color="000000" w:sz="8" w:space="0"/>
            </w:tcBorders>
          </w:tcPr>
          <w:p>
            <w:pPr>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根据前文分析，</w:t>
            </w:r>
            <w:r>
              <w:rPr>
                <w:rFonts w:hint="eastAsia" w:ascii="宋体" w:hAnsi="宋体" w:eastAsia="宋体"/>
                <w:color w:val="000000"/>
                <w:sz w:val="24"/>
                <w:szCs w:val="24"/>
              </w:rPr>
              <w:t>津市利新保温材料有限公司</w:t>
            </w:r>
            <w:r>
              <w:rPr>
                <w:rFonts w:hint="eastAsia" w:ascii="Calibri" w:hAnsi="Calibri" w:eastAsia="Calibri"/>
                <w:color w:val="000000"/>
                <w:sz w:val="24"/>
                <w:szCs w:val="24"/>
              </w:rPr>
              <w:t>（利新）新型节能环保保温材料项目</w:t>
            </w:r>
            <w:r>
              <w:rPr>
                <w:rFonts w:ascii="宋体" w:hAnsi="宋体" w:eastAsia="宋体"/>
                <w:color w:val="000000"/>
                <w:sz w:val="24"/>
                <w:szCs w:val="24"/>
              </w:rPr>
              <w:t>选址在</w:t>
            </w:r>
            <w:r>
              <w:rPr>
                <w:rFonts w:hint="eastAsia" w:ascii="宋体" w:hAnsi="宋体" w:eastAsia="宋体"/>
                <w:color w:val="000000"/>
                <w:sz w:val="24"/>
                <w:szCs w:val="24"/>
              </w:rPr>
              <w:t>津市高新技术产业开发区团湖大道右侧钰兴科技园4号车间</w:t>
            </w:r>
            <w:r>
              <w:rPr>
                <w:rFonts w:ascii="宋体" w:hAnsi="宋体" w:eastAsia="宋体"/>
                <w:color w:val="000000"/>
                <w:sz w:val="24"/>
                <w:szCs w:val="24"/>
              </w:rPr>
              <w:t>，选址不在生态红线范围内，满足“三线一单”要求，项目所在地环境质量现状良好，项目污染物经采取报告中相应措施后可达标排放。从环境保护角度分析，项目建设可行</w:t>
            </w:r>
            <w:r>
              <w:rPr>
                <w:rFonts w:hint="eastAsia" w:ascii="宋体" w:hAnsi="宋体" w:eastAsia="宋体"/>
                <w:color w:val="000000"/>
                <w:sz w:val="24"/>
                <w:szCs w:val="24"/>
              </w:rPr>
              <w:t>。</w:t>
            </w:r>
          </w:p>
        </w:tc>
      </w:tr>
    </w:tbl>
    <w:p>
      <w:pPr>
        <w:snapToGrid w:val="0"/>
        <w:jc w:val="left"/>
        <w:rPr>
          <w:rFonts w:ascii="黑体" w:hAnsi="黑体" w:eastAsia="黑体"/>
          <w:color w:val="000000"/>
          <w:sz w:val="32"/>
          <w:szCs w:val="32"/>
        </w:rPr>
        <w:sectPr>
          <w:footerReference r:id="rId3" w:type="default"/>
          <w:pgSz w:w="11906" w:h="16838"/>
          <w:pgMar w:top="1701" w:right="1531" w:bottom="1701"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5"/>
        <w:bidi w:val="0"/>
        <w:rPr>
          <w:rFonts w:hint="eastAsia" w:ascii="黑体" w:hAnsi="黑体" w:eastAsia="黑体" w:cs="黑体"/>
          <w:sz w:val="32"/>
          <w:szCs w:val="32"/>
        </w:rPr>
      </w:pPr>
      <w:r>
        <w:rPr>
          <w:rFonts w:hint="eastAsia" w:ascii="黑体" w:hAnsi="黑体" w:eastAsia="黑体" w:cs="黑体"/>
          <w:sz w:val="32"/>
          <w:szCs w:val="32"/>
        </w:rPr>
        <w:t>附表</w:t>
      </w:r>
    </w:p>
    <w:p>
      <w:pPr>
        <w:pStyle w:val="15"/>
        <w:adjustRightInd w:val="0"/>
        <w:snapToGrid w:val="0"/>
        <w:spacing w:before="0" w:beforeAutospacing="0" w:after="0" w:afterAutospacing="0" w:line="552" w:lineRule="auto"/>
        <w:ind w:firstLine="760" w:firstLineChars="200"/>
        <w:jc w:val="center"/>
        <w:outlineLvl w:val="0"/>
        <w:rPr>
          <w:rFonts w:hint="eastAsia" w:ascii="方正小标宋_GBK" w:hAnsi="黑体" w:eastAsia="方正小标宋_GBK" w:cs="Times New Roman"/>
          <w:snapToGrid w:val="0"/>
          <w:sz w:val="38"/>
          <w:szCs w:val="38"/>
        </w:rPr>
      </w:pPr>
      <w:r>
        <w:rPr>
          <w:rFonts w:hint="eastAsia" w:ascii="方正小标宋_GBK" w:hAnsi="黑体" w:eastAsia="方正小标宋_GBK" w:cs="Times New Roman"/>
          <w:snapToGrid w:val="0"/>
          <w:sz w:val="38"/>
          <w:szCs w:val="38"/>
        </w:rPr>
        <w:t>建设项目污染物排放量汇总表</w:t>
      </w:r>
    </w:p>
    <w:tbl>
      <w:tblPr>
        <w:tblStyle w:val="20"/>
        <w:tblW w:w="13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75"/>
        <w:gridCol w:w="1410"/>
        <w:gridCol w:w="1695"/>
        <w:gridCol w:w="1275"/>
        <w:gridCol w:w="1695"/>
        <w:gridCol w:w="1545"/>
        <w:gridCol w:w="1755"/>
        <w:gridCol w:w="16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3" w:hRule="exac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right"/>
              <w:rPr>
                <w:rFonts w:ascii="黑体" w:hAnsi="黑体" w:eastAsia="黑体"/>
                <w:color w:val="000000"/>
                <w:spacing w:val="-6"/>
                <w:kern w:val="21"/>
                <w:sz w:val="24"/>
                <w:szCs w:val="24"/>
              </w:rPr>
            </w:pPr>
            <w:r>
              <w:rPr>
                <w:rFonts w:ascii="黑体" w:hAnsi="黑体" w:eastAsia="黑体"/>
                <w:color w:val="000000"/>
                <w:spacing w:val="-6"/>
                <w:kern w:val="21"/>
                <w:sz w:val="24"/>
                <w:szCs w:val="24"/>
              </w:rPr>
              <w:t>项目</w:t>
            </w:r>
          </w:p>
          <w:p>
            <w:pPr>
              <w:spacing w:line="240" w:lineRule="auto"/>
              <w:jc w:val="left"/>
              <w:rPr>
                <w:rFonts w:ascii="黑体" w:hAnsi="黑体" w:eastAsia="黑体"/>
                <w:color w:val="000000"/>
                <w:spacing w:val="-6"/>
                <w:kern w:val="21"/>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-248285</wp:posOffset>
                      </wp:positionV>
                      <wp:extent cx="958215" cy="696595"/>
                      <wp:effectExtent l="2540" t="3810" r="14605" b="15875"/>
                      <wp:wrapNone/>
                      <wp:docPr id="1" name="直接连接符 1"/>
                      <wp:cNvGraphicFramePr/>
                      <a:graphic xmlns:a="http://schemas.openxmlformats.org/drawingml/2006/main">
                        <a:graphicData uri="http://schemas.microsoft.com/office/word/2010/wordprocessingShape">
                          <wps:wsp>
                            <wps:cNvCnPr/>
                            <wps:spPr>
                              <a:xfrm>
                                <a:off x="2015490" y="2698115"/>
                                <a:ext cx="958215" cy="696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9.55pt;height:54.85pt;width:75.45pt;z-index:251666432;mso-width-relative:page;mso-height-relative:page;" filled="f" stroked="t" coordsize="21600,21600" o:gfxdata="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mf1b1wAA&#10;AAkBAAAPAAAAAAAAAAEAIAAAACIAAABkcnMvZG93bnJldi54bWxQSwECFAAUAAAACACHTuJAMrG4&#10;MeYBAACqAwAADgAAAAAAAAABACAAAAAmAQAAZHJzL2Uyb0RvYy54bWxQSwUGAAAAAAYABgBZAQAA&#10;fgUAAAAA&#10;">
                      <v:fill on="f" focussize="0,0"/>
                      <v:stroke color="#000000 [3213]" joinstyle="round"/>
                      <v:imagedata o:title=""/>
                      <o:lock v:ext="edit" aspectratio="f"/>
                    </v:line>
                  </w:pict>
                </mc:Fallback>
              </mc:AlternateContent>
            </w:r>
            <w:r>
              <w:rPr>
                <w:rFonts w:ascii="黑体" w:hAnsi="黑体" w:eastAsia="黑体"/>
                <w:color w:val="000000"/>
                <w:spacing w:val="-6"/>
                <w:kern w:val="21"/>
                <w:sz w:val="24"/>
                <w:szCs w:val="24"/>
              </w:rPr>
              <w:t>分类</w:t>
            </w:r>
          </w:p>
        </w:tc>
        <w:tc>
          <w:tcPr>
            <w:tcW w:w="141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污染物名称</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现有工程</w:t>
            </w:r>
          </w:p>
          <w:p>
            <w:pPr>
              <w:spacing w:line="240" w:lineRule="auto"/>
              <w:jc w:val="center"/>
              <w:rPr>
                <w:rFonts w:ascii="Times New Roman" w:hAnsi="Times New Roman" w:eastAsia="Times New Roman"/>
                <w:color w:val="000000"/>
                <w:spacing w:val="-6"/>
                <w:kern w:val="21"/>
                <w:sz w:val="24"/>
                <w:szCs w:val="24"/>
              </w:rPr>
            </w:pPr>
            <w:r>
              <w:rPr>
                <w:rFonts w:ascii="黑体" w:hAnsi="黑体" w:eastAsia="黑体"/>
                <w:color w:val="000000"/>
                <w:spacing w:val="-6"/>
                <w:kern w:val="21"/>
                <w:sz w:val="24"/>
                <w:szCs w:val="24"/>
              </w:rPr>
              <w:t>排放量（固体废物产生量）</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现有工程</w:t>
            </w:r>
          </w:p>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许可排放量</w:t>
            </w:r>
          </w:p>
          <w:p>
            <w:pPr>
              <w:spacing w:line="240" w:lineRule="auto"/>
              <w:jc w:val="center"/>
              <w:rPr>
                <w:rFonts w:ascii="Times New Roman" w:hAnsi="Times New Roman" w:eastAsia="Times New Roman"/>
                <w:color w:val="000000"/>
                <w:spacing w:val="-6"/>
                <w:kern w:val="21"/>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在建工程</w:t>
            </w:r>
          </w:p>
          <w:p>
            <w:pPr>
              <w:spacing w:line="240" w:lineRule="auto"/>
              <w:jc w:val="center"/>
              <w:rPr>
                <w:rFonts w:ascii="Times New Roman" w:hAnsi="Times New Roman" w:eastAsia="Times New Roman"/>
                <w:color w:val="000000"/>
                <w:spacing w:val="-6"/>
                <w:kern w:val="21"/>
                <w:sz w:val="24"/>
                <w:szCs w:val="24"/>
              </w:rPr>
            </w:pPr>
            <w:r>
              <w:rPr>
                <w:rFonts w:ascii="黑体" w:hAnsi="黑体" w:eastAsia="黑体"/>
                <w:color w:val="000000"/>
                <w:spacing w:val="-6"/>
                <w:kern w:val="21"/>
                <w:sz w:val="24"/>
                <w:szCs w:val="24"/>
              </w:rPr>
              <w:t>排放量（固体废物产生量）</w:t>
            </w:r>
          </w:p>
        </w:tc>
        <w:tc>
          <w:tcPr>
            <w:tcW w:w="154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本项目</w:t>
            </w:r>
          </w:p>
          <w:p>
            <w:pPr>
              <w:spacing w:line="240" w:lineRule="auto"/>
              <w:jc w:val="center"/>
              <w:rPr>
                <w:rFonts w:ascii="Times New Roman" w:hAnsi="Times New Roman" w:eastAsia="Times New Roman"/>
                <w:color w:val="000000"/>
                <w:spacing w:val="-6"/>
                <w:kern w:val="21"/>
                <w:sz w:val="24"/>
                <w:szCs w:val="24"/>
              </w:rPr>
            </w:pPr>
            <w:r>
              <w:rPr>
                <w:rFonts w:ascii="黑体" w:hAnsi="黑体" w:eastAsia="黑体"/>
                <w:color w:val="000000"/>
                <w:spacing w:val="-6"/>
                <w:kern w:val="21"/>
                <w:sz w:val="24"/>
                <w:szCs w:val="24"/>
              </w:rPr>
              <w:t>排放量（固体废物产生量）</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16"/>
                <w:kern w:val="21"/>
                <w:sz w:val="24"/>
                <w:szCs w:val="24"/>
              </w:rPr>
            </w:pPr>
            <w:r>
              <w:rPr>
                <w:rFonts w:ascii="黑体" w:hAnsi="黑体" w:eastAsia="黑体"/>
                <w:color w:val="000000"/>
                <w:spacing w:val="-16"/>
                <w:kern w:val="21"/>
                <w:sz w:val="24"/>
                <w:szCs w:val="24"/>
              </w:rPr>
              <w:t>以新带老削减量</w:t>
            </w:r>
          </w:p>
          <w:p>
            <w:pPr>
              <w:spacing w:line="240" w:lineRule="auto"/>
              <w:jc w:val="center"/>
              <w:rPr>
                <w:rFonts w:ascii="Times New Roman" w:hAnsi="Times New Roman" w:eastAsia="Times New Roman"/>
                <w:color w:val="000000"/>
                <w:spacing w:val="-16"/>
                <w:kern w:val="21"/>
                <w:sz w:val="24"/>
                <w:szCs w:val="24"/>
              </w:rPr>
            </w:pPr>
            <w:r>
              <w:rPr>
                <w:rFonts w:ascii="黑体" w:hAnsi="黑体" w:eastAsia="黑体"/>
                <w:color w:val="000000"/>
                <w:spacing w:val="-16"/>
                <w:kern w:val="21"/>
                <w:sz w:val="24"/>
                <w:szCs w:val="24"/>
              </w:rPr>
              <w:t>（新建项目不填）</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16"/>
                <w:kern w:val="21"/>
                <w:sz w:val="24"/>
                <w:szCs w:val="24"/>
              </w:rPr>
            </w:pPr>
            <w:r>
              <w:rPr>
                <w:rFonts w:ascii="黑体" w:hAnsi="黑体" w:eastAsia="黑体"/>
                <w:color w:val="000000"/>
                <w:spacing w:val="-16"/>
                <w:kern w:val="21"/>
                <w:sz w:val="24"/>
                <w:szCs w:val="24"/>
              </w:rPr>
              <w:t>本项目建成后</w:t>
            </w:r>
          </w:p>
          <w:p>
            <w:pPr>
              <w:spacing w:line="240" w:lineRule="auto"/>
              <w:jc w:val="center"/>
              <w:rPr>
                <w:rFonts w:ascii="Times New Roman" w:hAnsi="Times New Roman" w:eastAsia="Times New Roman"/>
                <w:color w:val="000000"/>
                <w:spacing w:val="-16"/>
                <w:kern w:val="21"/>
                <w:sz w:val="24"/>
                <w:szCs w:val="24"/>
              </w:rPr>
            </w:pPr>
            <w:r>
              <w:rPr>
                <w:rFonts w:ascii="黑体" w:hAnsi="黑体" w:eastAsia="黑体"/>
                <w:color w:val="000000"/>
                <w:spacing w:val="-16"/>
                <w:kern w:val="21"/>
                <w:sz w:val="24"/>
                <w:szCs w:val="24"/>
              </w:rPr>
              <w:t>全厂排放量（固体废物产生量）</w:t>
            </w:r>
          </w:p>
        </w:tc>
        <w:tc>
          <w:tcPr>
            <w:tcW w:w="108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黑体" w:hAnsi="黑体" w:eastAsia="黑体"/>
                <w:color w:val="000000"/>
                <w:spacing w:val="-6"/>
                <w:kern w:val="21"/>
                <w:sz w:val="24"/>
                <w:szCs w:val="24"/>
              </w:rPr>
            </w:pPr>
            <w:r>
              <w:rPr>
                <w:rFonts w:ascii="黑体" w:hAnsi="黑体" w:eastAsia="黑体"/>
                <w:color w:val="000000"/>
                <w:spacing w:val="-6"/>
                <w:kern w:val="21"/>
                <w:sz w:val="24"/>
                <w:szCs w:val="24"/>
              </w:rPr>
              <w:t>变化量</w:t>
            </w:r>
          </w:p>
          <w:p>
            <w:pPr>
              <w:spacing w:line="240" w:lineRule="auto"/>
              <w:jc w:val="center"/>
              <w:rPr>
                <w:rFonts w:ascii="Times New Roman" w:hAnsi="Times New Roman" w:eastAsia="Times New Roman"/>
                <w:color w:val="000000"/>
                <w:spacing w:val="-6"/>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3" w:hRule="exact"/>
        </w:trPr>
        <w:tc>
          <w:tcPr>
            <w:tcW w:w="1575" w:type="dxa"/>
            <w:vMerge w:val="restart"/>
            <w:tcBorders>
              <w:top w:val="single" w:color="000000" w:sz="8" w:space="0"/>
              <w:left w:val="single" w:color="000000" w:sz="8" w:space="0"/>
              <w:right w:val="single" w:color="000000" w:sz="8" w:space="0"/>
            </w:tcBorders>
            <w:vAlign w:val="center"/>
          </w:tcPr>
          <w:p>
            <w:pPr>
              <w:spacing w:line="240" w:lineRule="auto"/>
              <w:jc w:val="center"/>
              <w:rPr>
                <w:rFonts w:ascii="宋体" w:hAnsi="宋体" w:eastAsia="宋体"/>
                <w:color w:val="000000"/>
                <w:kern w:val="21"/>
                <w:sz w:val="24"/>
                <w:szCs w:val="24"/>
              </w:rPr>
            </w:pPr>
            <w:r>
              <w:rPr>
                <w:rFonts w:ascii="宋体" w:hAnsi="宋体" w:eastAsia="宋体"/>
                <w:color w:val="000000"/>
                <w:kern w:val="21"/>
                <w:sz w:val="24"/>
                <w:szCs w:val="24"/>
              </w:rPr>
              <w:t>废气</w:t>
            </w:r>
          </w:p>
        </w:tc>
        <w:tc>
          <w:tcPr>
            <w:tcW w:w="141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宋体" w:hAnsi="宋体" w:eastAsia="宋体"/>
                <w:color w:val="000000"/>
                <w:kern w:val="21"/>
                <w:sz w:val="24"/>
                <w:szCs w:val="24"/>
                <w:lang w:eastAsia="zh-CN"/>
              </w:rPr>
            </w:pPr>
            <w:r>
              <w:rPr>
                <w:rFonts w:hint="eastAsia" w:ascii="宋体" w:hAnsi="宋体" w:eastAsia="宋体"/>
                <w:color w:val="000000"/>
                <w:kern w:val="21"/>
                <w:sz w:val="24"/>
                <w:szCs w:val="24"/>
                <w:lang w:val="en-US" w:eastAsia="zh-CN"/>
              </w:rPr>
              <w:t>颗粒物</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b w:val="0"/>
                <w:bCs/>
                <w:sz w:val="24"/>
                <w:szCs w:val="24"/>
                <w:lang w:eastAsia="zh-CN"/>
              </w:rPr>
              <w:t>0.9918</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b w:val="0"/>
                <w:bCs/>
                <w:sz w:val="24"/>
                <w:szCs w:val="24"/>
                <w:lang w:eastAsia="zh-CN"/>
              </w:rPr>
              <w:t>0.9918</w:t>
            </w:r>
          </w:p>
        </w:tc>
        <w:tc>
          <w:tcPr>
            <w:tcW w:w="1080"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b w:val="0"/>
                <w:bCs/>
                <w:sz w:val="24"/>
                <w:szCs w:val="24"/>
              </w:rPr>
              <w:t>+</w:t>
            </w:r>
            <w:r>
              <w:rPr>
                <w:rFonts w:hint="eastAsia"/>
                <w:b w:val="0"/>
                <w:bCs/>
                <w:sz w:val="24"/>
                <w:szCs w:val="24"/>
                <w:lang w:eastAsia="zh-CN"/>
              </w:rPr>
              <w:t>0.9918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1" w:hRule="exact"/>
        </w:trPr>
        <w:tc>
          <w:tcPr>
            <w:tcW w:w="1575" w:type="dxa"/>
            <w:vMerge w:val="continue"/>
            <w:tcBorders>
              <w:left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vertAlign w:val="subscript"/>
              </w:rPr>
            </w:pPr>
            <w:r>
              <w:rPr>
                <w:rFonts w:hint="eastAsia" w:ascii="Times New Roman" w:hAnsi="Times New Roman" w:eastAsia="Times New Roman"/>
                <w:color w:val="000000"/>
                <w:kern w:val="21"/>
                <w:sz w:val="24"/>
                <w:szCs w:val="24"/>
              </w:rPr>
              <w:t>非甲烷总烃</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eastAsia="宋体"/>
                <w:b w:val="0"/>
                <w:bCs/>
                <w:sz w:val="24"/>
                <w:szCs w:val="24"/>
                <w:lang w:eastAsia="zh-CN"/>
              </w:rPr>
              <w:t>0.4376</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eastAsia="宋体"/>
                <w:b w:val="0"/>
                <w:bCs/>
                <w:sz w:val="24"/>
                <w:szCs w:val="24"/>
                <w:lang w:eastAsia="zh-CN"/>
              </w:rPr>
              <w:t>0.4376</w:t>
            </w:r>
          </w:p>
        </w:tc>
        <w:tc>
          <w:tcPr>
            <w:tcW w:w="1080" w:type="dxa"/>
            <w:tcBorders>
              <w:top w:val="single" w:color="000000" w:sz="8" w:space="0"/>
              <w:left w:val="single" w:color="000000" w:sz="8" w:space="0"/>
              <w:bottom w:val="single" w:color="000000" w:sz="8" w:space="0"/>
              <w:right w:val="single" w:color="000000" w:sz="8" w:space="0"/>
            </w:tcBorders>
            <w:vAlign w:val="center"/>
          </w:tcPr>
          <w:p>
            <w:pPr>
              <w:pStyle w:val="28"/>
              <w:widowControl w:val="0"/>
              <w:spacing w:line="240" w:lineRule="auto"/>
              <w:rPr>
                <w:rFonts w:hint="eastAsia" w:eastAsia="宋体"/>
                <w:color w:val="000000"/>
                <w:kern w:val="21"/>
                <w:sz w:val="24"/>
                <w:szCs w:val="24"/>
                <w:lang w:eastAsia="zh-CN"/>
              </w:rPr>
            </w:pPr>
            <w:r>
              <w:rPr>
                <w:rFonts w:hint="eastAsia"/>
                <w:b w:val="0"/>
                <w:bCs/>
                <w:sz w:val="24"/>
                <w:szCs w:val="24"/>
              </w:rPr>
              <w:t>+</w:t>
            </w:r>
            <w:r>
              <w:rPr>
                <w:rFonts w:hint="eastAsia"/>
                <w:b w:val="0"/>
                <w:bCs/>
                <w:sz w:val="24"/>
                <w:szCs w:val="24"/>
                <w:lang w:eastAsia="zh-CN"/>
              </w:rPr>
              <w:t>0.4376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5" w:hRule="exact"/>
        </w:trPr>
        <w:tc>
          <w:tcPr>
            <w:tcW w:w="1575" w:type="dxa"/>
            <w:vMerge w:val="restart"/>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kern w:val="21"/>
                <w:sz w:val="24"/>
                <w:szCs w:val="24"/>
              </w:rPr>
            </w:pPr>
            <w:r>
              <w:rPr>
                <w:rFonts w:ascii="宋体" w:hAnsi="宋体" w:eastAsia="宋体"/>
                <w:color w:val="000000"/>
                <w:kern w:val="21"/>
                <w:sz w:val="24"/>
                <w:szCs w:val="24"/>
              </w:rPr>
              <w:t>废水</w:t>
            </w: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COD</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0.0083</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0.0083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2" w:hRule="exac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vertAlign w:val="subscript"/>
              </w:rPr>
            </w:pPr>
            <w:r>
              <w:rPr>
                <w:rFonts w:ascii="Times New Roman" w:hAnsi="Times New Roman" w:eastAsia="Times New Roman"/>
                <w:color w:val="000000"/>
                <w:sz w:val="24"/>
                <w:szCs w:val="24"/>
              </w:rPr>
              <w:t>BOD</w:t>
            </w:r>
            <w:r>
              <w:rPr>
                <w:rFonts w:ascii="Times New Roman" w:hAnsi="Times New Roman" w:eastAsia="Times New Roman"/>
                <w:color w:val="000000"/>
                <w:sz w:val="24"/>
                <w:szCs w:val="24"/>
                <w:vertAlign w:val="subscript"/>
              </w:rPr>
              <w:t>5</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0.0055</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0.0055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4" w:hRule="exac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NH</w:t>
            </w:r>
            <w:r>
              <w:rPr>
                <w:rFonts w:ascii="Times New Roman" w:hAnsi="Times New Roman" w:eastAsia="Times New Roman"/>
                <w:color w:val="000000"/>
                <w:sz w:val="24"/>
                <w:szCs w:val="24"/>
                <w:vertAlign w:val="subscript"/>
              </w:rPr>
              <w:t>3</w:t>
            </w:r>
            <w:r>
              <w:rPr>
                <w:rFonts w:ascii="Times New Roman" w:hAnsi="Times New Roman" w:eastAsia="Times New Roman"/>
                <w:color w:val="000000"/>
                <w:sz w:val="24"/>
                <w:szCs w:val="24"/>
              </w:rPr>
              <w:t>-N</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0.00083</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0.00083</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0" w:hRule="exac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SS</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0.0055</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0.0055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exact"/>
        </w:trPr>
        <w:tc>
          <w:tcPr>
            <w:tcW w:w="157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宋体" w:hAnsi="宋体" w:eastAsia="宋体"/>
                <w:color w:val="000000"/>
                <w:sz w:val="24"/>
                <w:szCs w:val="24"/>
              </w:rPr>
            </w:pPr>
            <w:r>
              <w:rPr>
                <w:rFonts w:ascii="宋体" w:hAnsi="宋体" w:eastAsia="宋体"/>
                <w:color w:val="000000"/>
                <w:sz w:val="24"/>
                <w:szCs w:val="24"/>
              </w:rPr>
              <w:t>动植物油</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0.00055</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0.00055</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4" w:hRule="exac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kern w:val="21"/>
                <w:sz w:val="24"/>
                <w:szCs w:val="24"/>
              </w:rPr>
            </w:pPr>
            <w:r>
              <w:rPr>
                <w:rFonts w:ascii="宋体" w:hAnsi="宋体" w:eastAsia="宋体"/>
                <w:color w:val="000000"/>
                <w:kern w:val="21"/>
                <w:sz w:val="24"/>
                <w:szCs w:val="24"/>
              </w:rPr>
              <w:t>一般工业</w:t>
            </w:r>
          </w:p>
          <w:p>
            <w:pPr>
              <w:spacing w:line="240" w:lineRule="auto"/>
              <w:jc w:val="center"/>
              <w:rPr>
                <w:rFonts w:ascii="宋体" w:hAnsi="宋体" w:eastAsia="宋体"/>
                <w:color w:val="000000"/>
                <w:kern w:val="21"/>
                <w:sz w:val="24"/>
                <w:szCs w:val="24"/>
              </w:rPr>
            </w:pPr>
            <w:r>
              <w:rPr>
                <w:rFonts w:ascii="宋体" w:hAnsi="宋体" w:eastAsia="宋体"/>
                <w:color w:val="000000"/>
                <w:kern w:val="21"/>
                <w:sz w:val="24"/>
                <w:szCs w:val="24"/>
              </w:rPr>
              <w:t>固体废物</w:t>
            </w:r>
          </w:p>
        </w:tc>
        <w:tc>
          <w:tcPr>
            <w:tcW w:w="141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生活垃圾</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kern w:val="21"/>
                <w:sz w:val="24"/>
                <w:szCs w:val="24"/>
              </w:rPr>
            </w:pPr>
            <w:r>
              <w:rPr>
                <w:rFonts w:ascii="Times New Roman" w:hAnsi="Times New Roman" w:eastAsia="Times New Roman"/>
                <w:color w:val="000000"/>
                <w:kern w:val="21"/>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2.4</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2.4</w:t>
            </w:r>
          </w:p>
        </w:tc>
        <w:tc>
          <w:tcPr>
            <w:tcW w:w="108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Times New Roman" w:hAnsi="Times New Roman" w:eastAsia="Times New Roman"/>
                <w:color w:val="000000"/>
                <w:sz w:val="24"/>
                <w:szCs w:val="24"/>
              </w:rPr>
            </w:pPr>
            <w:r>
              <w:rPr>
                <w:rFonts w:hint="eastAsia" w:ascii="Times New Roman" w:hAnsi="Times New Roman" w:eastAsia="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0" w:hRule="exact"/>
        </w:trPr>
        <w:tc>
          <w:tcPr>
            <w:tcW w:w="15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kern w:val="21"/>
                <w:sz w:val="24"/>
                <w:szCs w:val="24"/>
              </w:rPr>
            </w:pPr>
            <w:r>
              <w:rPr>
                <w:rFonts w:ascii="宋体" w:hAnsi="宋体" w:eastAsia="宋体"/>
                <w:color w:val="000000"/>
                <w:kern w:val="21"/>
                <w:sz w:val="24"/>
                <w:szCs w:val="24"/>
              </w:rPr>
              <w:t>危险废物</w:t>
            </w:r>
          </w:p>
        </w:tc>
        <w:tc>
          <w:tcPr>
            <w:tcW w:w="141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r>
              <w:rPr>
                <w:rFonts w:eastAsia="宋体"/>
                <w:color w:val="000000"/>
                <w:sz w:val="24"/>
                <w:szCs w:val="24"/>
              </w:rPr>
              <w:t>废活性炭</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0</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0</w:t>
            </w: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0</w:t>
            </w:r>
          </w:p>
        </w:tc>
        <w:tc>
          <w:tcPr>
            <w:tcW w:w="154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Times New Roman" w:hAnsi="Times New Roman" w:eastAsia="宋体"/>
                <w:color w:val="000000"/>
                <w:sz w:val="24"/>
                <w:szCs w:val="24"/>
                <w:lang w:eastAsia="zh-CN"/>
              </w:rPr>
            </w:pPr>
            <w:r>
              <w:rPr>
                <w:rFonts w:hint="eastAsia" w:ascii="Times New Roman" w:hAnsi="Times New Roman" w:eastAsia="宋体"/>
                <w:color w:val="000000"/>
                <w:sz w:val="24"/>
                <w:szCs w:val="24"/>
                <w:lang w:eastAsia="zh-CN"/>
              </w:rPr>
              <w:t>7.56</w:t>
            </w:r>
          </w:p>
        </w:tc>
        <w:tc>
          <w:tcPr>
            <w:tcW w:w="175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Times New Roman" w:hAnsi="Times New Roman" w:eastAsia="宋体"/>
                <w:color w:val="000000"/>
                <w:sz w:val="24"/>
                <w:szCs w:val="24"/>
              </w:rPr>
            </w:pPr>
          </w:p>
        </w:tc>
        <w:tc>
          <w:tcPr>
            <w:tcW w:w="1695"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Times New Roman" w:hAnsi="Times New Roman" w:eastAsia="宋体"/>
                <w:color w:val="000000"/>
                <w:sz w:val="24"/>
                <w:szCs w:val="24"/>
                <w:lang w:eastAsia="zh-CN"/>
              </w:rPr>
            </w:pPr>
            <w:r>
              <w:rPr>
                <w:rFonts w:hint="eastAsia" w:ascii="Times New Roman" w:hAnsi="Times New Roman" w:eastAsia="宋体"/>
                <w:color w:val="000000"/>
                <w:sz w:val="24"/>
                <w:szCs w:val="24"/>
                <w:lang w:eastAsia="zh-CN"/>
              </w:rPr>
              <w:t>7.56</w:t>
            </w:r>
          </w:p>
        </w:tc>
        <w:tc>
          <w:tcPr>
            <w:tcW w:w="108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Times New Roman" w:hAnsi="Times New Roman" w:eastAsia="宋体"/>
                <w:color w:val="000000"/>
                <w:sz w:val="24"/>
                <w:szCs w:val="24"/>
                <w:lang w:eastAsia="zh-CN"/>
              </w:rPr>
            </w:pPr>
            <w:r>
              <w:rPr>
                <w:rFonts w:hint="eastAsia" w:ascii="Times New Roman" w:hAnsi="Times New Roman" w:eastAsia="宋体"/>
                <w:color w:val="000000"/>
                <w:sz w:val="24"/>
                <w:szCs w:val="24"/>
              </w:rPr>
              <w:t>+</w:t>
            </w:r>
            <w:r>
              <w:rPr>
                <w:rFonts w:hint="eastAsia" w:ascii="Times New Roman" w:hAnsi="Times New Roman" w:eastAsia="宋体"/>
                <w:color w:val="000000"/>
                <w:sz w:val="24"/>
                <w:szCs w:val="24"/>
                <w:lang w:eastAsia="zh-CN"/>
              </w:rPr>
              <w:t>7.56</w:t>
            </w:r>
          </w:p>
        </w:tc>
      </w:tr>
    </w:tbl>
    <w:p>
      <w:pPr>
        <w:spacing w:line="360" w:lineRule="auto"/>
        <w:rPr>
          <w:rFonts w:ascii="Calibri" w:hAnsi="Calibri" w:eastAsia="Calibri"/>
          <w:color w:val="000000"/>
          <w:spacing w:val="-16"/>
          <w:kern w:val="21"/>
          <w:szCs w:val="21"/>
        </w:rPr>
        <w:sectPr>
          <w:pgSz w:w="16838" w:h="11906" w:orient="landscape"/>
          <w:pgMar w:top="1531" w:right="1701" w:bottom="1531"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eastAsia="宋体"/>
          <w:color w:val="000000"/>
          <w:kern w:val="21"/>
          <w:szCs w:val="21"/>
        </w:rPr>
        <w:t>注：</w:t>
      </w:r>
      <w:r>
        <w:rPr>
          <w:rFonts w:hint="eastAsia" w:ascii="Calibri" w:hAnsi="Calibri" w:eastAsia="Calibri"/>
          <w:color w:val="000000"/>
          <w:spacing w:val="-16"/>
          <w:kern w:val="21"/>
          <w:szCs w:val="21"/>
        </w:rPr>
        <w:t>⑥=①+③+④-⑤；⑦=⑥-①</w:t>
      </w:r>
    </w:p>
    <w:p>
      <w:pPr>
        <w:pStyle w:val="2"/>
        <w:rPr>
          <w:b/>
          <w:bCs/>
        </w:rPr>
      </w:pPr>
      <w:r>
        <w:rPr>
          <w:rFonts w:hint="eastAsia"/>
          <w:b/>
          <w:bCs/>
          <w:sz w:val="32"/>
          <w:szCs w:val="32"/>
        </w:rPr>
        <w:t>附件</w:t>
      </w:r>
      <w:r>
        <w:rPr>
          <w:rFonts w:hint="eastAsia"/>
          <w:b/>
          <w:bCs/>
        </w:rPr>
        <w:t>：</w:t>
      </w:r>
    </w:p>
    <w:p>
      <w:pPr>
        <w:rPr>
          <w:sz w:val="24"/>
          <w:szCs w:val="24"/>
        </w:rPr>
      </w:pPr>
      <w:r>
        <w:rPr>
          <w:rFonts w:hint="eastAsia"/>
          <w:sz w:val="24"/>
          <w:szCs w:val="24"/>
        </w:rPr>
        <w:t>1环境影响评价委托书</w:t>
      </w:r>
    </w:p>
    <w:p>
      <w:pPr>
        <w:rPr>
          <w:sz w:val="24"/>
          <w:szCs w:val="24"/>
        </w:rPr>
      </w:pPr>
      <w:r>
        <w:rPr>
          <w:rFonts w:hint="eastAsia"/>
          <w:sz w:val="24"/>
          <w:szCs w:val="24"/>
        </w:rPr>
        <w:t>2建设单位营业执照</w:t>
      </w:r>
    </w:p>
    <w:p>
      <w:pPr>
        <w:rPr>
          <w:sz w:val="24"/>
          <w:szCs w:val="24"/>
        </w:rPr>
      </w:pPr>
      <w:r>
        <w:rPr>
          <w:rFonts w:hint="eastAsia"/>
          <w:sz w:val="24"/>
          <w:szCs w:val="24"/>
        </w:rPr>
        <w:t>3场地租赁合同</w:t>
      </w:r>
    </w:p>
    <w:p>
      <w:pPr>
        <w:rPr>
          <w:rFonts w:hint="eastAsia"/>
          <w:sz w:val="24"/>
          <w:szCs w:val="24"/>
        </w:rPr>
      </w:pPr>
      <w:r>
        <w:rPr>
          <w:rFonts w:hint="eastAsia"/>
          <w:sz w:val="24"/>
          <w:szCs w:val="24"/>
        </w:rPr>
        <w:t>4发改备案文件</w:t>
      </w:r>
    </w:p>
    <w:p>
      <w:pPr>
        <w:bidi w:val="0"/>
        <w:rPr>
          <w:rFonts w:hint="eastAsia"/>
          <w:sz w:val="24"/>
          <w:szCs w:val="24"/>
          <w:lang w:val="en-US" w:eastAsia="zh-CN"/>
        </w:rPr>
      </w:pPr>
      <w:r>
        <w:rPr>
          <w:rFonts w:hint="eastAsia"/>
          <w:sz w:val="24"/>
          <w:szCs w:val="24"/>
          <w:lang w:val="en-US" w:eastAsia="zh-CN"/>
        </w:rPr>
        <w:t>5园区规划环评批复</w:t>
      </w:r>
    </w:p>
    <w:p>
      <w:pPr>
        <w:bidi w:val="0"/>
        <w:rPr>
          <w:rFonts w:hint="default" w:eastAsiaTheme="minorEastAsia"/>
          <w:sz w:val="24"/>
          <w:szCs w:val="24"/>
          <w:lang w:val="en-US" w:eastAsia="zh-CN"/>
        </w:rPr>
      </w:pPr>
      <w:r>
        <w:rPr>
          <w:rFonts w:hint="eastAsia"/>
          <w:sz w:val="24"/>
          <w:szCs w:val="24"/>
          <w:lang w:val="en-US" w:eastAsia="zh-CN"/>
        </w:rPr>
        <w:t>6钰兴园用地文件</w:t>
      </w:r>
    </w:p>
    <w:p>
      <w:r>
        <w:rPr>
          <w:rFonts w:hint="eastAsia"/>
          <w:sz w:val="24"/>
          <w:szCs w:val="24"/>
          <w:lang w:val="en-US" w:eastAsia="zh-CN"/>
        </w:rPr>
        <w:t>7</w:t>
      </w:r>
      <w:r>
        <w:rPr>
          <w:rFonts w:hint="eastAsia"/>
          <w:sz w:val="24"/>
          <w:szCs w:val="24"/>
        </w:rPr>
        <w:t>监测报告</w:t>
      </w:r>
    </w:p>
    <w:p>
      <w:pPr>
        <w:bidi w:val="0"/>
        <w:rPr>
          <w:rFonts w:hint="default" w:eastAsiaTheme="minorEastAsia"/>
          <w:sz w:val="24"/>
          <w:szCs w:val="24"/>
          <w:lang w:val="en-US" w:eastAsia="zh-CN"/>
        </w:rPr>
      </w:pPr>
      <w:r>
        <w:rPr>
          <w:rFonts w:hint="eastAsia"/>
          <w:sz w:val="24"/>
          <w:szCs w:val="24"/>
          <w:lang w:val="en-US" w:eastAsia="zh-CN"/>
        </w:rPr>
        <w:t>8专家意见及签到表</w:t>
      </w:r>
    </w:p>
    <w:p>
      <w:pPr>
        <w:rPr>
          <w:b/>
          <w:bCs/>
        </w:rPr>
      </w:pPr>
    </w:p>
    <w:p>
      <w:pPr>
        <w:pStyle w:val="2"/>
        <w:rPr>
          <w:b/>
          <w:bCs/>
          <w:sz w:val="32"/>
          <w:szCs w:val="32"/>
        </w:rPr>
      </w:pPr>
      <w:r>
        <w:rPr>
          <w:rFonts w:hint="eastAsia"/>
          <w:b/>
          <w:bCs/>
          <w:sz w:val="32"/>
          <w:szCs w:val="32"/>
        </w:rPr>
        <w:t>附图：</w:t>
      </w:r>
    </w:p>
    <w:p>
      <w:pPr>
        <w:rPr>
          <w:sz w:val="24"/>
          <w:szCs w:val="24"/>
        </w:rPr>
      </w:pPr>
      <w:r>
        <w:rPr>
          <w:rFonts w:hint="eastAsia"/>
          <w:sz w:val="24"/>
          <w:szCs w:val="24"/>
        </w:rPr>
        <w:t>1建设项目地理位置图</w:t>
      </w:r>
    </w:p>
    <w:p>
      <w:pPr>
        <w:rPr>
          <w:rFonts w:hint="eastAsia"/>
          <w:sz w:val="24"/>
          <w:szCs w:val="24"/>
          <w:lang w:eastAsia="zh-CN"/>
        </w:rPr>
      </w:pPr>
      <w:r>
        <w:rPr>
          <w:rFonts w:hint="eastAsia"/>
          <w:sz w:val="24"/>
          <w:szCs w:val="24"/>
        </w:rPr>
        <w:t>2建设项目总体平面布置图</w:t>
      </w:r>
      <w:r>
        <w:rPr>
          <w:rFonts w:hint="eastAsia"/>
          <w:sz w:val="24"/>
          <w:szCs w:val="24"/>
          <w:lang w:eastAsia="zh-CN"/>
        </w:rPr>
        <w:t>（</w:t>
      </w:r>
      <w:r>
        <w:rPr>
          <w:rFonts w:hint="eastAsia"/>
          <w:sz w:val="24"/>
          <w:szCs w:val="24"/>
          <w:lang w:val="en-US" w:eastAsia="zh-CN"/>
        </w:rPr>
        <w:t>1</w:t>
      </w:r>
      <w:r>
        <w:rPr>
          <w:rFonts w:hint="eastAsia"/>
          <w:sz w:val="24"/>
          <w:szCs w:val="24"/>
          <w:lang w:eastAsia="zh-CN"/>
        </w:rPr>
        <w:t>）</w:t>
      </w:r>
    </w:p>
    <w:p>
      <w:pPr>
        <w:rPr>
          <w:rFonts w:hint="eastAsia" w:eastAsiaTheme="minorEastAsia"/>
          <w:sz w:val="24"/>
          <w:szCs w:val="24"/>
          <w:lang w:eastAsia="zh-CN"/>
        </w:rPr>
      </w:pPr>
      <w:r>
        <w:rPr>
          <w:rFonts w:hint="eastAsia"/>
          <w:sz w:val="24"/>
          <w:szCs w:val="24"/>
          <w:lang w:val="en-US" w:eastAsia="zh-CN"/>
        </w:rPr>
        <w:t xml:space="preserve">3 </w:t>
      </w:r>
      <w:r>
        <w:rPr>
          <w:rFonts w:hint="eastAsia"/>
          <w:sz w:val="24"/>
          <w:szCs w:val="24"/>
        </w:rPr>
        <w:t>建设项目总体平面布置图</w:t>
      </w:r>
      <w:r>
        <w:rPr>
          <w:rFonts w:hint="eastAsia"/>
          <w:sz w:val="24"/>
          <w:szCs w:val="24"/>
          <w:lang w:eastAsia="zh-CN"/>
        </w:rPr>
        <w:t>（</w:t>
      </w:r>
      <w:r>
        <w:rPr>
          <w:rFonts w:hint="eastAsia"/>
          <w:sz w:val="24"/>
          <w:szCs w:val="24"/>
          <w:lang w:val="en-US" w:eastAsia="zh-CN"/>
        </w:rPr>
        <w:t>2</w:t>
      </w:r>
      <w:r>
        <w:rPr>
          <w:rFonts w:hint="eastAsia"/>
          <w:sz w:val="24"/>
          <w:szCs w:val="24"/>
          <w:lang w:eastAsia="zh-CN"/>
        </w:rPr>
        <w:t>）</w:t>
      </w:r>
    </w:p>
    <w:p>
      <w:pPr>
        <w:rPr>
          <w:sz w:val="24"/>
          <w:szCs w:val="24"/>
        </w:rPr>
      </w:pPr>
      <w:r>
        <w:rPr>
          <w:rFonts w:hint="eastAsia"/>
          <w:sz w:val="24"/>
          <w:szCs w:val="24"/>
          <w:lang w:val="en-US" w:eastAsia="zh-CN"/>
        </w:rPr>
        <w:t>4</w:t>
      </w:r>
      <w:r>
        <w:rPr>
          <w:rFonts w:hint="eastAsia"/>
          <w:sz w:val="24"/>
          <w:szCs w:val="24"/>
        </w:rPr>
        <w:t>建设项目监测布点图</w:t>
      </w:r>
    </w:p>
    <w:p>
      <w:pPr>
        <w:rPr>
          <w:sz w:val="24"/>
          <w:szCs w:val="24"/>
        </w:rPr>
      </w:pPr>
      <w:r>
        <w:rPr>
          <w:rFonts w:hint="eastAsia"/>
          <w:sz w:val="24"/>
          <w:szCs w:val="24"/>
          <w:lang w:val="en-US" w:eastAsia="zh-CN"/>
        </w:rPr>
        <w:t>5</w:t>
      </w:r>
      <w:r>
        <w:rPr>
          <w:rFonts w:hint="eastAsia"/>
          <w:sz w:val="24"/>
          <w:szCs w:val="24"/>
        </w:rPr>
        <w:t>建设项目敏感目标分布图</w:t>
      </w:r>
    </w:p>
    <w:p>
      <w:pPr>
        <w:rPr>
          <w:sz w:val="24"/>
          <w:szCs w:val="24"/>
        </w:rPr>
      </w:pPr>
      <w:r>
        <w:rPr>
          <w:rFonts w:hint="eastAsia"/>
          <w:sz w:val="24"/>
          <w:szCs w:val="24"/>
        </w:rPr>
        <w:t>6建设项目土地利用规划图</w:t>
      </w:r>
    </w:p>
    <w:p>
      <w:pPr>
        <w:rPr>
          <w:sz w:val="24"/>
          <w:szCs w:val="24"/>
        </w:rPr>
      </w:pPr>
      <w:r>
        <w:rPr>
          <w:rFonts w:hint="eastAsia"/>
          <w:sz w:val="24"/>
          <w:szCs w:val="24"/>
        </w:rPr>
        <w:t>7项目雨水、污水管网图</w:t>
      </w:r>
    </w:p>
    <w:sectPr>
      <w:pgSz w:w="11906" w:h="16838"/>
      <w:pgMar w:top="1701" w:right="1531" w:bottom="170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pPr>
        <w:ind w:left="420" w:hanging="420"/>
      </w:pPr>
      <w:rPr>
        <w:rFonts w:hint="default" w:ascii="宋体" w:hAnsi="宋体" w:eastAsia="宋体"/>
        <w:bCs/>
      </w:rPr>
    </w:lvl>
  </w:abstractNum>
  <w:abstractNum w:abstractNumId="1">
    <w:nsid w:val="C03439F1"/>
    <w:multiLevelType w:val="singleLevel"/>
    <w:tmpl w:val="C03439F1"/>
    <w:lvl w:ilvl="0" w:tentative="0">
      <w:start w:val="1"/>
      <w:numFmt w:val="decimal"/>
      <w:suff w:val="nothing"/>
      <w:lvlText w:val="%1、"/>
      <w:lvlJc w:val="left"/>
    </w:lvl>
  </w:abstractNum>
  <w:abstractNum w:abstractNumId="2">
    <w:nsid w:val="EDD49981"/>
    <w:multiLevelType w:val="singleLevel"/>
    <w:tmpl w:val="EDD49981"/>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ind w:left="420" w:firstLine="0"/>
      </w:pPr>
      <w:rPr>
        <w:rFonts w:hint="eastAsia"/>
      </w:rPr>
    </w:lvl>
    <w:lvl w:ilvl="1" w:tentative="0">
      <w:start w:val="1"/>
      <w:numFmt w:val="decimal"/>
      <w:pStyle w:val="3"/>
      <w:lvlText w:val="%1.%2"/>
      <w:lvlJc w:val="left"/>
      <w:pPr>
        <w:ind w:left="576" w:hanging="576"/>
      </w:pPr>
      <w:rPr>
        <w:rFonts w:hint="default" w:ascii="Times New Roman" w:hAnsi="Times New Roman" w:cs="Times New Roman"/>
        <w:b w:val="0"/>
        <w:color w:val="auto"/>
        <w:sz w:val="24"/>
        <w:szCs w:val="24"/>
      </w:rPr>
    </w:lvl>
    <w:lvl w:ilvl="2" w:tentative="0">
      <w:start w:val="1"/>
      <w:numFmt w:val="decimal"/>
      <w:lvlText w:val="%1.%2.%3"/>
      <w:lvlJc w:val="left"/>
      <w:pPr>
        <w:ind w:left="142" w:firstLine="142"/>
      </w:pPr>
      <w:rPr>
        <w:rFonts w:hint="eastAsia"/>
      </w:rPr>
    </w:lvl>
    <w:lvl w:ilvl="3" w:tentative="0">
      <w:start w:val="1"/>
      <w:numFmt w:val="decimal"/>
      <w:lvlText w:val="%1.%2.%3.%4"/>
      <w:lvlJc w:val="left"/>
      <w:pPr>
        <w:ind w:left="1844" w:hanging="184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36970A70"/>
    <w:multiLevelType w:val="multilevel"/>
    <w:tmpl w:val="36970A70"/>
    <w:lvl w:ilvl="0" w:tentative="0">
      <w:start w:val="1"/>
      <w:numFmt w:val="decimal"/>
      <w:pStyle w:val="37"/>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E20C9E"/>
    <w:multiLevelType w:val="singleLevel"/>
    <w:tmpl w:val="4CE20C9E"/>
    <w:lvl w:ilvl="0" w:tentative="0">
      <w:start w:val="5"/>
      <w:numFmt w:val="decimal"/>
      <w:suff w:val="nothing"/>
      <w:lvlText w:val="%1、"/>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1A05E2"/>
    <w:rsid w:val="00216EB9"/>
    <w:rsid w:val="002F5D61"/>
    <w:rsid w:val="0042472D"/>
    <w:rsid w:val="005830F7"/>
    <w:rsid w:val="0059531B"/>
    <w:rsid w:val="00616505"/>
    <w:rsid w:val="0062213C"/>
    <w:rsid w:val="00633F40"/>
    <w:rsid w:val="006549AD"/>
    <w:rsid w:val="00684D9C"/>
    <w:rsid w:val="008F26DC"/>
    <w:rsid w:val="00904FD9"/>
    <w:rsid w:val="00A60633"/>
    <w:rsid w:val="00BA0C1A"/>
    <w:rsid w:val="00C061CB"/>
    <w:rsid w:val="00C5627A"/>
    <w:rsid w:val="00C604EC"/>
    <w:rsid w:val="00C87AB4"/>
    <w:rsid w:val="00D57EA2"/>
    <w:rsid w:val="00E26251"/>
    <w:rsid w:val="00EA1EE8"/>
    <w:rsid w:val="00F53662"/>
    <w:rsid w:val="05572FD8"/>
    <w:rsid w:val="05856563"/>
    <w:rsid w:val="06413444"/>
    <w:rsid w:val="06BA142B"/>
    <w:rsid w:val="07711D2E"/>
    <w:rsid w:val="083D07F0"/>
    <w:rsid w:val="09561759"/>
    <w:rsid w:val="0A197A01"/>
    <w:rsid w:val="0CB453FB"/>
    <w:rsid w:val="0CEE30BB"/>
    <w:rsid w:val="0E6311E6"/>
    <w:rsid w:val="0EA1725F"/>
    <w:rsid w:val="10295BB6"/>
    <w:rsid w:val="105E3B74"/>
    <w:rsid w:val="1065189B"/>
    <w:rsid w:val="11302090"/>
    <w:rsid w:val="14931CFB"/>
    <w:rsid w:val="15AC17D0"/>
    <w:rsid w:val="160A5C86"/>
    <w:rsid w:val="178C09BC"/>
    <w:rsid w:val="1C2C4424"/>
    <w:rsid w:val="1C916898"/>
    <w:rsid w:val="1CD54CE6"/>
    <w:rsid w:val="1DEC38DC"/>
    <w:rsid w:val="1E3468E1"/>
    <w:rsid w:val="1EDB05E6"/>
    <w:rsid w:val="207C087D"/>
    <w:rsid w:val="20A500DA"/>
    <w:rsid w:val="216460A4"/>
    <w:rsid w:val="220A3659"/>
    <w:rsid w:val="24C33F3B"/>
    <w:rsid w:val="24C85730"/>
    <w:rsid w:val="252A7690"/>
    <w:rsid w:val="2695605E"/>
    <w:rsid w:val="2800522F"/>
    <w:rsid w:val="28837B5C"/>
    <w:rsid w:val="29AF5C58"/>
    <w:rsid w:val="29FB2A19"/>
    <w:rsid w:val="29FE1EE3"/>
    <w:rsid w:val="2C023A62"/>
    <w:rsid w:val="2C5B6B66"/>
    <w:rsid w:val="2D6E5F78"/>
    <w:rsid w:val="2DD041BE"/>
    <w:rsid w:val="2FC02D56"/>
    <w:rsid w:val="2FC412B1"/>
    <w:rsid w:val="30037F19"/>
    <w:rsid w:val="30456175"/>
    <w:rsid w:val="3070551B"/>
    <w:rsid w:val="30766201"/>
    <w:rsid w:val="321063A8"/>
    <w:rsid w:val="335257BF"/>
    <w:rsid w:val="34330057"/>
    <w:rsid w:val="34390464"/>
    <w:rsid w:val="35A26480"/>
    <w:rsid w:val="36772279"/>
    <w:rsid w:val="36A20F6C"/>
    <w:rsid w:val="375861A1"/>
    <w:rsid w:val="392F6E34"/>
    <w:rsid w:val="3BF835F1"/>
    <w:rsid w:val="3C6B5FB6"/>
    <w:rsid w:val="3D0D0FBD"/>
    <w:rsid w:val="3D460791"/>
    <w:rsid w:val="3DC87FC2"/>
    <w:rsid w:val="3DDD4EA7"/>
    <w:rsid w:val="3E5023D9"/>
    <w:rsid w:val="3ECC10FE"/>
    <w:rsid w:val="3F5C1B66"/>
    <w:rsid w:val="3F87787E"/>
    <w:rsid w:val="3F951DE2"/>
    <w:rsid w:val="3FE4613D"/>
    <w:rsid w:val="40E63955"/>
    <w:rsid w:val="4143734B"/>
    <w:rsid w:val="41C96036"/>
    <w:rsid w:val="434067C1"/>
    <w:rsid w:val="450C0B15"/>
    <w:rsid w:val="45FA59EE"/>
    <w:rsid w:val="46FE1320"/>
    <w:rsid w:val="47D8117D"/>
    <w:rsid w:val="48326F11"/>
    <w:rsid w:val="498E064E"/>
    <w:rsid w:val="4A0F138A"/>
    <w:rsid w:val="4A206B85"/>
    <w:rsid w:val="4A315ED4"/>
    <w:rsid w:val="4AC607AE"/>
    <w:rsid w:val="4B242616"/>
    <w:rsid w:val="4C086B2C"/>
    <w:rsid w:val="4C4E5D2F"/>
    <w:rsid w:val="4EC94910"/>
    <w:rsid w:val="4F677652"/>
    <w:rsid w:val="4FD4501C"/>
    <w:rsid w:val="508D0A19"/>
    <w:rsid w:val="51347671"/>
    <w:rsid w:val="517041E0"/>
    <w:rsid w:val="51CF56E1"/>
    <w:rsid w:val="522A1D89"/>
    <w:rsid w:val="52D615A8"/>
    <w:rsid w:val="538845B9"/>
    <w:rsid w:val="539C6F0E"/>
    <w:rsid w:val="550262DD"/>
    <w:rsid w:val="563E6224"/>
    <w:rsid w:val="567812B1"/>
    <w:rsid w:val="568D20C3"/>
    <w:rsid w:val="5BFB5D21"/>
    <w:rsid w:val="5C8B2EF4"/>
    <w:rsid w:val="5EA232BE"/>
    <w:rsid w:val="60043119"/>
    <w:rsid w:val="60A8418E"/>
    <w:rsid w:val="619304BE"/>
    <w:rsid w:val="62511CF1"/>
    <w:rsid w:val="633B449F"/>
    <w:rsid w:val="63C47D6E"/>
    <w:rsid w:val="642C2475"/>
    <w:rsid w:val="65420997"/>
    <w:rsid w:val="65B758AA"/>
    <w:rsid w:val="68181F21"/>
    <w:rsid w:val="695A6466"/>
    <w:rsid w:val="6A0362B0"/>
    <w:rsid w:val="6AE71706"/>
    <w:rsid w:val="6AFF6488"/>
    <w:rsid w:val="6B6B0563"/>
    <w:rsid w:val="6C72489E"/>
    <w:rsid w:val="6EAF13B0"/>
    <w:rsid w:val="6EE43872"/>
    <w:rsid w:val="71061E72"/>
    <w:rsid w:val="72FA7E17"/>
    <w:rsid w:val="74504036"/>
    <w:rsid w:val="75027084"/>
    <w:rsid w:val="771A5D28"/>
    <w:rsid w:val="77B35DFA"/>
    <w:rsid w:val="780813DD"/>
    <w:rsid w:val="78B6267A"/>
    <w:rsid w:val="79245E27"/>
    <w:rsid w:val="79625AD1"/>
    <w:rsid w:val="79AE2B9E"/>
    <w:rsid w:val="7A3B2499"/>
    <w:rsid w:val="7C642FD9"/>
    <w:rsid w:val="7D763284"/>
    <w:rsid w:val="7E736082"/>
    <w:rsid w:val="7F402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before="200" w:after="200" w:line="360" w:lineRule="auto"/>
      <w:jc w:val="left"/>
      <w:outlineLvl w:val="2"/>
    </w:pPr>
    <w:rPr>
      <w:b/>
      <w:bCs/>
      <w:color w:val="00000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next w:val="5"/>
    <w:qFormat/>
    <w:uiPriority w:val="0"/>
    <w:pPr>
      <w:spacing w:line="360" w:lineRule="auto"/>
      <w:ind w:firstLine="200" w:firstLineChars="200"/>
    </w:pPr>
    <w:rPr>
      <w:rFonts w:ascii="宋体" w:hAnsi="宋体"/>
      <w:sz w:val="24"/>
    </w:rPr>
  </w:style>
  <w:style w:type="paragraph" w:customStyle="1" w:styleId="5">
    <w:name w:val="样式 正文文本 + 首行缩进:  2 字符"/>
    <w:basedOn w:val="2"/>
    <w:next w:val="1"/>
    <w:qFormat/>
    <w:uiPriority w:val="0"/>
    <w:pPr>
      <w:spacing w:line="480" w:lineRule="exact"/>
      <w:ind w:firstLine="480"/>
    </w:pPr>
    <w:rPr>
      <w:rFonts w:ascii="宋体" w:hAnsi="宋体" w:cs="宋体"/>
      <w:sz w:val="24"/>
      <w:szCs w:val="20"/>
    </w:rPr>
  </w:style>
  <w:style w:type="paragraph" w:styleId="7">
    <w:name w:val="caption"/>
    <w:basedOn w:val="1"/>
    <w:next w:val="1"/>
    <w:qFormat/>
    <w:uiPriority w:val="0"/>
    <w:pPr>
      <w:spacing w:line="520" w:lineRule="exact"/>
      <w:ind w:firstLine="200" w:firstLineChars="200"/>
      <w:jc w:val="center"/>
    </w:pPr>
    <w:rPr>
      <w:rFonts w:ascii="Times New Roman" w:hAnsi="Times New Roman" w:eastAsia="黑体"/>
      <w:sz w:val="24"/>
      <w:szCs w:val="20"/>
    </w:rPr>
  </w:style>
  <w:style w:type="paragraph" w:styleId="8">
    <w:name w:val="annotation text"/>
    <w:basedOn w:val="1"/>
    <w:link w:val="35"/>
    <w:semiHidden/>
    <w:unhideWhenUsed/>
    <w:qFormat/>
    <w:uiPriority w:val="99"/>
    <w:pPr>
      <w:jc w:val="left"/>
    </w:pPr>
  </w:style>
  <w:style w:type="paragraph" w:styleId="9">
    <w:name w:val="Body Text Indent"/>
    <w:basedOn w:val="1"/>
    <w:qFormat/>
    <w:uiPriority w:val="0"/>
    <w:pPr>
      <w:spacing w:beforeLines="50" w:line="400" w:lineRule="exact"/>
      <w:ind w:firstLine="482"/>
    </w:pPr>
    <w:rPr>
      <w:rFonts w:ascii="??_GB2312"/>
    </w:rPr>
  </w:style>
  <w:style w:type="paragraph" w:styleId="10">
    <w:name w:val="Body Text Indent 2"/>
    <w:basedOn w:val="1"/>
    <w:qFormat/>
    <w:uiPriority w:val="0"/>
    <w:pPr>
      <w:spacing w:line="360" w:lineRule="auto"/>
      <w:ind w:firstLine="480" w:firstLineChars="200"/>
    </w:pPr>
    <w:rPr>
      <w:sz w:val="24"/>
    </w:rPr>
  </w:style>
  <w:style w:type="paragraph" w:styleId="11">
    <w:name w:val="Balloon Text"/>
    <w:basedOn w:val="1"/>
    <w:link w:val="34"/>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unhideWhenUsed/>
    <w:qFormat/>
    <w:uiPriority w:val="99"/>
    <w:pPr>
      <w:ind w:left="200" w:hanging="200" w:hangingChars="200"/>
      <w:contextualSpacing/>
    </w:pPr>
  </w:style>
  <w:style w:type="paragraph" w:styleId="15">
    <w:name w:val="Normal (Web)"/>
    <w:basedOn w:val="1"/>
    <w:qFormat/>
    <w:uiPriority w:val="0"/>
    <w:pPr>
      <w:widowControl/>
      <w:spacing w:before="100" w:beforeAutospacing="1" w:after="100" w:afterAutospacing="1"/>
      <w:jc w:val="left"/>
    </w:pPr>
    <w:rPr>
      <w:rFonts w:ascii="宋体" w:hAnsi="宋体"/>
      <w:kern w:val="0"/>
      <w:szCs w:val="20"/>
    </w:rPr>
  </w:style>
  <w:style w:type="paragraph" w:styleId="16">
    <w:name w:val="Title"/>
    <w:basedOn w:val="1"/>
    <w:next w:val="1"/>
    <w:qFormat/>
    <w:uiPriority w:val="10"/>
    <w:pPr>
      <w:spacing w:before="240" w:after="60" w:line="312" w:lineRule="auto"/>
      <w:jc w:val="center"/>
      <w:outlineLvl w:val="0"/>
    </w:pPr>
    <w:rPr>
      <w:rFonts w:asciiTheme="majorHAnsi" w:hAnsiTheme="majorHAnsi" w:eastAsiaTheme="majorEastAsia" w:cstheme="majorBidi"/>
      <w:b/>
      <w:bCs/>
      <w:sz w:val="32"/>
      <w:szCs w:val="32"/>
    </w:rPr>
  </w:style>
  <w:style w:type="paragraph" w:styleId="17">
    <w:name w:val="annotation subject"/>
    <w:basedOn w:val="8"/>
    <w:next w:val="8"/>
    <w:link w:val="36"/>
    <w:semiHidden/>
    <w:unhideWhenUsed/>
    <w:qFormat/>
    <w:uiPriority w:val="99"/>
    <w:rPr>
      <w:b/>
      <w:bCs/>
    </w:rPr>
  </w:style>
  <w:style w:type="paragraph" w:styleId="18">
    <w:name w:val="Body Text First Indent"/>
    <w:basedOn w:val="2"/>
    <w:next w:val="1"/>
    <w:qFormat/>
    <w:uiPriority w:val="0"/>
    <w:pPr>
      <w:adjustRightInd w:val="0"/>
      <w:snapToGrid w:val="0"/>
      <w:spacing w:beforeLines="50" w:after="0" w:line="360" w:lineRule="auto"/>
      <w:ind w:firstLine="200" w:firstLineChars="200"/>
    </w:pPr>
    <w:rPr>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annotation reference"/>
    <w:basedOn w:val="21"/>
    <w:semiHidden/>
    <w:unhideWhenUsed/>
    <w:qFormat/>
    <w:uiPriority w:val="99"/>
    <w:rPr>
      <w:sz w:val="21"/>
      <w:szCs w:val="21"/>
    </w:rPr>
  </w:style>
  <w:style w:type="paragraph" w:customStyle="1" w:styleId="2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24">
    <w:name w:val="页眉 Char"/>
    <w:basedOn w:val="21"/>
    <w:link w:val="13"/>
    <w:semiHidden/>
    <w:qFormat/>
    <w:uiPriority w:val="99"/>
    <w:rPr>
      <w:sz w:val="18"/>
      <w:szCs w:val="18"/>
    </w:rPr>
  </w:style>
  <w:style w:type="character" w:customStyle="1" w:styleId="25">
    <w:name w:val="页脚 Char"/>
    <w:basedOn w:val="21"/>
    <w:link w:val="12"/>
    <w:semiHidden/>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表格正文"/>
    <w:basedOn w:val="1"/>
    <w:next w:val="1"/>
    <w:qFormat/>
    <w:uiPriority w:val="0"/>
    <w:pPr>
      <w:snapToGrid w:val="0"/>
      <w:jc w:val="center"/>
    </w:pPr>
    <w:rPr>
      <w:color w:val="000000"/>
      <w:kern w:val="0"/>
      <w:szCs w:val="21"/>
    </w:rPr>
  </w:style>
  <w:style w:type="paragraph" w:customStyle="1" w:styleId="28">
    <w:name w:val="表格题注"/>
    <w:qFormat/>
    <w:uiPriority w:val="0"/>
    <w:pPr>
      <w:jc w:val="center"/>
    </w:pPr>
    <w:rPr>
      <w:rFonts w:ascii="Times New Roman" w:hAnsi="Times New Roman" w:eastAsia="宋体" w:cs="Times New Roman"/>
      <w:b/>
      <w:sz w:val="21"/>
      <w:szCs w:val="22"/>
      <w:lang w:val="en-US" w:eastAsia="zh-CN" w:bidi="ar-SA"/>
    </w:rPr>
  </w:style>
  <w:style w:type="paragraph" w:customStyle="1" w:styleId="29">
    <w:name w:val="表文字"/>
    <w:basedOn w:val="1"/>
    <w:qFormat/>
    <w:uiPriority w:val="0"/>
    <w:pPr>
      <w:overflowPunct w:val="0"/>
      <w:autoSpaceDE w:val="0"/>
      <w:autoSpaceDN w:val="0"/>
      <w:adjustRightInd w:val="0"/>
      <w:spacing w:line="240" w:lineRule="atLeast"/>
      <w:jc w:val="center"/>
    </w:pPr>
    <w:rPr>
      <w:rFonts w:ascii="宋体" w:hAnsi="宋体"/>
      <w:kern w:val="0"/>
      <w:sz w:val="24"/>
      <w:szCs w:val="20"/>
    </w:rPr>
  </w:style>
  <w:style w:type="paragraph" w:customStyle="1" w:styleId="30">
    <w:name w:val="表格标题"/>
    <w:basedOn w:val="1"/>
    <w:qFormat/>
    <w:uiPriority w:val="0"/>
    <w:pPr>
      <w:jc w:val="center"/>
    </w:pPr>
    <w:rPr>
      <w:rFonts w:eastAsia="黑体"/>
      <w:b/>
      <w:spacing w:val="-12"/>
      <w:szCs w:val="24"/>
    </w:rPr>
  </w:style>
  <w:style w:type="paragraph" w:customStyle="1" w:styleId="31">
    <w:name w:val="表格的字"/>
    <w:basedOn w:val="1"/>
    <w:qFormat/>
    <w:uiPriority w:val="0"/>
    <w:pPr>
      <w:jc w:val="center"/>
    </w:pPr>
    <w:rPr>
      <w:szCs w:val="24"/>
    </w:rPr>
  </w:style>
  <w:style w:type="paragraph" w:customStyle="1" w:styleId="32">
    <w:name w:val="Body Text 21"/>
    <w:basedOn w:val="1"/>
    <w:qFormat/>
    <w:uiPriority w:val="0"/>
    <w:pPr>
      <w:adjustRightInd w:val="0"/>
      <w:textAlignment w:val="baseline"/>
    </w:pPr>
    <w:rPr>
      <w:rFonts w:eastAsia="仿宋体"/>
    </w:rPr>
  </w:style>
  <w:style w:type="paragraph" w:customStyle="1" w:styleId="33">
    <w:name w:val="1"/>
    <w:basedOn w:val="1"/>
    <w:next w:val="9"/>
    <w:qFormat/>
    <w:uiPriority w:val="0"/>
    <w:pPr>
      <w:spacing w:line="360" w:lineRule="auto"/>
      <w:ind w:firstLine="480"/>
    </w:pPr>
    <w:rPr>
      <w:rFonts w:eastAsia="宋体"/>
    </w:rPr>
  </w:style>
  <w:style w:type="character" w:customStyle="1" w:styleId="34">
    <w:name w:val="批注框文本 Char"/>
    <w:basedOn w:val="21"/>
    <w:link w:val="11"/>
    <w:semiHidden/>
    <w:qFormat/>
    <w:uiPriority w:val="99"/>
    <w:rPr>
      <w:rFonts w:asciiTheme="minorHAnsi" w:hAnsiTheme="minorHAnsi" w:eastAsiaTheme="minorEastAsia" w:cstheme="minorBidi"/>
      <w:kern w:val="2"/>
      <w:sz w:val="18"/>
      <w:szCs w:val="18"/>
    </w:rPr>
  </w:style>
  <w:style w:type="character" w:customStyle="1" w:styleId="35">
    <w:name w:val="批注文字 Char"/>
    <w:basedOn w:val="21"/>
    <w:link w:val="8"/>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7"/>
    <w:qFormat/>
    <w:uiPriority w:val="0"/>
  </w:style>
  <w:style w:type="paragraph" w:customStyle="1" w:styleId="37">
    <w:name w:val="lh-表题--报告表"/>
    <w:basedOn w:val="1"/>
    <w:qFormat/>
    <w:uiPriority w:val="0"/>
    <w:pPr>
      <w:keepNext/>
      <w:widowControl/>
      <w:numPr>
        <w:ilvl w:val="0"/>
        <w:numId w:val="2"/>
      </w:numPr>
      <w:spacing w:before="156" w:beforeLines="50"/>
      <w:ind w:left="0" w:firstLine="0"/>
      <w:jc w:val="center"/>
    </w:pPr>
    <w:rPr>
      <w:snapToGrid w:val="0"/>
      <w:kern w:val="0"/>
      <w:sz w:val="24"/>
      <w:szCs w:val="21"/>
    </w:rPr>
  </w:style>
  <w:style w:type="paragraph" w:customStyle="1" w:styleId="38">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39">
    <w:name w:val="表格文字"/>
    <w:basedOn w:val="18"/>
    <w:qFormat/>
    <w:uiPriority w:val="0"/>
    <w:pPr>
      <w:widowControl/>
      <w:jc w:val="center"/>
    </w:pPr>
    <w:rPr>
      <w:rFonts w:ascii="Calibri" w:hAnsi="Calibri" w:cs="Times New Roman"/>
      <w:szCs w:val="22"/>
    </w:rPr>
  </w:style>
  <w:style w:type="paragraph" w:customStyle="1" w:styleId="40">
    <w:name w:val="Default"/>
    <w:next w:val="14"/>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3824</Words>
  <Characters>21801</Characters>
  <Lines>181</Lines>
  <Paragraphs>51</Paragraphs>
  <TotalTime>21</TotalTime>
  <ScaleCrop>false</ScaleCrop>
  <LinksUpToDate>false</LinksUpToDate>
  <CharactersWithSpaces>25574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陈鑫</cp:lastModifiedBy>
  <cp:lastPrinted>2021-10-11T01:15:25Z</cp:lastPrinted>
  <dcterms:modified xsi:type="dcterms:W3CDTF">2021-10-11T07:58:23Z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8025551361BB410198114F0062A8A72A</vt:lpwstr>
  </property>
</Properties>
</file>