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default"/>
          <w:color w:val="auto"/>
          <w:highlight w:val="none"/>
        </w:rPr>
      </w:pPr>
      <w:r>
        <w:rPr>
          <w:rFonts w:hint="default" w:ascii="Times New Roman" w:hAnsi="Times New Roman" w:eastAsia="方正小标宋简体" w:cs="Times New Roman"/>
          <w:color w:val="auto"/>
          <w:sz w:val="44"/>
          <w:szCs w:val="44"/>
          <w:highlight w:val="none"/>
        </w:rPr>
        <w:t>202</w:t>
      </w:r>
      <w:r>
        <w:rPr>
          <w:rFonts w:hint="default" w:ascii="Times New Roman" w:hAnsi="Times New Roman" w:eastAsia="方正小标宋简体" w:cs="Times New Roman"/>
          <w:color w:val="auto"/>
          <w:sz w:val="44"/>
          <w:szCs w:val="44"/>
          <w:highlight w:val="none"/>
          <w:lang w:val="en-US" w:eastAsia="zh-CN"/>
        </w:rPr>
        <w:t>1</w:t>
      </w:r>
      <w:r>
        <w:rPr>
          <w:rFonts w:hint="default" w:ascii="Times New Roman" w:hAnsi="Times New Roman" w:eastAsia="方正小标宋简体" w:cs="Times New Roman"/>
          <w:color w:val="auto"/>
          <w:sz w:val="44"/>
          <w:szCs w:val="44"/>
          <w:highlight w:val="none"/>
        </w:rPr>
        <w:t>年度</w:t>
      </w:r>
      <w:r>
        <w:rPr>
          <w:rFonts w:hint="default" w:ascii="Times New Roman" w:hAnsi="Times New Roman" w:eastAsia="方正小标宋简体" w:cs="Times New Roman"/>
          <w:color w:val="auto"/>
          <w:sz w:val="44"/>
          <w:szCs w:val="44"/>
          <w:highlight w:val="none"/>
          <w:lang w:val="en-US" w:eastAsia="zh-CN"/>
        </w:rPr>
        <w:t>餐厨垃圾处理及城乡生活垃圾转运站运行</w:t>
      </w:r>
      <w:r>
        <w:rPr>
          <w:rFonts w:hint="eastAsia" w:ascii="Times New Roman" w:hAnsi="Times New Roman" w:eastAsia="方正小标宋简体" w:cs="Times New Roman"/>
          <w:color w:val="auto"/>
          <w:sz w:val="44"/>
          <w:szCs w:val="44"/>
          <w:highlight w:val="none"/>
          <w:lang w:val="en-US" w:eastAsia="zh-CN"/>
        </w:rPr>
        <w:t>经费</w:t>
      </w:r>
      <w:r>
        <w:rPr>
          <w:rFonts w:hint="default" w:ascii="Times New Roman" w:hAnsi="Times New Roman" w:eastAsia="方正小标宋简体" w:cs="Times New Roman"/>
          <w:color w:val="auto"/>
          <w:sz w:val="44"/>
          <w:szCs w:val="44"/>
          <w:highlight w:val="none"/>
        </w:rPr>
        <w:t>绩效评价报告</w:t>
      </w:r>
    </w:p>
    <w:p>
      <w:pPr>
        <w:snapToGrid w:val="0"/>
        <w:spacing w:line="600" w:lineRule="exact"/>
        <w:jc w:val="left"/>
        <w:rPr>
          <w:rFonts w:hint="default" w:ascii="Times New Roman" w:hAnsi="Times New Roman" w:eastAsia="仿宋" w:cs="Times New Roman"/>
          <w:color w:val="auto"/>
          <w:sz w:val="32"/>
          <w:szCs w:val="32"/>
          <w:highlight w:val="none"/>
        </w:rPr>
      </w:pP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为加强财政支出绩效管理</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提高财政资金使用效益，根据《湖南省财政厅关于印发</w:t>
      </w:r>
      <w:r>
        <w:rPr>
          <w:rFonts w:hint="eastAsia" w:ascii="Times New Roman" w:hAnsi="Times New Roman" w:eastAsia="仿宋" w:cs="Times New Roman"/>
          <w:color w:val="auto"/>
          <w:sz w:val="32"/>
          <w:szCs w:val="32"/>
          <w:highlight w:val="none"/>
        </w:rPr>
        <w:t>&lt;</w:t>
      </w:r>
      <w:r>
        <w:rPr>
          <w:rFonts w:hint="default" w:ascii="Times New Roman" w:hAnsi="Times New Roman" w:eastAsia="仿宋" w:cs="Times New Roman"/>
          <w:color w:val="auto"/>
          <w:sz w:val="32"/>
          <w:szCs w:val="32"/>
          <w:highlight w:val="none"/>
        </w:rPr>
        <w:t>湖南省预算支出绩效评价管理办法</w:t>
      </w:r>
      <w:r>
        <w:rPr>
          <w:rFonts w:hint="eastAsia" w:ascii="Times New Roman" w:hAnsi="Times New Roman" w:eastAsia="仿宋" w:cs="Times New Roman"/>
          <w:color w:val="auto"/>
          <w:sz w:val="32"/>
          <w:szCs w:val="32"/>
          <w:highlight w:val="none"/>
        </w:rPr>
        <w:t>&gt;</w:t>
      </w:r>
      <w:r>
        <w:rPr>
          <w:rFonts w:hint="default" w:ascii="Times New Roman" w:hAnsi="Times New Roman" w:eastAsia="仿宋" w:cs="Times New Roman"/>
          <w:color w:val="auto"/>
          <w:sz w:val="32"/>
          <w:szCs w:val="32"/>
          <w:highlight w:val="none"/>
        </w:rPr>
        <w:t>的通知》（湘财绩〔2020〕7号）、《津市市财政局关于明确2022年度预算绩效管理目标任务的通知》（津财发〔202</w:t>
      </w:r>
      <w:r>
        <w:rPr>
          <w:rFonts w:hint="default" w:ascii="Times New Roman" w:hAnsi="Times New Roman" w:eastAsia="仿宋" w:cs="Times New Roman"/>
          <w:color w:val="auto"/>
          <w:sz w:val="32"/>
          <w:szCs w:val="32"/>
          <w:highlight w:val="none"/>
          <w:lang w:val="en-US" w:eastAsia="zh-CN"/>
        </w:rPr>
        <w:t>2</w:t>
      </w:r>
      <w:r>
        <w:rPr>
          <w:rFonts w:hint="default" w:ascii="Times New Roman" w:hAnsi="Times New Roman" w:eastAsia="仿宋" w:cs="Times New Roman"/>
          <w:color w:val="auto"/>
          <w:sz w:val="32"/>
          <w:szCs w:val="32"/>
          <w:highlight w:val="none"/>
        </w:rPr>
        <w:t>〕3号）等文件精神，受</w:t>
      </w:r>
      <w:r>
        <w:rPr>
          <w:rFonts w:hint="default" w:ascii="Times New Roman" w:hAnsi="Times New Roman" w:eastAsia="仿宋" w:cs="Times New Roman"/>
          <w:color w:val="auto"/>
          <w:sz w:val="32"/>
          <w:szCs w:val="32"/>
          <w:highlight w:val="none"/>
          <w:lang w:val="en-US" w:eastAsia="zh-CN"/>
        </w:rPr>
        <w:t>津市</w:t>
      </w:r>
      <w:r>
        <w:rPr>
          <w:rFonts w:hint="default" w:ascii="Times New Roman" w:hAnsi="Times New Roman" w:eastAsia="仿宋" w:cs="Times New Roman"/>
          <w:color w:val="auto"/>
          <w:sz w:val="32"/>
          <w:szCs w:val="32"/>
          <w:highlight w:val="none"/>
        </w:rPr>
        <w:t>市财政局</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以下简称“市财政局”）</w:t>
      </w:r>
      <w:r>
        <w:rPr>
          <w:rFonts w:hint="default" w:ascii="Times New Roman" w:hAnsi="Times New Roman" w:eastAsia="仿宋" w:cs="Times New Roman"/>
          <w:color w:val="auto"/>
          <w:sz w:val="32"/>
          <w:szCs w:val="32"/>
          <w:highlight w:val="none"/>
        </w:rPr>
        <w:t>委托，湖南九澧咨询服务有限公司对202</w:t>
      </w:r>
      <w:r>
        <w:rPr>
          <w:rFonts w:hint="default"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rPr>
        <w:t>年度</w:t>
      </w:r>
      <w:r>
        <w:rPr>
          <w:rFonts w:hint="default" w:ascii="Times New Roman" w:hAnsi="Times New Roman" w:eastAsia="仿宋" w:cs="Times New Roman"/>
          <w:color w:val="auto"/>
          <w:sz w:val="32"/>
          <w:szCs w:val="32"/>
          <w:highlight w:val="none"/>
          <w:lang w:val="en-US" w:eastAsia="zh-CN"/>
        </w:rPr>
        <w:t>餐厨垃圾处理及城乡生活垃圾转运站运行</w:t>
      </w:r>
      <w:r>
        <w:rPr>
          <w:rFonts w:hint="eastAsia" w:ascii="Times New Roman" w:hAnsi="Times New Roman" w:eastAsia="仿宋" w:cs="Times New Roman"/>
          <w:color w:val="auto"/>
          <w:sz w:val="32"/>
          <w:szCs w:val="32"/>
          <w:highlight w:val="none"/>
          <w:lang w:val="en-US" w:eastAsia="zh-CN"/>
        </w:rPr>
        <w:t>经费</w:t>
      </w:r>
      <w:r>
        <w:rPr>
          <w:rFonts w:hint="default" w:ascii="Times New Roman" w:hAnsi="Times New Roman" w:eastAsia="仿宋" w:cs="Times New Roman"/>
          <w:color w:val="auto"/>
          <w:sz w:val="32"/>
          <w:szCs w:val="32"/>
          <w:highlight w:val="none"/>
        </w:rPr>
        <w:t>进行了绩效评价，现将评价情况报告如下：</w:t>
      </w:r>
    </w:p>
    <w:p>
      <w:pPr>
        <w:widowControl/>
        <w:spacing w:line="600" w:lineRule="exact"/>
        <w:ind w:firstLine="618" w:firstLineChars="200"/>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一、基本情况</w:t>
      </w:r>
      <w:bookmarkStart w:id="1" w:name="_GoBack"/>
      <w:bookmarkEnd w:id="1"/>
    </w:p>
    <w:p>
      <w:pPr>
        <w:widowControl/>
        <w:spacing w:line="600" w:lineRule="exact"/>
        <w:ind w:firstLine="618" w:firstLineChars="200"/>
        <w:rPr>
          <w:rFonts w:hint="default" w:ascii="Times New Roman" w:hAnsi="Times New Roman" w:eastAsia="楷体" w:cs="Times New Roman"/>
          <w:color w:val="auto"/>
          <w:kern w:val="0"/>
          <w:sz w:val="32"/>
          <w:szCs w:val="32"/>
          <w:highlight w:val="none"/>
        </w:rPr>
      </w:pPr>
      <w:r>
        <w:rPr>
          <w:rFonts w:hint="default" w:ascii="Times New Roman" w:hAnsi="Times New Roman" w:eastAsia="楷体" w:cs="Times New Roman"/>
          <w:color w:val="auto"/>
          <w:kern w:val="0"/>
          <w:sz w:val="32"/>
          <w:szCs w:val="32"/>
          <w:highlight w:val="none"/>
        </w:rPr>
        <w:t>（一）项目概况</w:t>
      </w:r>
    </w:p>
    <w:p>
      <w:pPr>
        <w:snapToGrid w:val="0"/>
        <w:spacing w:line="600" w:lineRule="exact"/>
        <w:ind w:firstLine="618" w:firstLineChars="200"/>
        <w:jc w:val="left"/>
        <w:rPr>
          <w:rFonts w:hint="eastAsia" w:ascii="仿宋" w:hAnsi="仿宋" w:eastAsia="仿宋" w:cs="仿宋"/>
          <w:color w:val="auto"/>
          <w:sz w:val="32"/>
          <w:szCs w:val="32"/>
          <w:highlight w:val="none"/>
          <w:lang w:val="en-US" w:eastAsia="zh-CN"/>
        </w:rPr>
      </w:pPr>
      <w:r>
        <w:rPr>
          <w:rFonts w:hint="default" w:ascii="Times New Roman" w:hAnsi="Times New Roman" w:eastAsia="仿宋" w:cs="Times New Roman"/>
          <w:color w:val="auto"/>
          <w:sz w:val="32"/>
          <w:szCs w:val="32"/>
          <w:highlight w:val="none"/>
        </w:rPr>
        <w:t>1.项目背景：</w:t>
      </w:r>
      <w:r>
        <w:rPr>
          <w:rFonts w:hint="eastAsia" w:ascii="仿宋" w:hAnsi="仿宋" w:eastAsia="仿宋" w:cs="仿宋"/>
          <w:color w:val="auto"/>
          <w:sz w:val="32"/>
          <w:szCs w:val="32"/>
          <w:highlight w:val="none"/>
          <w:lang w:val="en-US" w:eastAsia="zh-CN"/>
        </w:rPr>
        <w:t>随着城乡经济发展，生活垃圾日益增多，</w:t>
      </w:r>
      <w:r>
        <w:rPr>
          <w:rFonts w:hint="eastAsia" w:ascii="Times New Roman" w:hAnsi="Times New Roman" w:eastAsia="仿宋" w:cs="Times New Roman"/>
          <w:color w:val="auto"/>
          <w:sz w:val="32"/>
          <w:szCs w:val="32"/>
          <w:highlight w:val="none"/>
          <w:lang w:val="en-US" w:eastAsia="zh-CN"/>
        </w:rPr>
        <w:t>为</w:t>
      </w:r>
      <w:r>
        <w:rPr>
          <w:rFonts w:hint="default" w:ascii="Times New Roman" w:hAnsi="Times New Roman" w:eastAsia="仿宋" w:cs="Times New Roman"/>
          <w:color w:val="auto"/>
          <w:sz w:val="32"/>
          <w:szCs w:val="32"/>
          <w:highlight w:val="none"/>
        </w:rPr>
        <w:t>规范餐厨废弃物的管理</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有效解决</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地沟油</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问题</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lang w:val="en-US" w:eastAsia="zh-CN"/>
        </w:rPr>
        <w:t>建设城乡餐厨垃圾无害化处理体系</w:t>
      </w:r>
      <w:r>
        <w:rPr>
          <w:rFonts w:hint="eastAsia" w:ascii="仿宋" w:hAnsi="仿宋" w:eastAsia="仿宋" w:cs="仿宋"/>
          <w:color w:val="auto"/>
          <w:sz w:val="32"/>
          <w:szCs w:val="32"/>
          <w:highlight w:val="none"/>
          <w:lang w:val="en-US" w:eastAsia="zh-CN"/>
        </w:rPr>
        <w:t>，缓解垃圾填埋容量有限、浪费和污染土地资源的问题，改善城市环境。</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2.立项依据：</w:t>
      </w:r>
      <w:r>
        <w:rPr>
          <w:rFonts w:hint="default" w:ascii="Times New Roman" w:hAnsi="Times New Roman" w:eastAsia="仿宋" w:cs="Times New Roman"/>
          <w:color w:val="auto"/>
          <w:sz w:val="32"/>
          <w:szCs w:val="32"/>
          <w:highlight w:val="none"/>
          <w:lang w:val="en-US" w:eastAsia="zh-CN"/>
        </w:rPr>
        <w:t>湖南省人民政府关于加强城镇生活垃圾处理工作的实施意见（湘政发</w:t>
      </w:r>
      <w:r>
        <w:rPr>
          <w:rFonts w:hint="default" w:ascii="Times New Roman" w:hAnsi="Times New Roman" w:eastAsia="仿宋" w:cs="Times New Roman"/>
          <w:color w:val="auto"/>
          <w:sz w:val="32"/>
          <w:szCs w:val="32"/>
          <w:highlight w:val="none"/>
        </w:rPr>
        <w:t>〔20</w:t>
      </w:r>
      <w:r>
        <w:rPr>
          <w:rFonts w:hint="default" w:ascii="Times New Roman" w:hAnsi="Times New Roman" w:eastAsia="仿宋" w:cs="Times New Roman"/>
          <w:color w:val="auto"/>
          <w:sz w:val="32"/>
          <w:szCs w:val="32"/>
          <w:highlight w:val="none"/>
          <w:lang w:val="en-US" w:eastAsia="zh-CN"/>
        </w:rPr>
        <w:t>12</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lang w:val="en-US" w:eastAsia="zh-CN"/>
        </w:rPr>
        <w:t>21号）</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2021年2月10日津市市人民政府第2次常务会议纪要</w:t>
      </w:r>
      <w:r>
        <w:rPr>
          <w:rFonts w:hint="default" w:ascii="Times New Roman" w:hAnsi="Times New Roman" w:eastAsia="仿宋" w:cs="Times New Roman"/>
          <w:color w:val="auto"/>
          <w:sz w:val="32"/>
          <w:szCs w:val="32"/>
          <w:highlight w:val="none"/>
        </w:rPr>
        <w:t>。</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3.主要内容</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一是</w:t>
      </w:r>
      <w:r>
        <w:rPr>
          <w:rFonts w:hint="default" w:ascii="Times New Roman" w:hAnsi="Times New Roman" w:eastAsia="仿宋" w:cs="Times New Roman"/>
          <w:color w:val="auto"/>
          <w:sz w:val="32"/>
          <w:szCs w:val="32"/>
          <w:highlight w:val="none"/>
        </w:rPr>
        <w:t>餐厨垃圾处理中心</w:t>
      </w:r>
      <w:r>
        <w:rPr>
          <w:rFonts w:hint="eastAsia" w:ascii="Times New Roman" w:hAnsi="Times New Roman" w:eastAsia="仿宋" w:cs="Times New Roman"/>
          <w:color w:val="auto"/>
          <w:sz w:val="32"/>
          <w:szCs w:val="32"/>
          <w:highlight w:val="none"/>
          <w:lang w:val="en-US" w:eastAsia="zh-CN"/>
        </w:rPr>
        <w:t>运营。对城区街道及高新区范围的餐饮门店、行政事业单位食堂等产生的</w:t>
      </w:r>
      <w:r>
        <w:rPr>
          <w:rFonts w:hint="default" w:ascii="Times New Roman" w:hAnsi="Times New Roman" w:eastAsia="仿宋" w:cs="Times New Roman"/>
          <w:color w:val="auto"/>
          <w:sz w:val="32"/>
          <w:szCs w:val="32"/>
          <w:highlight w:val="none"/>
          <w:lang w:val="en-US" w:eastAsia="zh-CN"/>
        </w:rPr>
        <w:t>餐厨垃圾</w:t>
      </w:r>
      <w:r>
        <w:rPr>
          <w:rFonts w:hint="eastAsia" w:ascii="Times New Roman" w:hAnsi="Times New Roman" w:eastAsia="仿宋" w:cs="Times New Roman"/>
          <w:color w:val="auto"/>
          <w:sz w:val="32"/>
          <w:szCs w:val="32"/>
          <w:highlight w:val="none"/>
          <w:lang w:val="en-US" w:eastAsia="zh-CN"/>
        </w:rPr>
        <w:t>进行</w:t>
      </w:r>
      <w:r>
        <w:rPr>
          <w:rFonts w:hint="default" w:ascii="Times New Roman" w:hAnsi="Times New Roman" w:eastAsia="仿宋" w:cs="Times New Roman"/>
          <w:color w:val="auto"/>
          <w:sz w:val="32"/>
          <w:szCs w:val="32"/>
          <w:highlight w:val="none"/>
          <w:lang w:val="en-US" w:eastAsia="zh-CN"/>
        </w:rPr>
        <w:t>收运</w:t>
      </w:r>
      <w:r>
        <w:rPr>
          <w:rFonts w:hint="eastAsia" w:ascii="Times New Roman" w:hAnsi="Times New Roman" w:eastAsia="仿宋" w:cs="Times New Roman"/>
          <w:color w:val="auto"/>
          <w:sz w:val="32"/>
          <w:szCs w:val="32"/>
          <w:highlight w:val="none"/>
          <w:lang w:val="en-US" w:eastAsia="zh-CN"/>
        </w:rPr>
        <w:t>和</w:t>
      </w:r>
      <w:r>
        <w:rPr>
          <w:rFonts w:hint="default" w:ascii="Times New Roman" w:hAnsi="Times New Roman" w:eastAsia="仿宋" w:cs="Times New Roman"/>
          <w:color w:val="auto"/>
          <w:sz w:val="32"/>
          <w:szCs w:val="32"/>
          <w:highlight w:val="none"/>
          <w:lang w:val="en-US" w:eastAsia="zh-CN"/>
        </w:rPr>
        <w:t>集中处理</w:t>
      </w:r>
      <w:r>
        <w:rPr>
          <w:rFonts w:hint="eastAsia" w:ascii="Times New Roman" w:hAnsi="Times New Roman" w:eastAsia="仿宋" w:cs="Times New Roman"/>
          <w:color w:val="auto"/>
          <w:sz w:val="32"/>
          <w:szCs w:val="32"/>
          <w:highlight w:val="none"/>
          <w:lang w:val="en-US" w:eastAsia="zh-CN"/>
        </w:rPr>
        <w:t>。二是</w:t>
      </w:r>
      <w:r>
        <w:rPr>
          <w:rFonts w:hint="default" w:ascii="Times New Roman" w:hAnsi="Times New Roman" w:eastAsia="仿宋" w:cs="Times New Roman"/>
          <w:color w:val="auto"/>
          <w:sz w:val="32"/>
          <w:szCs w:val="32"/>
          <w:highlight w:val="none"/>
          <w:lang w:val="en-US" w:eastAsia="zh-CN"/>
        </w:rPr>
        <w:t>分散式垃圾处理</w:t>
      </w:r>
      <w:r>
        <w:rPr>
          <w:rFonts w:hint="eastAsia" w:ascii="Times New Roman" w:hAnsi="Times New Roman" w:eastAsia="仿宋" w:cs="Times New Roman"/>
          <w:color w:val="auto"/>
          <w:sz w:val="32"/>
          <w:szCs w:val="32"/>
          <w:highlight w:val="none"/>
          <w:lang w:val="en-US" w:eastAsia="zh-CN"/>
        </w:rPr>
        <w:t>垃圾站运营。对</w:t>
      </w:r>
      <w:r>
        <w:rPr>
          <w:rFonts w:hint="default" w:ascii="Times New Roman" w:hAnsi="Times New Roman" w:eastAsia="仿宋" w:cs="Times New Roman"/>
          <w:color w:val="auto"/>
          <w:sz w:val="32"/>
          <w:szCs w:val="32"/>
          <w:highlight w:val="none"/>
          <w:lang w:val="en-US" w:eastAsia="zh-CN"/>
        </w:rPr>
        <w:t>兰苑宾馆、德雅中学、人民医院、市</w:t>
      </w:r>
      <w:r>
        <w:rPr>
          <w:rFonts w:hint="eastAsia" w:ascii="Times New Roman" w:hAnsi="Times New Roman" w:eastAsia="仿宋" w:cs="Times New Roman"/>
          <w:color w:val="auto"/>
          <w:sz w:val="32"/>
          <w:szCs w:val="32"/>
          <w:highlight w:val="none"/>
          <w:lang w:val="en-US" w:eastAsia="zh-CN"/>
        </w:rPr>
        <w:t>政府</w:t>
      </w:r>
      <w:r>
        <w:rPr>
          <w:rFonts w:hint="default" w:ascii="Times New Roman" w:hAnsi="Times New Roman" w:eastAsia="仿宋" w:cs="Times New Roman"/>
          <w:color w:val="auto"/>
          <w:sz w:val="32"/>
          <w:szCs w:val="32"/>
          <w:highlight w:val="none"/>
          <w:lang w:val="en-US" w:eastAsia="zh-CN"/>
        </w:rPr>
        <w:t>，</w:t>
      </w:r>
      <w:r>
        <w:rPr>
          <w:rFonts w:hint="eastAsia" w:ascii="Times New Roman" w:hAnsi="Times New Roman" w:eastAsia="仿宋" w:cs="Times New Roman"/>
          <w:color w:val="auto"/>
          <w:sz w:val="32"/>
          <w:szCs w:val="32"/>
          <w:highlight w:val="none"/>
          <w:lang w:val="en-US" w:eastAsia="zh-CN"/>
        </w:rPr>
        <w:t>津市</w:t>
      </w:r>
      <w:r>
        <w:rPr>
          <w:rFonts w:hint="default" w:ascii="Times New Roman" w:hAnsi="Times New Roman" w:eastAsia="仿宋" w:cs="Times New Roman"/>
          <w:color w:val="auto"/>
          <w:sz w:val="32"/>
          <w:szCs w:val="32"/>
          <w:highlight w:val="none"/>
          <w:lang w:val="en-US" w:eastAsia="zh-CN"/>
        </w:rPr>
        <w:t>一中</w:t>
      </w:r>
      <w:r>
        <w:rPr>
          <w:rFonts w:hint="eastAsia" w:ascii="Times New Roman" w:hAnsi="Times New Roman" w:eastAsia="仿宋" w:cs="Times New Roman"/>
          <w:color w:val="auto"/>
          <w:sz w:val="32"/>
          <w:szCs w:val="32"/>
          <w:highlight w:val="none"/>
          <w:lang w:val="en-US" w:eastAsia="zh-CN"/>
        </w:rPr>
        <w:t>5个单位餐厨垃圾收集和处理。 三是</w:t>
      </w:r>
      <w:r>
        <w:rPr>
          <w:rFonts w:hint="default" w:ascii="Times New Roman" w:hAnsi="Times New Roman" w:eastAsia="仿宋" w:cs="Times New Roman"/>
          <w:color w:val="auto"/>
          <w:sz w:val="32"/>
          <w:szCs w:val="32"/>
          <w:highlight w:val="none"/>
        </w:rPr>
        <w:t>城乡生活垃圾转运站</w:t>
      </w:r>
      <w:r>
        <w:rPr>
          <w:rFonts w:hint="eastAsia" w:ascii="Times New Roman" w:hAnsi="Times New Roman" w:eastAsia="仿宋" w:cs="Times New Roman"/>
          <w:color w:val="auto"/>
          <w:sz w:val="32"/>
          <w:szCs w:val="32"/>
          <w:highlight w:val="none"/>
          <w:lang w:val="en-US" w:eastAsia="zh-CN"/>
        </w:rPr>
        <w:t>运营</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对进入转运站内的</w:t>
      </w:r>
      <w:r>
        <w:rPr>
          <w:rFonts w:hint="default" w:ascii="Times New Roman" w:hAnsi="Times New Roman" w:eastAsia="仿宋" w:cs="Times New Roman"/>
          <w:color w:val="auto"/>
          <w:sz w:val="32"/>
          <w:szCs w:val="32"/>
          <w:highlight w:val="none"/>
          <w:lang w:val="en-US" w:eastAsia="zh-CN"/>
        </w:rPr>
        <w:t>城乡生活垃圾</w:t>
      </w:r>
      <w:r>
        <w:rPr>
          <w:rFonts w:hint="eastAsia" w:ascii="Times New Roman" w:hAnsi="Times New Roman" w:eastAsia="仿宋" w:cs="Times New Roman"/>
          <w:color w:val="auto"/>
          <w:sz w:val="32"/>
          <w:szCs w:val="32"/>
          <w:highlight w:val="none"/>
          <w:lang w:val="en-US" w:eastAsia="zh-CN"/>
        </w:rPr>
        <w:t>进行</w:t>
      </w:r>
      <w:r>
        <w:rPr>
          <w:rFonts w:hint="default" w:ascii="Times New Roman" w:hAnsi="Times New Roman" w:eastAsia="仿宋" w:cs="Times New Roman"/>
          <w:color w:val="auto"/>
          <w:sz w:val="32"/>
          <w:szCs w:val="32"/>
          <w:highlight w:val="none"/>
          <w:lang w:val="en-US" w:eastAsia="zh-CN"/>
        </w:rPr>
        <w:t>处置和转运工作。</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eastAsia" w:ascii="Times New Roman" w:hAnsi="Times New Roman" w:eastAsia="仿宋" w:cs="Times New Roman"/>
          <w:color w:val="auto"/>
          <w:sz w:val="32"/>
          <w:szCs w:val="32"/>
          <w:highlight w:val="none"/>
          <w:lang w:val="en-US" w:eastAsia="zh-CN"/>
        </w:rPr>
        <w:t xml:space="preserve"> </w:t>
      </w:r>
      <w:r>
        <w:rPr>
          <w:rFonts w:hint="default" w:ascii="Times New Roman" w:hAnsi="Times New Roman" w:eastAsia="仿宋" w:cs="Times New Roman"/>
          <w:color w:val="auto"/>
          <w:sz w:val="32"/>
          <w:szCs w:val="32"/>
          <w:highlight w:val="none"/>
        </w:rPr>
        <w:t>4.实施情况</w:t>
      </w:r>
    </w:p>
    <w:p>
      <w:pPr>
        <w:snapToGrid w:val="0"/>
        <w:spacing w:line="600" w:lineRule="exact"/>
        <w:ind w:firstLine="618" w:firstLineChars="200"/>
        <w:jc w:val="left"/>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项目实施单位</w:t>
      </w:r>
      <w:r>
        <w:rPr>
          <w:rFonts w:hint="default" w:ascii="Times New Roman" w:hAnsi="Times New Roman" w:eastAsia="仿宋" w:cs="Times New Roman"/>
          <w:color w:val="auto"/>
          <w:sz w:val="32"/>
          <w:szCs w:val="32"/>
          <w:highlight w:val="none"/>
          <w:lang w:val="en-US" w:eastAsia="zh-CN"/>
        </w:rPr>
        <w:t>津市市环境卫生管理处（以下简称</w:t>
      </w:r>
      <w:r>
        <w:rPr>
          <w:rFonts w:hint="eastAsia" w:ascii="Times New Roman" w:hAnsi="Times New Roman" w:eastAsia="仿宋" w:cs="Times New Roman"/>
          <w:color w:val="auto"/>
          <w:sz w:val="32"/>
          <w:szCs w:val="32"/>
          <w:highlight w:val="none"/>
          <w:lang w:val="en-US" w:eastAsia="zh-CN"/>
        </w:rPr>
        <w:t>“市</w:t>
      </w:r>
      <w:r>
        <w:rPr>
          <w:rFonts w:hint="default" w:ascii="Times New Roman" w:hAnsi="Times New Roman" w:eastAsia="仿宋" w:cs="Times New Roman"/>
          <w:color w:val="auto"/>
          <w:sz w:val="32"/>
          <w:szCs w:val="32"/>
          <w:highlight w:val="none"/>
          <w:lang w:val="en-US" w:eastAsia="zh-CN"/>
        </w:rPr>
        <w:t>环卫处</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w:t>
      </w:r>
      <w:r>
        <w:rPr>
          <w:rFonts w:hint="eastAsia" w:ascii="Times New Roman" w:hAnsi="Times New Roman" w:eastAsia="仿宋" w:cs="Times New Roman"/>
          <w:color w:val="auto"/>
          <w:sz w:val="32"/>
          <w:szCs w:val="32"/>
          <w:highlight w:val="none"/>
          <w:lang w:val="en-US" w:eastAsia="zh-CN"/>
        </w:rPr>
        <w:t>。项目</w:t>
      </w:r>
      <w:r>
        <w:rPr>
          <w:rFonts w:hint="default" w:ascii="Times New Roman" w:hAnsi="Times New Roman" w:eastAsia="仿宋" w:cs="Times New Roman"/>
          <w:color w:val="auto"/>
          <w:sz w:val="32"/>
          <w:szCs w:val="32"/>
          <w:highlight w:val="none"/>
          <w:lang w:val="en-US" w:eastAsia="zh-CN"/>
        </w:rPr>
        <w:t>主管部门津市市城市管理和综合执法局</w:t>
      </w:r>
      <w:r>
        <w:rPr>
          <w:rFonts w:hint="eastAsia" w:ascii="Times New Roman" w:hAnsi="Times New Roman" w:eastAsia="仿宋" w:cs="Times New Roman"/>
          <w:color w:val="auto"/>
          <w:sz w:val="32"/>
          <w:szCs w:val="32"/>
          <w:highlight w:val="none"/>
          <w:lang w:val="en-US" w:eastAsia="zh-CN"/>
        </w:rPr>
        <w:t>（以下简称“市城管局”）。</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根据津市市人民政府会议纪精神，由市环卫处负责餐厨垃圾处理中心、</w:t>
      </w:r>
      <w:r>
        <w:rPr>
          <w:rFonts w:hint="default" w:ascii="Times New Roman" w:hAnsi="Times New Roman" w:eastAsia="仿宋" w:cs="Times New Roman"/>
          <w:color w:val="auto"/>
          <w:sz w:val="32"/>
          <w:szCs w:val="32"/>
          <w:highlight w:val="none"/>
          <w:lang w:val="en-US" w:eastAsia="zh-CN"/>
        </w:rPr>
        <w:t>分散式垃圾处理</w:t>
      </w:r>
      <w:r>
        <w:rPr>
          <w:rFonts w:hint="eastAsia" w:ascii="Times New Roman" w:hAnsi="Times New Roman" w:eastAsia="仿宋" w:cs="Times New Roman"/>
          <w:color w:val="auto"/>
          <w:sz w:val="32"/>
          <w:szCs w:val="32"/>
          <w:highlight w:val="none"/>
          <w:lang w:val="en-US" w:eastAsia="zh-CN"/>
        </w:rPr>
        <w:t>垃圾站、垃圾转运站运行运营管理。</w:t>
      </w:r>
      <w:r>
        <w:rPr>
          <w:rFonts w:hint="default" w:ascii="Times New Roman" w:hAnsi="Times New Roman" w:eastAsia="仿宋" w:cs="Times New Roman"/>
          <w:color w:val="auto"/>
          <w:sz w:val="32"/>
          <w:szCs w:val="32"/>
          <w:highlight w:val="none"/>
          <w:lang w:val="en-US" w:eastAsia="zh-CN"/>
        </w:rPr>
        <w:t>2021年5月</w:t>
      </w:r>
      <w:r>
        <w:rPr>
          <w:rFonts w:hint="eastAsia" w:ascii="Times New Roman" w:hAnsi="Times New Roman" w:eastAsia="仿宋" w:cs="Times New Roman"/>
          <w:color w:val="auto"/>
          <w:sz w:val="32"/>
          <w:szCs w:val="32"/>
          <w:highlight w:val="none"/>
          <w:lang w:val="en-US" w:eastAsia="zh-CN"/>
        </w:rPr>
        <w:t>市</w:t>
      </w:r>
      <w:r>
        <w:rPr>
          <w:rFonts w:hint="default" w:ascii="Times New Roman" w:hAnsi="Times New Roman" w:eastAsia="仿宋" w:cs="Times New Roman"/>
          <w:color w:val="auto"/>
          <w:sz w:val="32"/>
          <w:szCs w:val="32"/>
          <w:highlight w:val="none"/>
          <w:lang w:val="en-US" w:eastAsia="zh-CN"/>
        </w:rPr>
        <w:t>环卫处制定了《2021年</w:t>
      </w:r>
      <w:r>
        <w:rPr>
          <w:rFonts w:hint="eastAsia" w:ascii="Times New Roman" w:hAnsi="Times New Roman" w:eastAsia="仿宋" w:cs="Times New Roman"/>
          <w:color w:val="auto"/>
          <w:sz w:val="32"/>
          <w:szCs w:val="32"/>
          <w:highlight w:val="none"/>
          <w:lang w:val="en-US" w:eastAsia="zh-CN"/>
        </w:rPr>
        <w:t>处理中心</w:t>
      </w:r>
      <w:r>
        <w:rPr>
          <w:rFonts w:hint="default" w:ascii="Times New Roman" w:hAnsi="Times New Roman" w:eastAsia="仿宋" w:cs="Times New Roman"/>
          <w:color w:val="auto"/>
          <w:sz w:val="32"/>
          <w:szCs w:val="32"/>
          <w:highlight w:val="none"/>
          <w:lang w:val="en-US" w:eastAsia="zh-CN"/>
        </w:rPr>
        <w:t>及生活垃圾转运站工作计划》，</w:t>
      </w:r>
      <w:r>
        <w:rPr>
          <w:rFonts w:hint="eastAsia" w:ascii="Times New Roman" w:hAnsi="Times New Roman" w:eastAsia="仿宋" w:cs="Times New Roman"/>
          <w:color w:val="auto"/>
          <w:sz w:val="32"/>
          <w:szCs w:val="32"/>
          <w:highlight w:val="none"/>
          <w:lang w:val="en-US" w:eastAsia="zh-CN"/>
        </w:rPr>
        <w:t>通过</w:t>
      </w:r>
      <w:r>
        <w:rPr>
          <w:rFonts w:hint="default" w:ascii="Times New Roman" w:hAnsi="Times New Roman" w:eastAsia="仿宋" w:cs="Times New Roman"/>
          <w:color w:val="auto"/>
          <w:sz w:val="32"/>
          <w:szCs w:val="32"/>
          <w:highlight w:val="none"/>
          <w:lang w:val="en-US" w:eastAsia="zh-CN"/>
        </w:rPr>
        <w:t>集体研究，</w:t>
      </w:r>
      <w:r>
        <w:rPr>
          <w:rFonts w:hint="eastAsia" w:ascii="Times New Roman" w:hAnsi="Times New Roman" w:eastAsia="仿宋" w:cs="Times New Roman"/>
          <w:color w:val="auto"/>
          <w:sz w:val="32"/>
          <w:szCs w:val="32"/>
          <w:highlight w:val="none"/>
          <w:lang w:val="en-US" w:eastAsia="zh-CN"/>
        </w:rPr>
        <w:t>确定</w:t>
      </w:r>
      <w:r>
        <w:rPr>
          <w:rFonts w:hint="default" w:ascii="Times New Roman" w:hAnsi="Times New Roman" w:eastAsia="仿宋" w:cs="Times New Roman"/>
          <w:color w:val="auto"/>
          <w:sz w:val="32"/>
          <w:szCs w:val="32"/>
          <w:highlight w:val="none"/>
          <w:lang w:val="en-US" w:eastAsia="zh-CN"/>
        </w:rPr>
        <w:t>了餐厨垃圾处理中心和城乡生活垃圾转运站运营</w:t>
      </w:r>
      <w:r>
        <w:rPr>
          <w:rFonts w:hint="eastAsia" w:ascii="Times New Roman" w:hAnsi="Times New Roman" w:eastAsia="仿宋" w:cs="Times New Roman"/>
          <w:color w:val="auto"/>
          <w:sz w:val="32"/>
          <w:szCs w:val="32"/>
          <w:highlight w:val="none"/>
          <w:lang w:val="en-US" w:eastAsia="zh-CN"/>
        </w:rPr>
        <w:t>的</w:t>
      </w:r>
      <w:r>
        <w:rPr>
          <w:rFonts w:hint="default" w:ascii="Times New Roman" w:hAnsi="Times New Roman" w:eastAsia="仿宋" w:cs="Times New Roman"/>
          <w:color w:val="auto"/>
          <w:sz w:val="32"/>
          <w:szCs w:val="32"/>
          <w:highlight w:val="none"/>
          <w:lang w:val="en-US" w:eastAsia="zh-CN"/>
        </w:rPr>
        <w:t>管理架构</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工作职责和运行方式。</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（1）餐厨垃圾处理中心</w:t>
      </w:r>
      <w:r>
        <w:rPr>
          <w:rFonts w:hint="eastAsia" w:ascii="Times New Roman" w:hAnsi="Times New Roman" w:eastAsia="仿宋" w:cs="Times New Roman"/>
          <w:color w:val="auto"/>
          <w:sz w:val="32"/>
          <w:szCs w:val="32"/>
          <w:highlight w:val="none"/>
          <w:lang w:val="en-US" w:eastAsia="zh-CN"/>
        </w:rPr>
        <w:t>（以下简称“餐厨中心”）。</w:t>
      </w:r>
      <w:r>
        <w:rPr>
          <w:rFonts w:hint="default" w:ascii="Times New Roman" w:hAnsi="Times New Roman" w:eastAsia="仿宋" w:cs="Times New Roman"/>
          <w:color w:val="auto"/>
          <w:sz w:val="32"/>
          <w:szCs w:val="32"/>
          <w:highlight w:val="none"/>
          <w:lang w:val="en-US" w:eastAsia="zh-CN"/>
        </w:rPr>
        <w:t>2021年5月18日正式投入运</w:t>
      </w:r>
      <w:r>
        <w:rPr>
          <w:rFonts w:hint="eastAsia" w:ascii="Times New Roman" w:hAnsi="Times New Roman" w:eastAsia="仿宋" w:cs="Times New Roman"/>
          <w:color w:val="auto"/>
          <w:sz w:val="32"/>
          <w:szCs w:val="32"/>
          <w:highlight w:val="none"/>
          <w:lang w:val="en-US" w:eastAsia="zh-CN"/>
        </w:rPr>
        <w:t>营</w:t>
      </w:r>
      <w:r>
        <w:rPr>
          <w:rFonts w:hint="default" w:ascii="Times New Roman" w:hAnsi="Times New Roman" w:eastAsia="仿宋" w:cs="Times New Roman"/>
          <w:color w:val="auto"/>
          <w:sz w:val="32"/>
          <w:szCs w:val="32"/>
          <w:highlight w:val="none"/>
          <w:lang w:val="en-US" w:eastAsia="zh-CN"/>
        </w:rPr>
        <w:t>，</w:t>
      </w:r>
      <w:r>
        <w:rPr>
          <w:rFonts w:hint="eastAsia" w:ascii="Times New Roman" w:hAnsi="Times New Roman" w:eastAsia="仿宋" w:cs="Times New Roman"/>
          <w:color w:val="auto"/>
          <w:sz w:val="32"/>
          <w:szCs w:val="32"/>
          <w:highlight w:val="none"/>
          <w:lang w:val="en-US" w:eastAsia="zh-CN"/>
        </w:rPr>
        <w:t>运行经费按7.5个月核算。配置</w:t>
      </w:r>
      <w:r>
        <w:rPr>
          <w:rFonts w:hint="default" w:ascii="Times New Roman" w:hAnsi="Times New Roman" w:eastAsia="仿宋" w:cs="Times New Roman"/>
          <w:color w:val="auto"/>
          <w:sz w:val="32"/>
          <w:szCs w:val="32"/>
          <w:highlight w:val="none"/>
          <w:lang w:val="en-US" w:eastAsia="zh-CN"/>
        </w:rPr>
        <w:t>专用餐厨垃圾收集车4台，平板收运车1台，工具车1台。截至2021年12月底，该中心</w:t>
      </w:r>
      <w:r>
        <w:rPr>
          <w:rFonts w:hint="eastAsia" w:ascii="Times New Roman" w:hAnsi="Times New Roman" w:eastAsia="仿宋" w:cs="Times New Roman"/>
          <w:color w:val="auto"/>
          <w:sz w:val="32"/>
          <w:szCs w:val="32"/>
          <w:highlight w:val="none"/>
          <w:lang w:val="en-US" w:eastAsia="zh-CN"/>
        </w:rPr>
        <w:t>在编人员2人，</w:t>
      </w:r>
      <w:r>
        <w:rPr>
          <w:rFonts w:hint="default" w:ascii="Times New Roman" w:hAnsi="Times New Roman" w:eastAsia="仿宋" w:cs="Times New Roman"/>
          <w:color w:val="auto"/>
          <w:sz w:val="32"/>
          <w:szCs w:val="32"/>
          <w:highlight w:val="none"/>
          <w:lang w:val="en-US" w:eastAsia="zh-CN"/>
        </w:rPr>
        <w:t>临聘人员14</w:t>
      </w:r>
      <w:r>
        <w:rPr>
          <w:rFonts w:hint="eastAsia" w:ascii="Times New Roman" w:hAnsi="Times New Roman" w:eastAsia="仿宋" w:cs="Times New Roman"/>
          <w:color w:val="auto"/>
          <w:sz w:val="32"/>
          <w:szCs w:val="32"/>
          <w:highlight w:val="none"/>
          <w:lang w:val="en-US" w:eastAsia="zh-CN"/>
        </w:rPr>
        <w:t>人</w:t>
      </w:r>
      <w:r>
        <w:rPr>
          <w:rFonts w:hint="default" w:ascii="Times New Roman" w:hAnsi="Times New Roman" w:eastAsia="仿宋" w:cs="Times New Roman"/>
          <w:color w:val="auto"/>
          <w:sz w:val="32"/>
          <w:szCs w:val="32"/>
          <w:highlight w:val="none"/>
          <w:lang w:val="en-US" w:eastAsia="zh-CN"/>
        </w:rPr>
        <w:t>。</w:t>
      </w:r>
      <w:r>
        <w:rPr>
          <w:rFonts w:hint="eastAsia" w:ascii="Times New Roman" w:hAnsi="Times New Roman" w:eastAsia="仿宋" w:cs="Times New Roman"/>
          <w:color w:val="auto"/>
          <w:sz w:val="32"/>
          <w:szCs w:val="32"/>
          <w:highlight w:val="none"/>
          <w:lang w:val="en-US" w:eastAsia="zh-CN"/>
        </w:rPr>
        <w:t>津市</w:t>
      </w:r>
      <w:r>
        <w:rPr>
          <w:rFonts w:hint="default" w:ascii="Times New Roman" w:hAnsi="Times New Roman" w:eastAsia="仿宋" w:cs="Times New Roman"/>
          <w:color w:val="auto"/>
          <w:sz w:val="32"/>
          <w:szCs w:val="32"/>
          <w:highlight w:val="none"/>
          <w:lang w:val="en-US" w:eastAsia="zh-CN"/>
        </w:rPr>
        <w:t>环卫处</w:t>
      </w:r>
      <w:r>
        <w:rPr>
          <w:rFonts w:hint="eastAsia" w:ascii="Times New Roman" w:hAnsi="Times New Roman" w:eastAsia="仿宋" w:cs="Times New Roman"/>
          <w:color w:val="auto"/>
          <w:sz w:val="32"/>
          <w:szCs w:val="32"/>
          <w:highlight w:val="none"/>
          <w:lang w:val="en-US" w:eastAsia="zh-CN"/>
        </w:rPr>
        <w:t>与</w:t>
      </w:r>
      <w:r>
        <w:rPr>
          <w:rFonts w:hint="default" w:ascii="Times New Roman" w:hAnsi="Times New Roman" w:eastAsia="仿宋" w:cs="Times New Roman"/>
          <w:color w:val="auto"/>
          <w:sz w:val="32"/>
          <w:szCs w:val="32"/>
          <w:highlight w:val="none"/>
          <w:lang w:val="en-US" w:eastAsia="zh-CN"/>
        </w:rPr>
        <w:t>各餐饮服务业、学校</w:t>
      </w:r>
      <w:r>
        <w:rPr>
          <w:rFonts w:hint="eastAsia" w:ascii="Times New Roman" w:hAnsi="Times New Roman" w:eastAsia="仿宋" w:cs="Times New Roman"/>
          <w:color w:val="auto"/>
          <w:sz w:val="32"/>
          <w:szCs w:val="32"/>
          <w:highlight w:val="none"/>
          <w:lang w:val="en-US" w:eastAsia="zh-CN"/>
        </w:rPr>
        <w:t>等</w:t>
      </w:r>
      <w:r>
        <w:rPr>
          <w:rFonts w:hint="default" w:ascii="Times New Roman" w:hAnsi="Times New Roman" w:eastAsia="仿宋" w:cs="Times New Roman"/>
          <w:color w:val="auto"/>
          <w:sz w:val="32"/>
          <w:szCs w:val="32"/>
          <w:highlight w:val="none"/>
          <w:lang w:val="en-US" w:eastAsia="zh-CN"/>
        </w:rPr>
        <w:t>单位协商签订《餐厨垃圾（泔水）收运处置协议》，统一免费配发餐厨垃圾专用密闭式垃圾桶，</w:t>
      </w:r>
      <w:r>
        <w:rPr>
          <w:rFonts w:hint="eastAsia" w:ascii="Times New Roman" w:hAnsi="Times New Roman" w:eastAsia="仿宋" w:cs="Times New Roman"/>
          <w:color w:val="auto"/>
          <w:sz w:val="32"/>
          <w:szCs w:val="32"/>
          <w:highlight w:val="none"/>
          <w:lang w:val="en-US" w:eastAsia="zh-CN"/>
        </w:rPr>
        <w:t>对餐厨垃圾</w:t>
      </w:r>
      <w:r>
        <w:rPr>
          <w:rFonts w:hint="default" w:ascii="Times New Roman" w:hAnsi="Times New Roman" w:eastAsia="仿宋" w:cs="Times New Roman"/>
          <w:color w:val="auto"/>
          <w:sz w:val="32"/>
          <w:szCs w:val="32"/>
          <w:highlight w:val="none"/>
          <w:lang w:val="en-US" w:eastAsia="zh-CN"/>
        </w:rPr>
        <w:t>统一收集运输处理。</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（2）分散式垃圾处理站</w:t>
      </w:r>
      <w:r>
        <w:rPr>
          <w:rFonts w:hint="eastAsia" w:ascii="Times New Roman" w:hAnsi="Times New Roman" w:eastAsia="仿宋" w:cs="Times New Roman"/>
          <w:color w:val="auto"/>
          <w:sz w:val="32"/>
          <w:szCs w:val="32"/>
          <w:highlight w:val="none"/>
          <w:lang w:val="en-US" w:eastAsia="zh-CN"/>
        </w:rPr>
        <w:t>（以下简称“垃圾站”）。5座垃圾站分别</w:t>
      </w:r>
      <w:r>
        <w:rPr>
          <w:rFonts w:hint="default" w:ascii="Times New Roman" w:hAnsi="Times New Roman" w:eastAsia="仿宋" w:cs="Times New Roman"/>
          <w:color w:val="auto"/>
          <w:sz w:val="32"/>
          <w:szCs w:val="32"/>
          <w:highlight w:val="none"/>
          <w:lang w:val="en-US" w:eastAsia="zh-CN"/>
        </w:rPr>
        <w:t>负责所</w:t>
      </w:r>
      <w:r>
        <w:rPr>
          <w:rFonts w:hint="eastAsia" w:ascii="Times New Roman" w:hAnsi="Times New Roman" w:eastAsia="仿宋" w:cs="Times New Roman"/>
          <w:color w:val="auto"/>
          <w:sz w:val="32"/>
          <w:szCs w:val="32"/>
          <w:highlight w:val="none"/>
          <w:lang w:val="en-US" w:eastAsia="zh-CN"/>
        </w:rPr>
        <w:t>在</w:t>
      </w:r>
      <w:r>
        <w:rPr>
          <w:rFonts w:hint="default" w:ascii="Times New Roman" w:hAnsi="Times New Roman" w:eastAsia="仿宋" w:cs="Times New Roman"/>
          <w:color w:val="auto"/>
          <w:sz w:val="32"/>
          <w:szCs w:val="32"/>
          <w:highlight w:val="none"/>
          <w:lang w:val="en-US" w:eastAsia="zh-CN"/>
        </w:rPr>
        <w:t>单位的餐厨垃圾收集与处理。</w:t>
      </w:r>
      <w:r>
        <w:rPr>
          <w:rFonts w:hint="eastAsia" w:ascii="Times New Roman" w:hAnsi="Times New Roman" w:eastAsia="仿宋" w:cs="Times New Roman"/>
          <w:color w:val="auto"/>
          <w:sz w:val="32"/>
          <w:szCs w:val="32"/>
          <w:highlight w:val="none"/>
          <w:lang w:val="en-US" w:eastAsia="zh-CN"/>
        </w:rPr>
        <w:t>配置</w:t>
      </w:r>
      <w:r>
        <w:rPr>
          <w:rFonts w:hint="default" w:ascii="Times New Roman" w:hAnsi="Times New Roman" w:eastAsia="仿宋" w:cs="Times New Roman"/>
          <w:color w:val="auto"/>
          <w:sz w:val="32"/>
          <w:szCs w:val="32"/>
          <w:highlight w:val="none"/>
          <w:lang w:val="en-US" w:eastAsia="zh-CN"/>
        </w:rPr>
        <w:t>16台</w:t>
      </w:r>
      <w:r>
        <w:rPr>
          <w:rFonts w:hint="eastAsia" w:ascii="Times New Roman" w:hAnsi="Times New Roman" w:eastAsia="仿宋" w:cs="Times New Roman"/>
          <w:color w:val="auto"/>
          <w:sz w:val="32"/>
          <w:szCs w:val="32"/>
          <w:highlight w:val="none"/>
          <w:lang w:val="en-US" w:eastAsia="zh-CN"/>
        </w:rPr>
        <w:t>餐厨垃圾处理</w:t>
      </w:r>
      <w:r>
        <w:rPr>
          <w:rFonts w:hint="default" w:ascii="Times New Roman" w:hAnsi="Times New Roman" w:eastAsia="仿宋" w:cs="Times New Roman"/>
          <w:color w:val="auto"/>
          <w:sz w:val="32"/>
          <w:szCs w:val="32"/>
          <w:highlight w:val="none"/>
          <w:lang w:val="en-US" w:eastAsia="zh-CN"/>
        </w:rPr>
        <w:t>设备。截至2021年12月底，5座</w:t>
      </w:r>
      <w:r>
        <w:rPr>
          <w:rFonts w:hint="eastAsia" w:ascii="Times New Roman" w:hAnsi="Times New Roman" w:eastAsia="仿宋" w:cs="Times New Roman"/>
          <w:color w:val="auto"/>
          <w:sz w:val="32"/>
          <w:szCs w:val="32"/>
          <w:highlight w:val="none"/>
          <w:lang w:val="en-US" w:eastAsia="zh-CN"/>
        </w:rPr>
        <w:t>垃圾站共有</w:t>
      </w:r>
      <w:r>
        <w:rPr>
          <w:rFonts w:hint="default" w:ascii="Times New Roman" w:hAnsi="Times New Roman" w:eastAsia="仿宋" w:cs="Times New Roman"/>
          <w:color w:val="auto"/>
          <w:sz w:val="32"/>
          <w:szCs w:val="32"/>
          <w:highlight w:val="none"/>
          <w:lang w:val="en-US" w:eastAsia="zh-CN"/>
        </w:rPr>
        <w:t>临聘人员</w:t>
      </w:r>
      <w:r>
        <w:rPr>
          <w:rFonts w:hint="eastAsia" w:ascii="Times New Roman" w:hAnsi="Times New Roman" w:eastAsia="仿宋" w:cs="Times New Roman"/>
          <w:color w:val="auto"/>
          <w:sz w:val="32"/>
          <w:szCs w:val="32"/>
          <w:highlight w:val="none"/>
          <w:lang w:val="en-US" w:eastAsia="zh-CN"/>
        </w:rPr>
        <w:t>8人</w:t>
      </w:r>
      <w:r>
        <w:rPr>
          <w:rFonts w:hint="default" w:ascii="Times New Roman" w:hAnsi="Times New Roman" w:eastAsia="仿宋" w:cs="Times New Roman"/>
          <w:color w:val="auto"/>
          <w:sz w:val="32"/>
          <w:szCs w:val="32"/>
          <w:highlight w:val="none"/>
          <w:lang w:val="en-US" w:eastAsia="zh-CN"/>
        </w:rPr>
        <w:t>。</w:t>
      </w:r>
      <w:r>
        <w:rPr>
          <w:rFonts w:hint="eastAsia" w:ascii="Times New Roman" w:hAnsi="Times New Roman" w:eastAsia="仿宋" w:cs="Times New Roman"/>
          <w:color w:val="auto"/>
          <w:sz w:val="32"/>
          <w:szCs w:val="32"/>
          <w:highlight w:val="none"/>
          <w:lang w:val="en-US" w:eastAsia="zh-CN"/>
        </w:rPr>
        <w:t>运行经费按7.5个月核算。</w:t>
      </w:r>
    </w:p>
    <w:p>
      <w:pPr>
        <w:keepNext w:val="0"/>
        <w:keepLines w:val="0"/>
        <w:pageBreakBefore w:val="0"/>
        <w:widowControl w:val="0"/>
        <w:kinsoku/>
        <w:wordWrap/>
        <w:overflowPunct/>
        <w:topLinePunct w:val="0"/>
        <w:autoSpaceDE/>
        <w:autoSpaceDN/>
        <w:bidi w:val="0"/>
        <w:adjustRightInd/>
        <w:snapToGrid/>
        <w:spacing w:line="580" w:lineRule="exact"/>
        <w:ind w:firstLine="646"/>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（3）城乡生活垃圾转运站</w:t>
      </w:r>
      <w:r>
        <w:rPr>
          <w:rFonts w:hint="eastAsia" w:ascii="Times New Roman" w:hAnsi="Times New Roman" w:eastAsia="仿宋" w:cs="Times New Roman"/>
          <w:color w:val="auto"/>
          <w:sz w:val="32"/>
          <w:szCs w:val="32"/>
          <w:highlight w:val="none"/>
          <w:lang w:val="en-US" w:eastAsia="zh-CN"/>
        </w:rPr>
        <w:t>（以下简称“转运站”）。</w:t>
      </w:r>
      <w:r>
        <w:rPr>
          <w:rFonts w:hint="default" w:ascii="Times New Roman" w:hAnsi="Times New Roman" w:eastAsia="仿宋" w:cs="Times New Roman"/>
          <w:color w:val="auto"/>
          <w:sz w:val="32"/>
          <w:szCs w:val="32"/>
          <w:highlight w:val="none"/>
          <w:lang w:val="en-US" w:eastAsia="zh-CN"/>
        </w:rPr>
        <w:t>2021年7月正式投入运</w:t>
      </w:r>
      <w:r>
        <w:rPr>
          <w:rFonts w:hint="eastAsia" w:ascii="Times New Roman" w:hAnsi="Times New Roman" w:eastAsia="仿宋" w:cs="Times New Roman"/>
          <w:color w:val="auto"/>
          <w:sz w:val="32"/>
          <w:szCs w:val="32"/>
          <w:highlight w:val="none"/>
          <w:lang w:val="en-US" w:eastAsia="zh-CN"/>
        </w:rPr>
        <w:t>营</w:t>
      </w:r>
      <w:r>
        <w:rPr>
          <w:rFonts w:hint="default" w:ascii="Times New Roman" w:hAnsi="Times New Roman" w:eastAsia="仿宋" w:cs="Times New Roman"/>
          <w:color w:val="auto"/>
          <w:sz w:val="32"/>
          <w:szCs w:val="32"/>
          <w:highlight w:val="none"/>
          <w:lang w:val="en-US" w:eastAsia="zh-CN"/>
        </w:rPr>
        <w:t>，</w:t>
      </w:r>
      <w:r>
        <w:rPr>
          <w:rFonts w:hint="eastAsia" w:ascii="Times New Roman" w:hAnsi="Times New Roman" w:eastAsia="仿宋" w:cs="Times New Roman"/>
          <w:color w:val="auto"/>
          <w:sz w:val="32"/>
          <w:szCs w:val="32"/>
          <w:highlight w:val="none"/>
          <w:lang w:val="en-US" w:eastAsia="zh-CN"/>
        </w:rPr>
        <w:t>运行经费按6个月核算。</w:t>
      </w:r>
      <w:r>
        <w:rPr>
          <w:rFonts w:hint="default" w:ascii="Times New Roman" w:hAnsi="Times New Roman" w:eastAsia="仿宋" w:cs="Times New Roman"/>
          <w:color w:val="auto"/>
          <w:sz w:val="32"/>
          <w:szCs w:val="32"/>
          <w:highlight w:val="none"/>
          <w:lang w:val="en-US" w:eastAsia="zh-CN"/>
        </w:rPr>
        <w:t>配套大型转运车辆3台，转运箱桶7个。截至2021年12月底，该转运站</w:t>
      </w:r>
      <w:r>
        <w:rPr>
          <w:rFonts w:hint="eastAsia" w:ascii="Times New Roman" w:hAnsi="Times New Roman" w:eastAsia="仿宋" w:cs="Times New Roman"/>
          <w:color w:val="auto"/>
          <w:sz w:val="32"/>
          <w:szCs w:val="32"/>
          <w:highlight w:val="none"/>
          <w:lang w:val="en-US" w:eastAsia="zh-CN"/>
        </w:rPr>
        <w:t>在编人员2人，</w:t>
      </w:r>
      <w:r>
        <w:rPr>
          <w:rFonts w:hint="default" w:ascii="Times New Roman" w:hAnsi="Times New Roman" w:eastAsia="仿宋" w:cs="Times New Roman"/>
          <w:color w:val="auto"/>
          <w:sz w:val="32"/>
          <w:szCs w:val="32"/>
          <w:highlight w:val="none"/>
          <w:lang w:val="en-US" w:eastAsia="zh-CN"/>
        </w:rPr>
        <w:t>临聘人员10</w:t>
      </w:r>
      <w:r>
        <w:rPr>
          <w:rFonts w:hint="eastAsia" w:ascii="Times New Roman" w:hAnsi="Times New Roman" w:eastAsia="仿宋" w:cs="Times New Roman"/>
          <w:color w:val="auto"/>
          <w:sz w:val="32"/>
          <w:szCs w:val="32"/>
          <w:highlight w:val="none"/>
          <w:lang w:val="en-US" w:eastAsia="zh-CN"/>
        </w:rPr>
        <w:t>人</w:t>
      </w:r>
      <w:r>
        <w:rPr>
          <w:rFonts w:hint="default" w:ascii="Times New Roman" w:hAnsi="Times New Roman" w:eastAsia="仿宋" w:cs="Times New Roman"/>
          <w:color w:val="auto"/>
          <w:sz w:val="32"/>
          <w:szCs w:val="32"/>
          <w:highlight w:val="none"/>
          <w:lang w:val="en-US" w:eastAsia="zh-CN"/>
        </w:rPr>
        <w:t>。转运站启用全程电脑数控、自动机械化作业方式，对进入站内的生活垃圾进行除臭、压缩、气味过滤等一系列作业程序后装入专用垃圾运输车，</w:t>
      </w:r>
      <w:r>
        <w:rPr>
          <w:rFonts w:hint="eastAsia" w:ascii="Times New Roman" w:hAnsi="Times New Roman" w:eastAsia="仿宋" w:cs="Times New Roman"/>
          <w:color w:val="auto"/>
          <w:sz w:val="32"/>
          <w:szCs w:val="32"/>
          <w:highlight w:val="none"/>
          <w:lang w:val="en-US" w:eastAsia="zh-CN"/>
        </w:rPr>
        <w:t>转运至</w:t>
      </w:r>
      <w:r>
        <w:rPr>
          <w:rFonts w:hint="default" w:ascii="Times New Roman" w:hAnsi="Times New Roman" w:eastAsia="仿宋" w:cs="Times New Roman"/>
          <w:color w:val="auto"/>
          <w:sz w:val="32"/>
          <w:szCs w:val="32"/>
          <w:highlight w:val="none"/>
          <w:lang w:val="en-US" w:eastAsia="zh-CN"/>
        </w:rPr>
        <w:t>澧县生活垃圾焚烧厂进行焚烧处理。</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5</w:t>
      </w:r>
      <w:r>
        <w:rPr>
          <w:rFonts w:hint="default" w:ascii="Times New Roman" w:hAnsi="Times New Roman" w:eastAsia="仿宋" w:cs="Times New Roman"/>
          <w:color w:val="auto"/>
          <w:sz w:val="32"/>
          <w:szCs w:val="32"/>
          <w:highlight w:val="none"/>
        </w:rPr>
        <w:t>.资金投入和使用情况</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（1）资金投入情况</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lang w:val="en-US" w:eastAsia="zh-CN"/>
        </w:rPr>
        <w:t>2021年，</w:t>
      </w:r>
      <w:r>
        <w:rPr>
          <w:rFonts w:hint="eastAsia" w:ascii="Times New Roman" w:hAnsi="Times New Roman" w:eastAsia="仿宋" w:cs="Times New Roman"/>
          <w:color w:val="auto"/>
          <w:sz w:val="32"/>
          <w:szCs w:val="32"/>
          <w:highlight w:val="none"/>
          <w:lang w:val="en-US" w:eastAsia="zh-CN"/>
        </w:rPr>
        <w:t>该项目年初</w:t>
      </w:r>
      <w:r>
        <w:rPr>
          <w:rFonts w:hint="default" w:ascii="Times New Roman" w:hAnsi="Times New Roman" w:eastAsia="仿宋" w:cs="Times New Roman"/>
          <w:color w:val="auto"/>
          <w:sz w:val="32"/>
          <w:szCs w:val="32"/>
          <w:highlight w:val="none"/>
          <w:lang w:val="en-US" w:eastAsia="zh-CN"/>
        </w:rPr>
        <w:t>预算491.8万元，</w:t>
      </w:r>
      <w:r>
        <w:rPr>
          <w:rFonts w:hint="eastAsia" w:ascii="Times New Roman" w:hAnsi="Times New Roman" w:eastAsia="仿宋" w:cs="Times New Roman"/>
          <w:color w:val="auto"/>
          <w:sz w:val="32"/>
          <w:szCs w:val="32"/>
          <w:highlight w:val="none"/>
          <w:lang w:val="en-US" w:eastAsia="zh-CN"/>
        </w:rPr>
        <w:t>根据项目运行时间，应到位216.57万元，实际到位</w:t>
      </w:r>
      <w:r>
        <w:rPr>
          <w:rFonts w:hint="default" w:ascii="Times New Roman" w:hAnsi="Times New Roman" w:eastAsia="仿宋" w:cs="Times New Roman"/>
          <w:color w:val="auto"/>
          <w:sz w:val="32"/>
          <w:szCs w:val="32"/>
          <w:highlight w:val="none"/>
          <w:lang w:val="en-US" w:eastAsia="zh-CN"/>
        </w:rPr>
        <w:t>21</w:t>
      </w:r>
      <w:r>
        <w:rPr>
          <w:rFonts w:hint="eastAsia" w:ascii="Times New Roman" w:hAnsi="Times New Roman" w:eastAsia="仿宋" w:cs="Times New Roman"/>
          <w:color w:val="auto"/>
          <w:sz w:val="32"/>
          <w:szCs w:val="32"/>
          <w:highlight w:val="none"/>
          <w:lang w:val="en-US" w:eastAsia="zh-CN"/>
        </w:rPr>
        <w:t>6</w:t>
      </w:r>
      <w:r>
        <w:rPr>
          <w:rFonts w:hint="default" w:ascii="Times New Roman" w:hAnsi="Times New Roman" w:eastAsia="仿宋" w:cs="Times New Roman"/>
          <w:color w:val="auto"/>
          <w:sz w:val="32"/>
          <w:szCs w:val="32"/>
          <w:highlight w:val="none"/>
          <w:lang w:val="en-US" w:eastAsia="zh-CN"/>
        </w:rPr>
        <w:t>.57万元。</w:t>
      </w:r>
    </w:p>
    <w:p>
      <w:pPr>
        <w:numPr>
          <w:ilvl w:val="0"/>
          <w:numId w:val="1"/>
        </w:num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资金使用情况。</w:t>
      </w:r>
      <w:r>
        <w:rPr>
          <w:rFonts w:hint="default" w:ascii="Times New Roman" w:hAnsi="Times New Roman" w:eastAsia="仿宋" w:cs="Times New Roman"/>
          <w:color w:val="auto"/>
          <w:sz w:val="32"/>
          <w:szCs w:val="32"/>
          <w:highlight w:val="none"/>
          <w:lang w:val="en-US" w:eastAsia="zh-CN"/>
        </w:rPr>
        <w:t>202</w:t>
      </w: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lang w:val="en-US" w:eastAsia="zh-CN"/>
        </w:rPr>
        <w:t>年</w:t>
      </w:r>
      <w:r>
        <w:rPr>
          <w:rFonts w:hint="eastAsia" w:ascii="Times New Roman" w:hAnsi="Times New Roman" w:eastAsia="仿宋" w:cs="Times New Roman"/>
          <w:color w:val="auto"/>
          <w:sz w:val="32"/>
          <w:szCs w:val="32"/>
          <w:highlight w:val="none"/>
          <w:lang w:val="en-US" w:eastAsia="zh-CN"/>
        </w:rPr>
        <w:t>，指标使用216.57万元，经审核调整后的实际</w:t>
      </w:r>
      <w:r>
        <w:rPr>
          <w:rFonts w:hint="default" w:ascii="Times New Roman" w:hAnsi="Times New Roman" w:eastAsia="仿宋" w:cs="Times New Roman"/>
          <w:color w:val="auto"/>
          <w:sz w:val="32"/>
          <w:szCs w:val="32"/>
          <w:highlight w:val="none"/>
          <w:lang w:val="en-US" w:eastAsia="zh-CN"/>
        </w:rPr>
        <w:t>支出</w:t>
      </w:r>
      <w:r>
        <w:rPr>
          <w:rFonts w:hint="eastAsia" w:ascii="Times New Roman" w:hAnsi="Times New Roman" w:eastAsia="仿宋" w:cs="Times New Roman"/>
          <w:color w:val="auto"/>
          <w:sz w:val="32"/>
          <w:szCs w:val="32"/>
          <w:highlight w:val="none"/>
          <w:lang w:val="en-US" w:eastAsia="zh-CN"/>
        </w:rPr>
        <w:t>198.1</w:t>
      </w:r>
      <w:r>
        <w:rPr>
          <w:rFonts w:hint="default" w:ascii="Times New Roman" w:hAnsi="Times New Roman" w:eastAsia="仿宋" w:cs="Times New Roman"/>
          <w:color w:val="auto"/>
          <w:sz w:val="32"/>
          <w:szCs w:val="32"/>
          <w:highlight w:val="none"/>
          <w:lang w:val="en-US" w:eastAsia="zh-CN"/>
        </w:rPr>
        <w:t>万元，其中</w:t>
      </w:r>
      <w:r>
        <w:rPr>
          <w:rFonts w:hint="eastAsia" w:ascii="Times New Roman" w:hAnsi="Times New Roman" w:eastAsia="仿宋" w:cs="Times New Roman"/>
          <w:color w:val="auto"/>
          <w:sz w:val="32"/>
          <w:szCs w:val="32"/>
          <w:highlight w:val="none"/>
          <w:lang w:val="en-US" w:eastAsia="zh-CN"/>
        </w:rPr>
        <w:t>餐厨中心经费109.2</w:t>
      </w: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lang w:val="en-US" w:eastAsia="zh-CN"/>
        </w:rPr>
        <w:t>万元、转运</w:t>
      </w:r>
      <w:r>
        <w:rPr>
          <w:rFonts w:hint="eastAsia" w:ascii="Times New Roman" w:hAnsi="Times New Roman" w:eastAsia="仿宋" w:cs="Times New Roman"/>
          <w:color w:val="auto"/>
          <w:sz w:val="32"/>
          <w:szCs w:val="32"/>
          <w:highlight w:val="none"/>
          <w:lang w:val="en-US" w:eastAsia="zh-CN"/>
        </w:rPr>
        <w:t>站经费74.5</w:t>
      </w:r>
      <w:r>
        <w:rPr>
          <w:rFonts w:hint="default" w:ascii="Times New Roman" w:hAnsi="Times New Roman" w:eastAsia="仿宋" w:cs="Times New Roman"/>
          <w:color w:val="auto"/>
          <w:sz w:val="32"/>
          <w:szCs w:val="32"/>
          <w:highlight w:val="none"/>
          <w:lang w:val="en-US" w:eastAsia="zh-CN"/>
        </w:rPr>
        <w:t>万元、</w:t>
      </w:r>
      <w:r>
        <w:rPr>
          <w:rFonts w:hint="eastAsia" w:ascii="Times New Roman" w:hAnsi="Times New Roman" w:eastAsia="仿宋" w:cs="Times New Roman"/>
          <w:color w:val="auto"/>
          <w:sz w:val="32"/>
          <w:szCs w:val="32"/>
          <w:highlight w:val="none"/>
          <w:lang w:val="en-US" w:eastAsia="zh-CN"/>
        </w:rPr>
        <w:t>垃圾站经费14.3</w:t>
      </w:r>
      <w:r>
        <w:rPr>
          <w:rFonts w:hint="eastAsia" w:ascii="Times New Roman" w:hAnsi="Times New Roman" w:eastAsia="仿宋" w:cs="Times New Roman"/>
          <w:color w:val="auto"/>
          <w:sz w:val="32"/>
          <w:szCs w:val="32"/>
          <w:highlight w:val="none"/>
          <w:lang w:val="en-US" w:eastAsia="zh-CN"/>
        </w:rPr>
        <w:t>9</w:t>
      </w:r>
      <w:r>
        <w:rPr>
          <w:rFonts w:hint="default" w:ascii="Times New Roman" w:hAnsi="Times New Roman" w:eastAsia="仿宋" w:cs="Times New Roman"/>
          <w:color w:val="auto"/>
          <w:sz w:val="32"/>
          <w:szCs w:val="32"/>
          <w:highlight w:val="none"/>
          <w:lang w:val="en-US" w:eastAsia="zh-CN"/>
        </w:rPr>
        <w:t>万元</w:t>
      </w:r>
      <w:r>
        <w:rPr>
          <w:rFonts w:hint="eastAsia" w:ascii="Times New Roman" w:hAnsi="Times New Roman" w:eastAsia="仿宋" w:cs="Times New Roman"/>
          <w:color w:val="auto"/>
          <w:sz w:val="32"/>
          <w:szCs w:val="32"/>
          <w:highlight w:val="none"/>
          <w:lang w:val="en-US" w:eastAsia="zh-CN"/>
        </w:rPr>
        <w:t>。结余18.47万元。结余资金用于预付除臭药剂货款、水电费、油费。</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支出明细</w:t>
      </w:r>
      <w:r>
        <w:rPr>
          <w:rFonts w:hint="default" w:ascii="Times New Roman" w:hAnsi="Times New Roman" w:eastAsia="仿宋" w:cs="Times New Roman"/>
          <w:color w:val="auto"/>
          <w:sz w:val="32"/>
          <w:szCs w:val="32"/>
          <w:highlight w:val="none"/>
          <w:lang w:val="en-US" w:eastAsia="zh-CN"/>
        </w:rPr>
        <w:t>详见附件</w:t>
      </w: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lang w:val="en-US" w:eastAsia="zh-CN"/>
        </w:rPr>
        <w:t>。</w:t>
      </w:r>
    </w:p>
    <w:p>
      <w:pPr>
        <w:widowControl/>
        <w:spacing w:line="600" w:lineRule="exact"/>
        <w:ind w:firstLine="618" w:firstLineChars="200"/>
        <w:rPr>
          <w:rFonts w:hint="default" w:ascii="Times New Roman" w:hAnsi="Times New Roman" w:eastAsia="楷体" w:cs="Times New Roman"/>
          <w:color w:val="auto"/>
          <w:kern w:val="0"/>
          <w:sz w:val="32"/>
          <w:szCs w:val="32"/>
          <w:highlight w:val="none"/>
        </w:rPr>
      </w:pPr>
      <w:r>
        <w:rPr>
          <w:rFonts w:hint="default" w:ascii="Times New Roman" w:hAnsi="Times New Roman" w:eastAsia="楷体" w:cs="Times New Roman"/>
          <w:color w:val="auto"/>
          <w:kern w:val="0"/>
          <w:sz w:val="32"/>
          <w:szCs w:val="32"/>
          <w:highlight w:val="none"/>
        </w:rPr>
        <w:t>（二）项目绩效目标</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1.项目总目标</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通过实施本项目</w:t>
      </w:r>
      <w:r>
        <w:rPr>
          <w:rFonts w:hint="default" w:ascii="Times New Roman" w:hAnsi="Times New Roman" w:eastAsia="仿宋" w:cs="Times New Roman"/>
          <w:color w:val="auto"/>
          <w:sz w:val="32"/>
          <w:szCs w:val="32"/>
          <w:highlight w:val="none"/>
          <w:lang w:val="en-US" w:eastAsia="zh-CN"/>
        </w:rPr>
        <w:t>，</w:t>
      </w:r>
      <w:r>
        <w:rPr>
          <w:rFonts w:hint="eastAsia" w:ascii="Times New Roman" w:hAnsi="Times New Roman" w:eastAsia="仿宋" w:cs="Times New Roman"/>
          <w:color w:val="auto"/>
          <w:sz w:val="32"/>
          <w:szCs w:val="32"/>
          <w:highlight w:val="none"/>
          <w:lang w:val="en-US" w:eastAsia="zh-CN"/>
        </w:rPr>
        <w:t>实现对餐厨垃圾进行规范化</w:t>
      </w:r>
      <w:r>
        <w:rPr>
          <w:rFonts w:hint="default" w:ascii="Times New Roman" w:hAnsi="Times New Roman" w:eastAsia="仿宋" w:cs="Times New Roman"/>
          <w:color w:val="auto"/>
          <w:sz w:val="32"/>
          <w:szCs w:val="32"/>
          <w:highlight w:val="none"/>
          <w:lang w:val="en-US" w:eastAsia="zh-CN"/>
        </w:rPr>
        <w:t>收集、处理，有效避免泔水外流，改善环境卫生，保障</w:t>
      </w:r>
      <w:r>
        <w:rPr>
          <w:rFonts w:hint="eastAsia" w:ascii="Times New Roman" w:hAnsi="Times New Roman" w:eastAsia="仿宋" w:cs="Times New Roman"/>
          <w:color w:val="auto"/>
          <w:sz w:val="32"/>
          <w:szCs w:val="32"/>
          <w:highlight w:val="none"/>
          <w:lang w:val="en-US" w:eastAsia="zh-CN"/>
        </w:rPr>
        <w:t>津</w:t>
      </w:r>
      <w:r>
        <w:rPr>
          <w:rFonts w:hint="default" w:ascii="Times New Roman" w:hAnsi="Times New Roman" w:eastAsia="仿宋" w:cs="Times New Roman"/>
          <w:color w:val="auto"/>
          <w:sz w:val="32"/>
          <w:szCs w:val="32"/>
          <w:highlight w:val="none"/>
          <w:lang w:val="en-US" w:eastAsia="zh-CN"/>
        </w:rPr>
        <w:t>市</w:t>
      </w:r>
      <w:r>
        <w:rPr>
          <w:rFonts w:hint="eastAsia" w:ascii="Times New Roman" w:hAnsi="Times New Roman" w:eastAsia="仿宋" w:cs="Times New Roman"/>
          <w:color w:val="auto"/>
          <w:sz w:val="32"/>
          <w:szCs w:val="32"/>
          <w:highlight w:val="none"/>
          <w:lang w:val="en-US" w:eastAsia="zh-CN"/>
        </w:rPr>
        <w:t>市</w:t>
      </w:r>
      <w:r>
        <w:rPr>
          <w:rFonts w:hint="default" w:ascii="Times New Roman" w:hAnsi="Times New Roman" w:eastAsia="仿宋" w:cs="Times New Roman"/>
          <w:color w:val="auto"/>
          <w:sz w:val="32"/>
          <w:szCs w:val="32"/>
          <w:highlight w:val="none"/>
          <w:lang w:val="en-US" w:eastAsia="zh-CN"/>
        </w:rPr>
        <w:t>人民食品卫生安全；实现</w:t>
      </w:r>
      <w:r>
        <w:rPr>
          <w:rFonts w:hint="eastAsia" w:ascii="Times New Roman" w:hAnsi="Times New Roman" w:eastAsia="仿宋" w:cs="Times New Roman"/>
          <w:color w:val="auto"/>
          <w:sz w:val="32"/>
          <w:szCs w:val="32"/>
          <w:highlight w:val="none"/>
          <w:lang w:val="en-US" w:eastAsia="zh-CN"/>
        </w:rPr>
        <w:t>城乡</w:t>
      </w:r>
      <w:r>
        <w:rPr>
          <w:rFonts w:hint="default" w:ascii="Times New Roman" w:hAnsi="Times New Roman" w:eastAsia="仿宋" w:cs="Times New Roman"/>
          <w:color w:val="auto"/>
          <w:sz w:val="32"/>
          <w:szCs w:val="32"/>
          <w:highlight w:val="none"/>
          <w:lang w:val="en-US" w:eastAsia="zh-CN"/>
        </w:rPr>
        <w:t>生活垃圾</w:t>
      </w:r>
      <w:r>
        <w:rPr>
          <w:rFonts w:hint="eastAsia" w:ascii="Times New Roman" w:hAnsi="Times New Roman" w:eastAsia="仿宋" w:cs="Times New Roman"/>
          <w:color w:val="auto"/>
          <w:sz w:val="32"/>
          <w:szCs w:val="32"/>
          <w:highlight w:val="none"/>
          <w:lang w:val="en-US" w:eastAsia="zh-CN"/>
        </w:rPr>
        <w:t>焚烧处理</w:t>
      </w:r>
      <w:r>
        <w:rPr>
          <w:rFonts w:hint="default" w:ascii="Times New Roman" w:hAnsi="Times New Roman" w:eastAsia="仿宋" w:cs="Times New Roman"/>
          <w:color w:val="auto"/>
          <w:sz w:val="32"/>
          <w:szCs w:val="32"/>
          <w:highlight w:val="none"/>
          <w:lang w:val="en-US" w:eastAsia="zh-CN"/>
        </w:rPr>
        <w:t>，有利于节约</w:t>
      </w:r>
      <w:r>
        <w:rPr>
          <w:rFonts w:hint="eastAsia" w:ascii="Times New Roman" w:hAnsi="Times New Roman" w:eastAsia="仿宋" w:cs="Times New Roman"/>
          <w:color w:val="auto"/>
          <w:sz w:val="32"/>
          <w:szCs w:val="32"/>
          <w:highlight w:val="none"/>
          <w:lang w:val="en-US" w:eastAsia="zh-CN"/>
        </w:rPr>
        <w:t>土地</w:t>
      </w:r>
      <w:r>
        <w:rPr>
          <w:rFonts w:hint="default" w:ascii="Times New Roman" w:hAnsi="Times New Roman" w:eastAsia="仿宋" w:cs="Times New Roman"/>
          <w:color w:val="auto"/>
          <w:sz w:val="32"/>
          <w:szCs w:val="32"/>
          <w:highlight w:val="none"/>
          <w:lang w:val="en-US" w:eastAsia="zh-CN"/>
        </w:rPr>
        <w:t>资源，</w:t>
      </w:r>
      <w:r>
        <w:rPr>
          <w:rFonts w:hint="eastAsia" w:ascii="Times New Roman" w:hAnsi="Times New Roman" w:eastAsia="仿宋" w:cs="Times New Roman"/>
          <w:color w:val="auto"/>
          <w:sz w:val="32"/>
          <w:szCs w:val="32"/>
          <w:highlight w:val="none"/>
          <w:lang w:val="en-US" w:eastAsia="zh-CN"/>
        </w:rPr>
        <w:t>减少土地污染，改善津市市</w:t>
      </w:r>
      <w:r>
        <w:rPr>
          <w:rFonts w:hint="default" w:ascii="Times New Roman" w:hAnsi="Times New Roman" w:eastAsia="仿宋" w:cs="Times New Roman"/>
          <w:color w:val="auto"/>
          <w:sz w:val="32"/>
          <w:szCs w:val="32"/>
          <w:highlight w:val="none"/>
          <w:lang w:val="en-US" w:eastAsia="zh-CN"/>
        </w:rPr>
        <w:t>生态环境。</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2.年度</w:t>
      </w:r>
      <w:r>
        <w:rPr>
          <w:rFonts w:hint="eastAsia" w:ascii="Times New Roman" w:hAnsi="Times New Roman" w:eastAsia="仿宋" w:cs="Times New Roman"/>
          <w:color w:val="auto"/>
          <w:sz w:val="32"/>
          <w:szCs w:val="32"/>
          <w:highlight w:val="none"/>
          <w:lang w:val="en-US" w:eastAsia="zh-CN"/>
        </w:rPr>
        <w:t>主要绩效</w:t>
      </w:r>
      <w:r>
        <w:rPr>
          <w:rFonts w:hint="default" w:ascii="Times New Roman" w:hAnsi="Times New Roman" w:eastAsia="仿宋" w:cs="Times New Roman"/>
          <w:color w:val="auto"/>
          <w:sz w:val="32"/>
          <w:szCs w:val="32"/>
          <w:highlight w:val="none"/>
        </w:rPr>
        <w:t>目标</w:t>
      </w:r>
    </w:p>
    <w:p>
      <w:pPr>
        <w:widowControl/>
        <w:spacing w:line="600" w:lineRule="exact"/>
        <w:ind w:firstLine="618" w:firstLineChars="200"/>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color w:val="auto"/>
          <w:sz w:val="32"/>
          <w:szCs w:val="32"/>
          <w:highlight w:val="none"/>
        </w:rPr>
        <w:t>（1）数量指标：泔水收集点城区612家</w:t>
      </w:r>
      <w:r>
        <w:rPr>
          <w:rFonts w:hint="default" w:ascii="Times New Roman" w:hAnsi="Times New Roman" w:eastAsia="仿宋" w:cs="Times New Roman"/>
          <w:color w:val="auto"/>
          <w:sz w:val="32"/>
          <w:szCs w:val="32"/>
          <w:highlight w:val="none"/>
          <w:lang w:eastAsia="zh-CN"/>
        </w:rPr>
        <w:t>；发放泔水收集桶1</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eastAsia="zh-CN"/>
        </w:rPr>
        <w:t>600个；餐厨垃圾</w:t>
      </w:r>
      <w:r>
        <w:rPr>
          <w:rFonts w:hint="eastAsia" w:ascii="Times New Roman" w:hAnsi="Times New Roman" w:eastAsia="仿宋" w:cs="Times New Roman"/>
          <w:color w:val="auto"/>
          <w:sz w:val="32"/>
          <w:szCs w:val="32"/>
          <w:highlight w:val="none"/>
          <w:lang w:val="en-US" w:eastAsia="zh-CN"/>
        </w:rPr>
        <w:t>处理量</w:t>
      </w:r>
      <w:r>
        <w:rPr>
          <w:rFonts w:hint="default" w:ascii="Times New Roman" w:hAnsi="Times New Roman" w:eastAsia="仿宋" w:cs="Times New Roman"/>
          <w:color w:val="auto"/>
          <w:sz w:val="32"/>
          <w:szCs w:val="32"/>
          <w:highlight w:val="none"/>
          <w:lang w:eastAsia="zh-CN"/>
        </w:rPr>
        <w:t>4</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eastAsia="zh-CN"/>
        </w:rPr>
        <w:t>700吨以上</w:t>
      </w:r>
      <w:r>
        <w:rPr>
          <w:rFonts w:hint="eastAsia" w:ascii="Times New Roman" w:hAnsi="Times New Roman" w:eastAsia="仿宋" w:cs="Times New Roman"/>
          <w:color w:val="auto"/>
          <w:sz w:val="32"/>
          <w:szCs w:val="32"/>
          <w:highlight w:val="none"/>
          <w:lang w:eastAsia="zh-CN"/>
        </w:rPr>
        <w:t>，餐厨中心</w:t>
      </w:r>
      <w:r>
        <w:rPr>
          <w:rFonts w:hint="default" w:ascii="Times New Roman" w:hAnsi="Times New Roman" w:eastAsia="仿宋" w:cs="Times New Roman"/>
          <w:color w:val="auto"/>
          <w:sz w:val="32"/>
          <w:szCs w:val="32"/>
          <w:highlight w:val="none"/>
          <w:lang w:eastAsia="zh-CN"/>
        </w:rPr>
        <w:t>日处理能力20吨，5座</w:t>
      </w:r>
      <w:r>
        <w:rPr>
          <w:rFonts w:hint="eastAsia" w:ascii="Times New Roman" w:hAnsi="Times New Roman" w:eastAsia="仿宋" w:cs="Times New Roman"/>
          <w:color w:val="auto"/>
          <w:sz w:val="32"/>
          <w:szCs w:val="32"/>
          <w:highlight w:val="none"/>
          <w:lang w:eastAsia="zh-CN"/>
        </w:rPr>
        <w:t>垃圾站</w:t>
      </w:r>
      <w:r>
        <w:rPr>
          <w:rFonts w:hint="default" w:ascii="Times New Roman" w:hAnsi="Times New Roman" w:eastAsia="仿宋" w:cs="Times New Roman"/>
          <w:color w:val="auto"/>
          <w:sz w:val="32"/>
          <w:szCs w:val="32"/>
          <w:highlight w:val="none"/>
          <w:lang w:eastAsia="zh-CN"/>
        </w:rPr>
        <w:t>日处理能力0.75吨；转运</w:t>
      </w:r>
      <w:r>
        <w:rPr>
          <w:rFonts w:hint="eastAsia" w:ascii="Times New Roman" w:hAnsi="Times New Roman" w:eastAsia="仿宋" w:cs="Times New Roman"/>
          <w:color w:val="auto"/>
          <w:sz w:val="32"/>
          <w:szCs w:val="32"/>
          <w:highlight w:val="none"/>
          <w:lang w:val="en-US" w:eastAsia="zh-CN"/>
        </w:rPr>
        <w:t>城乡</w:t>
      </w:r>
      <w:r>
        <w:rPr>
          <w:rFonts w:hint="default" w:ascii="Times New Roman" w:hAnsi="Times New Roman" w:eastAsia="仿宋" w:cs="Times New Roman"/>
          <w:color w:val="auto"/>
          <w:sz w:val="32"/>
          <w:szCs w:val="32"/>
          <w:highlight w:val="none"/>
          <w:lang w:eastAsia="zh-CN"/>
        </w:rPr>
        <w:t>生活垃圾</w:t>
      </w:r>
      <w:r>
        <w:rPr>
          <w:rFonts w:hint="eastAsia" w:ascii="Times New Roman" w:hAnsi="Times New Roman" w:eastAsia="仿宋" w:cs="Times New Roman"/>
          <w:color w:val="auto"/>
          <w:sz w:val="32"/>
          <w:szCs w:val="32"/>
          <w:highlight w:val="none"/>
          <w:lang w:val="en-US" w:eastAsia="zh-CN"/>
        </w:rPr>
        <w:t>约</w:t>
      </w:r>
      <w:r>
        <w:rPr>
          <w:rFonts w:hint="default" w:ascii="Times New Roman" w:hAnsi="Times New Roman" w:eastAsia="仿宋" w:cs="Times New Roman"/>
          <w:color w:val="auto"/>
          <w:sz w:val="32"/>
          <w:szCs w:val="32"/>
          <w:highlight w:val="none"/>
          <w:lang w:eastAsia="zh-CN"/>
        </w:rPr>
        <w:t>24</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eastAsia="zh-CN"/>
        </w:rPr>
        <w:t>000吨</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lang w:eastAsia="zh-CN"/>
        </w:rPr>
        <w:t>转运站日处理</w:t>
      </w:r>
      <w:r>
        <w:rPr>
          <w:rFonts w:hint="eastAsia" w:ascii="Times New Roman" w:hAnsi="Times New Roman" w:eastAsia="仿宋" w:cs="Times New Roman"/>
          <w:color w:val="auto"/>
          <w:sz w:val="32"/>
          <w:szCs w:val="32"/>
          <w:highlight w:val="none"/>
          <w:lang w:val="en-US" w:eastAsia="zh-CN"/>
        </w:rPr>
        <w:t>能力</w:t>
      </w:r>
      <w:r>
        <w:rPr>
          <w:rFonts w:hint="default" w:ascii="Times New Roman" w:hAnsi="Times New Roman" w:eastAsia="仿宋" w:cs="Times New Roman"/>
          <w:color w:val="auto"/>
          <w:sz w:val="32"/>
          <w:szCs w:val="32"/>
          <w:highlight w:val="none"/>
          <w:lang w:eastAsia="zh-CN"/>
        </w:rPr>
        <w:t>130吨；维护餐厨垃圾收运车辆6台、转运站转运车辆3台</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餐厨垃圾处理</w:t>
      </w:r>
      <w:r>
        <w:rPr>
          <w:rFonts w:hint="default" w:ascii="Times New Roman" w:hAnsi="Times New Roman" w:eastAsia="仿宋" w:cs="Times New Roman"/>
          <w:color w:val="auto"/>
          <w:sz w:val="32"/>
          <w:szCs w:val="32"/>
          <w:highlight w:val="none"/>
          <w:lang w:eastAsia="zh-CN"/>
        </w:rPr>
        <w:t>设备16台。</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（2）质量指标：</w:t>
      </w:r>
      <w:r>
        <w:rPr>
          <w:rFonts w:hint="eastAsia" w:ascii="Times New Roman" w:hAnsi="Times New Roman" w:eastAsia="仿宋" w:cs="Times New Roman"/>
          <w:color w:val="auto"/>
          <w:sz w:val="32"/>
          <w:szCs w:val="32"/>
          <w:highlight w:val="none"/>
          <w:lang w:val="en-US" w:eastAsia="zh-CN"/>
        </w:rPr>
        <w:t>垃圾</w:t>
      </w:r>
      <w:r>
        <w:rPr>
          <w:rFonts w:hint="default" w:ascii="Times New Roman" w:hAnsi="Times New Roman" w:eastAsia="仿宋" w:cs="Times New Roman"/>
          <w:color w:val="auto"/>
          <w:sz w:val="32"/>
          <w:szCs w:val="32"/>
          <w:highlight w:val="none"/>
        </w:rPr>
        <w:t>收集、运输合格率100%</w:t>
      </w:r>
      <w:r>
        <w:rPr>
          <w:rFonts w:hint="default" w:ascii="Times New Roman" w:hAnsi="Times New Roman" w:eastAsia="仿宋" w:cs="Times New Roman"/>
          <w:color w:val="auto"/>
          <w:sz w:val="32"/>
          <w:szCs w:val="32"/>
          <w:highlight w:val="none"/>
          <w:lang w:eastAsia="zh-CN"/>
        </w:rPr>
        <w:t>；收集桶发放准确率100%；计量数据准确率100%；餐厨垃圾处理合格率100%；生活垃圾无害化处理率100%；设备清洁到位率100%；设备正常运行率100%；全年无安全事故。</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（3）时效指标：根据专项实施计划要求，各项工作完成及时率100%。</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（4）成本指标：各项成本</w:t>
      </w:r>
      <w:r>
        <w:rPr>
          <w:rFonts w:hint="eastAsia" w:ascii="Times New Roman" w:hAnsi="Times New Roman" w:eastAsia="仿宋" w:cs="Times New Roman"/>
          <w:color w:val="auto"/>
          <w:sz w:val="32"/>
          <w:szCs w:val="32"/>
          <w:highlight w:val="none"/>
          <w:lang w:val="en-US" w:eastAsia="zh-CN"/>
        </w:rPr>
        <w:t>支出合理合规，</w:t>
      </w:r>
      <w:r>
        <w:rPr>
          <w:rFonts w:hint="default" w:ascii="Times New Roman" w:hAnsi="Times New Roman" w:eastAsia="仿宋" w:cs="Times New Roman"/>
          <w:color w:val="auto"/>
          <w:sz w:val="32"/>
          <w:szCs w:val="32"/>
          <w:highlight w:val="none"/>
        </w:rPr>
        <w:t>控制在预算额度及标准内。</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（5）经济效益：通过餐厨垃圾处理回收有机肥料和废油脂，增加非税收入。</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color w:val="auto"/>
          <w:sz w:val="32"/>
          <w:szCs w:val="32"/>
          <w:highlight w:val="none"/>
        </w:rPr>
        <w:t>（6）社会效益：新增就业人数35人以上</w:t>
      </w:r>
      <w:r>
        <w:rPr>
          <w:rFonts w:hint="default" w:ascii="Times New Roman" w:hAnsi="Times New Roman" w:eastAsia="仿宋" w:cs="Times New Roman"/>
          <w:color w:val="auto"/>
          <w:sz w:val="32"/>
          <w:szCs w:val="32"/>
          <w:highlight w:val="none"/>
          <w:lang w:eastAsia="zh-CN"/>
        </w:rPr>
        <w:t>；避免泔水外流，防止地沟油重返餐桌，保证食品餐饮安全</w:t>
      </w:r>
      <w:r>
        <w:rPr>
          <w:rFonts w:hint="eastAsia" w:ascii="Times New Roman" w:hAnsi="Times New Roman" w:eastAsia="仿宋" w:cs="Times New Roman"/>
          <w:color w:val="auto"/>
          <w:sz w:val="32"/>
          <w:szCs w:val="32"/>
          <w:highlight w:val="none"/>
          <w:lang w:val="en-US" w:eastAsia="zh-CN"/>
        </w:rPr>
        <w:t>；对城市生活垃圾无害化处理，</w:t>
      </w:r>
      <w:r>
        <w:rPr>
          <w:rFonts w:hint="default" w:ascii="Times New Roman" w:hAnsi="Times New Roman" w:eastAsia="仿宋" w:cs="Times New Roman"/>
          <w:color w:val="auto"/>
          <w:sz w:val="32"/>
          <w:szCs w:val="32"/>
          <w:highlight w:val="none"/>
          <w:lang w:eastAsia="zh-CN"/>
        </w:rPr>
        <w:t>改善</w:t>
      </w:r>
      <w:r>
        <w:rPr>
          <w:rFonts w:hint="eastAsia" w:ascii="Times New Roman" w:hAnsi="Times New Roman" w:eastAsia="仿宋" w:cs="Times New Roman"/>
          <w:color w:val="auto"/>
          <w:sz w:val="32"/>
          <w:szCs w:val="32"/>
          <w:highlight w:val="none"/>
          <w:lang w:val="en-US" w:eastAsia="zh-CN"/>
        </w:rPr>
        <w:t>市民生活环境，提高幸福指数</w:t>
      </w:r>
      <w:r>
        <w:rPr>
          <w:rFonts w:hint="default" w:ascii="Times New Roman" w:hAnsi="Times New Roman" w:eastAsia="仿宋" w:cs="Times New Roman"/>
          <w:color w:val="auto"/>
          <w:sz w:val="32"/>
          <w:szCs w:val="32"/>
          <w:highlight w:val="none"/>
          <w:lang w:eastAsia="zh-CN"/>
        </w:rPr>
        <w:t>。</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lang w:val="en-US" w:eastAsia="zh-CN"/>
        </w:rPr>
        <w:t>7）生态效益：</w:t>
      </w:r>
      <w:r>
        <w:rPr>
          <w:rFonts w:hint="default" w:ascii="Times New Roman" w:hAnsi="Times New Roman" w:eastAsia="仿宋" w:cs="Times New Roman"/>
          <w:color w:val="auto"/>
          <w:sz w:val="32"/>
          <w:szCs w:val="32"/>
          <w:highlight w:val="none"/>
        </w:rPr>
        <w:t>减少餐厨、生活垃圾对环境的污染</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lang w:eastAsia="zh-CN"/>
        </w:rPr>
        <w:t>达到国家级卫生城市标准。</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lang w:val="en-US" w:eastAsia="zh-CN"/>
        </w:rPr>
        <w:t>8</w:t>
      </w:r>
      <w:r>
        <w:rPr>
          <w:rFonts w:hint="default" w:ascii="Times New Roman" w:hAnsi="Times New Roman" w:eastAsia="仿宋" w:cs="Times New Roman"/>
          <w:color w:val="auto"/>
          <w:sz w:val="32"/>
          <w:szCs w:val="32"/>
          <w:highlight w:val="none"/>
        </w:rPr>
        <w:t>）可持续影响：</w:t>
      </w:r>
      <w:r>
        <w:rPr>
          <w:rFonts w:hint="default" w:ascii="Times New Roman" w:hAnsi="Times New Roman" w:eastAsia="仿宋" w:cs="Times New Roman"/>
          <w:color w:val="auto"/>
          <w:sz w:val="32"/>
          <w:szCs w:val="32"/>
          <w:highlight w:val="none"/>
          <w:lang w:eastAsia="zh-CN"/>
        </w:rPr>
        <w:t>控制环境脏源，达到国家级卫生城市标准，项目后期</w:t>
      </w:r>
      <w:r>
        <w:rPr>
          <w:rFonts w:hint="eastAsia" w:ascii="Times New Roman" w:hAnsi="Times New Roman" w:eastAsia="仿宋" w:cs="Times New Roman"/>
          <w:color w:val="auto"/>
          <w:sz w:val="32"/>
          <w:szCs w:val="32"/>
          <w:highlight w:val="none"/>
          <w:lang w:val="en-US" w:eastAsia="zh-CN"/>
        </w:rPr>
        <w:t>运行为</w:t>
      </w:r>
      <w:r>
        <w:rPr>
          <w:rFonts w:hint="default" w:ascii="Times New Roman" w:hAnsi="Times New Roman" w:eastAsia="仿宋" w:cs="Times New Roman"/>
          <w:color w:val="auto"/>
          <w:sz w:val="32"/>
          <w:szCs w:val="32"/>
          <w:highlight w:val="none"/>
          <w:lang w:eastAsia="zh-CN"/>
        </w:rPr>
        <w:t>长期管护</w:t>
      </w:r>
      <w:r>
        <w:rPr>
          <w:rFonts w:hint="default" w:ascii="Times New Roman" w:hAnsi="Times New Roman" w:eastAsia="仿宋" w:cs="Times New Roman"/>
          <w:color w:val="auto"/>
          <w:sz w:val="32"/>
          <w:szCs w:val="32"/>
          <w:highlight w:val="none"/>
        </w:rPr>
        <w:t>。</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lang w:val="en-US" w:eastAsia="zh-CN"/>
        </w:rPr>
        <w:t>9</w:t>
      </w:r>
      <w:r>
        <w:rPr>
          <w:rFonts w:hint="default" w:ascii="Times New Roman" w:hAnsi="Times New Roman" w:eastAsia="仿宋" w:cs="Times New Roman"/>
          <w:color w:val="auto"/>
          <w:sz w:val="32"/>
          <w:szCs w:val="32"/>
          <w:highlight w:val="none"/>
        </w:rPr>
        <w:t>）满意度：协议单位经营业主</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eastAsia="zh-CN"/>
        </w:rPr>
        <w:t>单位工作人员满意度9</w:t>
      </w:r>
      <w:r>
        <w:rPr>
          <w:rFonts w:hint="eastAsia" w:ascii="Times New Roman" w:hAnsi="Times New Roman" w:eastAsia="仿宋" w:cs="Times New Roman"/>
          <w:color w:val="auto"/>
          <w:sz w:val="32"/>
          <w:szCs w:val="32"/>
          <w:highlight w:val="none"/>
          <w:lang w:val="en-US" w:eastAsia="zh-CN"/>
        </w:rPr>
        <w:t>5</w:t>
      </w:r>
      <w:r>
        <w:rPr>
          <w:rFonts w:hint="default" w:ascii="Times New Roman" w:hAnsi="Times New Roman" w:eastAsia="仿宋" w:cs="Times New Roman"/>
          <w:color w:val="auto"/>
          <w:sz w:val="32"/>
          <w:szCs w:val="32"/>
          <w:highlight w:val="none"/>
          <w:lang w:eastAsia="zh-CN"/>
        </w:rPr>
        <w:t>%以上；社会公众满意度9</w:t>
      </w:r>
      <w:r>
        <w:rPr>
          <w:rFonts w:hint="eastAsia" w:ascii="Times New Roman" w:hAnsi="Times New Roman" w:eastAsia="仿宋" w:cs="Times New Roman"/>
          <w:color w:val="auto"/>
          <w:sz w:val="32"/>
          <w:szCs w:val="32"/>
          <w:highlight w:val="none"/>
          <w:lang w:val="en-US" w:eastAsia="zh-CN"/>
        </w:rPr>
        <w:t>0</w:t>
      </w:r>
      <w:r>
        <w:rPr>
          <w:rFonts w:hint="default" w:ascii="Times New Roman" w:hAnsi="Times New Roman" w:eastAsia="仿宋" w:cs="Times New Roman"/>
          <w:color w:val="auto"/>
          <w:sz w:val="32"/>
          <w:szCs w:val="32"/>
          <w:highlight w:val="none"/>
          <w:lang w:eastAsia="zh-CN"/>
        </w:rPr>
        <w:t>%以上</w:t>
      </w:r>
      <w:r>
        <w:rPr>
          <w:rFonts w:hint="default" w:ascii="Times New Roman" w:hAnsi="Times New Roman" w:eastAsia="仿宋" w:cs="Times New Roman"/>
          <w:color w:val="auto"/>
          <w:sz w:val="32"/>
          <w:szCs w:val="32"/>
          <w:highlight w:val="none"/>
        </w:rPr>
        <w:t>。</w:t>
      </w:r>
    </w:p>
    <w:p>
      <w:pPr>
        <w:widowControl/>
        <w:spacing w:line="600" w:lineRule="exact"/>
        <w:ind w:firstLine="618" w:firstLineChars="200"/>
        <w:rPr>
          <w:rFonts w:hint="default" w:ascii="Times New Roman" w:hAnsi="Times New Roman" w:eastAsia="楷体" w:cs="Times New Roman"/>
          <w:color w:val="auto"/>
          <w:kern w:val="0"/>
          <w:sz w:val="32"/>
          <w:szCs w:val="32"/>
          <w:highlight w:val="none"/>
        </w:rPr>
      </w:pPr>
      <w:r>
        <w:rPr>
          <w:rFonts w:hint="default" w:ascii="Times New Roman" w:hAnsi="Times New Roman" w:eastAsia="黑体" w:cs="Times New Roman"/>
          <w:bCs/>
          <w:color w:val="auto"/>
          <w:kern w:val="0"/>
          <w:sz w:val="32"/>
          <w:szCs w:val="32"/>
          <w:highlight w:val="none"/>
        </w:rPr>
        <w:t>二、绩效评价工作开展情况</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湖南九澧咨询服务有限公司接受</w:t>
      </w:r>
      <w:r>
        <w:rPr>
          <w:rFonts w:hint="eastAsia" w:ascii="Times New Roman" w:hAnsi="Times New Roman" w:eastAsia="仿宋" w:cs="Times New Roman"/>
          <w:color w:val="auto"/>
          <w:sz w:val="32"/>
          <w:szCs w:val="32"/>
          <w:highlight w:val="none"/>
          <w:lang w:val="en-US" w:eastAsia="zh-CN"/>
        </w:rPr>
        <w:t>市</w:t>
      </w:r>
      <w:r>
        <w:rPr>
          <w:rFonts w:hint="default" w:ascii="Times New Roman" w:hAnsi="Times New Roman" w:eastAsia="仿宋" w:cs="Times New Roman"/>
          <w:color w:val="auto"/>
          <w:sz w:val="32"/>
          <w:szCs w:val="32"/>
          <w:highlight w:val="none"/>
        </w:rPr>
        <w:t>财政局委托后，成立了绩效评价小组，结合项目实际情况制定了绩效评价方案。绩效评价工作主要步骤：听取项目情况介绍；收集相关文件资料；核实了</w:t>
      </w:r>
      <w:r>
        <w:rPr>
          <w:rFonts w:hint="eastAsia" w:ascii="Times New Roman" w:hAnsi="Times New Roman" w:eastAsia="仿宋" w:cs="Times New Roman"/>
          <w:color w:val="auto"/>
          <w:sz w:val="32"/>
          <w:szCs w:val="32"/>
          <w:highlight w:val="none"/>
          <w:lang w:val="en-US" w:eastAsia="zh-CN"/>
        </w:rPr>
        <w:t>项目</w:t>
      </w:r>
      <w:r>
        <w:rPr>
          <w:rFonts w:hint="default" w:ascii="Times New Roman" w:hAnsi="Times New Roman" w:eastAsia="仿宋" w:cs="Times New Roman"/>
          <w:color w:val="auto"/>
          <w:sz w:val="32"/>
          <w:szCs w:val="32"/>
          <w:highlight w:val="none"/>
        </w:rPr>
        <w:t>资金使用情况，核查比例</w:t>
      </w:r>
      <w:r>
        <w:rPr>
          <w:rFonts w:hint="eastAsia" w:ascii="Times New Roman" w:hAnsi="Times New Roman" w:eastAsia="仿宋" w:cs="Times New Roman"/>
          <w:color w:val="auto"/>
          <w:sz w:val="32"/>
          <w:szCs w:val="32"/>
          <w:highlight w:val="none"/>
          <w:lang w:val="en-US" w:eastAsia="zh-CN"/>
        </w:rPr>
        <w:t>100</w:t>
      </w:r>
      <w:r>
        <w:rPr>
          <w:rFonts w:hint="default" w:ascii="Times New Roman" w:hAnsi="Times New Roman" w:eastAsia="仿宋" w:cs="Times New Roman"/>
          <w:color w:val="auto"/>
          <w:sz w:val="32"/>
          <w:szCs w:val="32"/>
          <w:highlight w:val="none"/>
        </w:rPr>
        <w:t>%；实地核查</w:t>
      </w:r>
      <w:r>
        <w:rPr>
          <w:rFonts w:hint="eastAsia" w:ascii="Times New Roman" w:hAnsi="Times New Roman" w:eastAsia="仿宋" w:cs="Times New Roman"/>
          <w:color w:val="auto"/>
          <w:sz w:val="32"/>
          <w:szCs w:val="32"/>
          <w:highlight w:val="none"/>
          <w:lang w:val="en-US" w:eastAsia="zh-CN"/>
        </w:rPr>
        <w:t>协议</w:t>
      </w:r>
      <w:r>
        <w:rPr>
          <w:rFonts w:hint="default" w:ascii="Times New Roman" w:hAnsi="Times New Roman" w:eastAsia="仿宋" w:cs="Times New Roman"/>
          <w:color w:val="auto"/>
          <w:sz w:val="32"/>
          <w:szCs w:val="32"/>
          <w:highlight w:val="none"/>
        </w:rPr>
        <w:t>单位</w:t>
      </w:r>
      <w:r>
        <w:rPr>
          <w:rFonts w:hint="eastAsia" w:ascii="Times New Roman" w:hAnsi="Times New Roman" w:eastAsia="仿宋" w:cs="Times New Roman"/>
          <w:color w:val="auto"/>
          <w:sz w:val="32"/>
          <w:szCs w:val="32"/>
          <w:highlight w:val="none"/>
          <w:lang w:val="en-US" w:eastAsia="zh-CN"/>
        </w:rPr>
        <w:t>33</w:t>
      </w:r>
      <w:r>
        <w:rPr>
          <w:rFonts w:hint="default" w:ascii="Times New Roman" w:hAnsi="Times New Roman" w:eastAsia="仿宋" w:cs="Times New Roman"/>
          <w:color w:val="auto"/>
          <w:sz w:val="32"/>
          <w:szCs w:val="32"/>
          <w:highlight w:val="none"/>
        </w:rPr>
        <w:t>家；对</w:t>
      </w:r>
      <w:r>
        <w:rPr>
          <w:rFonts w:hint="eastAsia" w:ascii="Times New Roman" w:hAnsi="Times New Roman" w:eastAsia="仿宋" w:cs="Times New Roman"/>
          <w:color w:val="auto"/>
          <w:sz w:val="32"/>
          <w:szCs w:val="32"/>
          <w:highlight w:val="none"/>
          <w:lang w:val="en-US" w:eastAsia="zh-CN"/>
        </w:rPr>
        <w:t>协议单位经营业主、22名单位工作人员</w:t>
      </w:r>
      <w:r>
        <w:rPr>
          <w:rFonts w:hint="default" w:ascii="Times New Roman" w:hAnsi="Times New Roman" w:eastAsia="仿宋" w:cs="Times New Roman"/>
          <w:color w:val="auto"/>
          <w:sz w:val="32"/>
          <w:szCs w:val="32"/>
          <w:highlight w:val="none"/>
        </w:rPr>
        <w:t>及</w:t>
      </w:r>
      <w:r>
        <w:rPr>
          <w:rFonts w:hint="eastAsia" w:ascii="Times New Roman" w:hAnsi="Times New Roman" w:eastAsia="仿宋" w:cs="Times New Roman"/>
          <w:color w:val="auto"/>
          <w:sz w:val="32"/>
          <w:szCs w:val="32"/>
          <w:highlight w:val="none"/>
          <w:lang w:val="en-US" w:eastAsia="zh-CN"/>
        </w:rPr>
        <w:t>56名社会公众</w:t>
      </w:r>
      <w:r>
        <w:rPr>
          <w:rFonts w:hint="default" w:ascii="Times New Roman" w:hAnsi="Times New Roman" w:eastAsia="仿宋" w:cs="Times New Roman"/>
          <w:color w:val="auto"/>
          <w:sz w:val="32"/>
          <w:szCs w:val="32"/>
          <w:highlight w:val="none"/>
        </w:rPr>
        <w:t>进行问卷调查。经统计汇总、综合分析，并与</w:t>
      </w:r>
      <w:r>
        <w:rPr>
          <w:rFonts w:hint="eastAsia" w:ascii="Times New Roman" w:hAnsi="Times New Roman" w:eastAsia="仿宋" w:cs="Times New Roman"/>
          <w:color w:val="auto"/>
          <w:sz w:val="32"/>
          <w:szCs w:val="32"/>
          <w:highlight w:val="none"/>
          <w:lang w:val="en-US" w:eastAsia="zh-CN"/>
        </w:rPr>
        <w:t>被评价单位</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val="en-US" w:eastAsia="zh-CN"/>
        </w:rPr>
        <w:t>市</w:t>
      </w:r>
      <w:r>
        <w:rPr>
          <w:rFonts w:hint="default" w:ascii="Times New Roman" w:hAnsi="Times New Roman" w:eastAsia="仿宋" w:cs="Times New Roman"/>
          <w:color w:val="auto"/>
          <w:sz w:val="32"/>
          <w:szCs w:val="32"/>
          <w:highlight w:val="none"/>
        </w:rPr>
        <w:t>财政局沟通交流后，形成本项目绩效评价报告。</w:t>
      </w:r>
    </w:p>
    <w:p>
      <w:pPr>
        <w:widowControl/>
        <w:spacing w:line="600" w:lineRule="exact"/>
        <w:ind w:firstLine="618" w:firstLineChars="200"/>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三、综合评价情况及评价结论</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经综合评价，该项目得分</w:t>
      </w:r>
      <w:r>
        <w:rPr>
          <w:rFonts w:hint="eastAsia" w:ascii="Times New Roman" w:hAnsi="Times New Roman" w:eastAsia="仿宋" w:cs="Times New Roman"/>
          <w:color w:val="auto"/>
          <w:sz w:val="32"/>
          <w:szCs w:val="32"/>
          <w:highlight w:val="none"/>
          <w:lang w:val="en-US" w:eastAsia="zh-CN"/>
        </w:rPr>
        <w:t>80.2</w:t>
      </w:r>
      <w:r>
        <w:rPr>
          <w:rFonts w:hint="default" w:ascii="Times New Roman" w:hAnsi="Times New Roman" w:eastAsia="仿宋" w:cs="Times New Roman"/>
          <w:color w:val="auto"/>
          <w:sz w:val="32"/>
          <w:szCs w:val="32"/>
          <w:highlight w:val="none"/>
        </w:rPr>
        <w:t>分，评价等级为</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良</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，得分明细如下：</w:t>
      </w:r>
    </w:p>
    <w:p>
      <w:pPr>
        <w:widowControl/>
        <w:spacing w:line="600" w:lineRule="exact"/>
        <w:ind w:firstLine="618" w:firstLineChars="200"/>
        <w:rPr>
          <w:rFonts w:hint="default" w:ascii="Times New Roman" w:hAnsi="Times New Roman" w:eastAsia="楷体" w:cs="Times New Roman"/>
          <w:color w:val="auto"/>
          <w:kern w:val="0"/>
          <w:sz w:val="32"/>
          <w:szCs w:val="32"/>
          <w:highlight w:val="none"/>
        </w:rPr>
      </w:pPr>
      <w:r>
        <w:rPr>
          <w:rFonts w:hint="default" w:ascii="Times New Roman" w:hAnsi="Times New Roman" w:eastAsia="楷体" w:cs="Times New Roman"/>
          <w:color w:val="auto"/>
          <w:kern w:val="0"/>
          <w:sz w:val="32"/>
          <w:szCs w:val="32"/>
          <w:highlight w:val="none"/>
        </w:rPr>
        <w:t>（一）项目决策总分13分，扣</w:t>
      </w:r>
      <w:r>
        <w:rPr>
          <w:rFonts w:hint="eastAsia" w:ascii="Times New Roman" w:hAnsi="Times New Roman" w:eastAsia="楷体" w:cs="Times New Roman"/>
          <w:color w:val="auto"/>
          <w:kern w:val="0"/>
          <w:sz w:val="32"/>
          <w:szCs w:val="32"/>
          <w:highlight w:val="none"/>
          <w:lang w:val="en-US" w:eastAsia="zh-CN"/>
        </w:rPr>
        <w:t>1.6</w:t>
      </w:r>
      <w:r>
        <w:rPr>
          <w:rFonts w:hint="default" w:ascii="Times New Roman" w:hAnsi="Times New Roman" w:eastAsia="楷体" w:cs="Times New Roman"/>
          <w:color w:val="auto"/>
          <w:kern w:val="0"/>
          <w:sz w:val="32"/>
          <w:szCs w:val="32"/>
          <w:highlight w:val="none"/>
        </w:rPr>
        <w:t>分，实得</w:t>
      </w:r>
      <w:r>
        <w:rPr>
          <w:rFonts w:hint="eastAsia" w:ascii="Times New Roman" w:hAnsi="Times New Roman" w:eastAsia="楷体" w:cs="Times New Roman"/>
          <w:color w:val="auto"/>
          <w:kern w:val="0"/>
          <w:sz w:val="32"/>
          <w:szCs w:val="32"/>
          <w:highlight w:val="none"/>
          <w:lang w:val="en-US" w:eastAsia="zh-CN"/>
        </w:rPr>
        <w:t>11.4</w:t>
      </w:r>
      <w:r>
        <w:rPr>
          <w:rFonts w:hint="default" w:ascii="Times New Roman" w:hAnsi="Times New Roman" w:eastAsia="楷体" w:cs="Times New Roman"/>
          <w:color w:val="auto"/>
          <w:kern w:val="0"/>
          <w:sz w:val="32"/>
          <w:szCs w:val="32"/>
          <w:highlight w:val="none"/>
        </w:rPr>
        <w:t>分，扣分明细：</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1.绩效目标：</w:t>
      </w:r>
      <w:r>
        <w:rPr>
          <w:rFonts w:hint="eastAsia" w:ascii="Times New Roman" w:hAnsi="Times New Roman" w:eastAsia="仿宋" w:cs="Times New Roman"/>
          <w:color w:val="auto"/>
          <w:sz w:val="32"/>
          <w:szCs w:val="32"/>
          <w:highlight w:val="none"/>
          <w:lang w:val="en-US" w:eastAsia="zh-CN"/>
        </w:rPr>
        <w:t>绩效目标设置不准确，</w:t>
      </w:r>
      <w:r>
        <w:rPr>
          <w:rFonts w:hint="default" w:ascii="Times New Roman" w:hAnsi="Times New Roman" w:eastAsia="仿宋" w:cs="Times New Roman"/>
          <w:color w:val="auto"/>
          <w:sz w:val="32"/>
          <w:szCs w:val="32"/>
          <w:highlight w:val="none"/>
        </w:rPr>
        <w:t>扣0.3分</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部分指标值设置欠合理</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扣</w:t>
      </w:r>
      <w:r>
        <w:rPr>
          <w:rFonts w:hint="eastAsia" w:ascii="Times New Roman" w:hAnsi="Times New Roman" w:eastAsia="仿宋" w:cs="Times New Roman"/>
          <w:color w:val="auto"/>
          <w:sz w:val="32"/>
          <w:szCs w:val="32"/>
          <w:highlight w:val="none"/>
          <w:lang w:val="en-US" w:eastAsia="zh-CN"/>
        </w:rPr>
        <w:t>0.5</w:t>
      </w:r>
      <w:r>
        <w:rPr>
          <w:rFonts w:hint="default" w:ascii="Times New Roman" w:hAnsi="Times New Roman" w:eastAsia="仿宋" w:cs="Times New Roman"/>
          <w:color w:val="auto"/>
          <w:sz w:val="32"/>
          <w:szCs w:val="32"/>
          <w:highlight w:val="none"/>
        </w:rPr>
        <w:t>分。</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rPr>
      </w:pPr>
      <w:r>
        <w:rPr>
          <w:rFonts w:hint="default" w:ascii="Times New Roman" w:hAnsi="Times New Roman" w:eastAsia="仿宋" w:cs="Times New Roman"/>
          <w:color w:val="auto"/>
          <w:sz w:val="32"/>
          <w:szCs w:val="32"/>
          <w:highlight w:val="none"/>
        </w:rPr>
        <w:t>2.资金投入：</w:t>
      </w:r>
      <w:r>
        <w:rPr>
          <w:rFonts w:hint="eastAsia" w:ascii="Times New Roman" w:hAnsi="Times New Roman" w:eastAsia="仿宋" w:cs="Times New Roman"/>
          <w:color w:val="auto"/>
          <w:sz w:val="32"/>
          <w:szCs w:val="32"/>
          <w:highlight w:val="none"/>
          <w:lang w:val="en-US" w:eastAsia="zh-CN"/>
        </w:rPr>
        <w:t>资金测算不准确，扣0.5分；项目资金量与工作任务部分不匹配，扣0.3分。</w:t>
      </w:r>
    </w:p>
    <w:p>
      <w:pPr>
        <w:widowControl/>
        <w:spacing w:line="600" w:lineRule="exact"/>
        <w:ind w:firstLine="618" w:firstLineChars="200"/>
        <w:rPr>
          <w:rFonts w:hint="default" w:ascii="Times New Roman" w:hAnsi="Times New Roman" w:eastAsia="楷体" w:cs="Times New Roman"/>
          <w:color w:val="auto"/>
          <w:kern w:val="0"/>
          <w:sz w:val="32"/>
          <w:szCs w:val="32"/>
          <w:highlight w:val="none"/>
        </w:rPr>
      </w:pPr>
      <w:r>
        <w:rPr>
          <w:rFonts w:hint="default" w:ascii="Times New Roman" w:hAnsi="Times New Roman" w:eastAsia="楷体" w:cs="Times New Roman"/>
          <w:color w:val="auto"/>
          <w:kern w:val="0"/>
          <w:sz w:val="32"/>
          <w:szCs w:val="32"/>
          <w:highlight w:val="none"/>
        </w:rPr>
        <w:t>（二）项目过程总分2</w:t>
      </w:r>
      <w:r>
        <w:rPr>
          <w:rFonts w:hint="eastAsia" w:ascii="Times New Roman" w:hAnsi="Times New Roman" w:eastAsia="楷体" w:cs="Times New Roman"/>
          <w:color w:val="auto"/>
          <w:kern w:val="0"/>
          <w:sz w:val="32"/>
          <w:szCs w:val="32"/>
          <w:highlight w:val="none"/>
          <w:lang w:val="en-US" w:eastAsia="zh-CN"/>
        </w:rPr>
        <w:t>6</w:t>
      </w:r>
      <w:r>
        <w:rPr>
          <w:rFonts w:hint="default" w:ascii="Times New Roman" w:hAnsi="Times New Roman" w:eastAsia="楷体" w:cs="Times New Roman"/>
          <w:color w:val="auto"/>
          <w:kern w:val="0"/>
          <w:sz w:val="32"/>
          <w:szCs w:val="32"/>
          <w:highlight w:val="none"/>
        </w:rPr>
        <w:t>分，</w:t>
      </w:r>
      <w:r>
        <w:rPr>
          <w:rFonts w:hint="default" w:ascii="Times New Roman" w:hAnsi="Times New Roman" w:eastAsia="楷体" w:cs="Times New Roman"/>
          <w:color w:val="auto"/>
          <w:kern w:val="0"/>
          <w:sz w:val="32"/>
          <w:szCs w:val="32"/>
          <w:highlight w:val="none"/>
        </w:rPr>
        <w:t>扣</w:t>
      </w:r>
      <w:r>
        <w:rPr>
          <w:rFonts w:hint="eastAsia" w:ascii="Times New Roman" w:hAnsi="Times New Roman" w:eastAsia="楷体" w:cs="Times New Roman"/>
          <w:color w:val="auto"/>
          <w:kern w:val="0"/>
          <w:sz w:val="32"/>
          <w:szCs w:val="32"/>
          <w:highlight w:val="none"/>
          <w:lang w:val="en-US" w:eastAsia="zh-CN"/>
        </w:rPr>
        <w:t>8.1</w:t>
      </w:r>
      <w:r>
        <w:rPr>
          <w:rFonts w:hint="default" w:ascii="Times New Roman" w:hAnsi="Times New Roman" w:eastAsia="楷体" w:cs="Times New Roman"/>
          <w:color w:val="auto"/>
          <w:kern w:val="0"/>
          <w:sz w:val="32"/>
          <w:szCs w:val="32"/>
          <w:highlight w:val="none"/>
        </w:rPr>
        <w:t>分，实得</w:t>
      </w:r>
      <w:r>
        <w:rPr>
          <w:rFonts w:hint="eastAsia" w:ascii="Times New Roman" w:hAnsi="Times New Roman" w:eastAsia="楷体" w:cs="Times New Roman"/>
          <w:color w:val="auto"/>
          <w:kern w:val="0"/>
          <w:sz w:val="32"/>
          <w:szCs w:val="32"/>
          <w:highlight w:val="none"/>
          <w:lang w:val="en-US" w:eastAsia="zh-CN"/>
        </w:rPr>
        <w:t>17.9</w:t>
      </w:r>
      <w:r>
        <w:rPr>
          <w:rFonts w:hint="default" w:ascii="Times New Roman" w:hAnsi="Times New Roman" w:eastAsia="楷体" w:cs="Times New Roman"/>
          <w:color w:val="auto"/>
          <w:kern w:val="0"/>
          <w:sz w:val="32"/>
          <w:szCs w:val="32"/>
          <w:highlight w:val="none"/>
        </w:rPr>
        <w:t>分</w:t>
      </w:r>
      <w:r>
        <w:rPr>
          <w:rFonts w:hint="default" w:ascii="Times New Roman" w:hAnsi="Times New Roman" w:eastAsia="楷体" w:cs="Times New Roman"/>
          <w:color w:val="auto"/>
          <w:kern w:val="0"/>
          <w:sz w:val="32"/>
          <w:szCs w:val="32"/>
          <w:highlight w:val="none"/>
        </w:rPr>
        <w:t>，扣分明细：</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1.资金管理：</w:t>
      </w:r>
      <w:r>
        <w:rPr>
          <w:rFonts w:hint="default" w:ascii="Times New Roman" w:hAnsi="Times New Roman" w:eastAsia="仿宋" w:cs="Times New Roman"/>
          <w:color w:val="auto"/>
          <w:sz w:val="32"/>
          <w:szCs w:val="32"/>
          <w:highlight w:val="none"/>
          <w:lang w:val="en-US" w:eastAsia="zh-CN"/>
        </w:rPr>
        <w:t>资金执行率9</w:t>
      </w: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lang w:val="en-US" w:eastAsia="zh-CN"/>
        </w:rPr>
        <w:t>.</w:t>
      </w:r>
      <w:r>
        <w:rPr>
          <w:rFonts w:hint="eastAsia" w:ascii="Times New Roman" w:hAnsi="Times New Roman" w:eastAsia="仿宋" w:cs="Times New Roman"/>
          <w:color w:val="auto"/>
          <w:sz w:val="32"/>
          <w:szCs w:val="32"/>
          <w:highlight w:val="none"/>
          <w:lang w:val="en-US" w:eastAsia="zh-CN"/>
        </w:rPr>
        <w:t>47</w:t>
      </w:r>
      <w:r>
        <w:rPr>
          <w:rFonts w:hint="default" w:ascii="Times New Roman" w:hAnsi="Times New Roman" w:eastAsia="仿宋" w:cs="Times New Roman"/>
          <w:color w:val="auto"/>
          <w:sz w:val="32"/>
          <w:szCs w:val="32"/>
          <w:highlight w:val="none"/>
          <w:lang w:val="en-US" w:eastAsia="zh-CN"/>
        </w:rPr>
        <w:t>%</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扣</w:t>
      </w: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lang w:val="en-US" w:eastAsia="zh-CN"/>
        </w:rPr>
        <w:t>分</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油费补贴依据不充分</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扣0.5分</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基本支出占用项目资金</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lang w:val="en-US" w:eastAsia="zh-CN"/>
        </w:rPr>
        <w:t>扣</w:t>
      </w: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lang w:val="en-US" w:eastAsia="zh-CN"/>
        </w:rPr>
        <w:t>分</w:t>
      </w:r>
      <w:r>
        <w:rPr>
          <w:rFonts w:hint="eastAsia" w:ascii="Times New Roman" w:hAnsi="Times New Roman" w:eastAsia="仿宋" w:cs="Times New Roman"/>
          <w:color w:val="auto"/>
          <w:sz w:val="32"/>
          <w:szCs w:val="32"/>
          <w:highlight w:val="none"/>
          <w:lang w:val="en-US" w:eastAsia="zh-CN"/>
        </w:rPr>
        <w:t>。</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2.组织实施：未制定考评管理细则</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聘用人员工资发放标准未制定依据</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扣</w:t>
      </w:r>
      <w:r>
        <w:rPr>
          <w:rFonts w:hint="eastAsia" w:ascii="Times New Roman" w:hAnsi="Times New Roman" w:eastAsia="仿宋" w:cs="Times New Roman"/>
          <w:color w:val="auto"/>
          <w:sz w:val="32"/>
          <w:szCs w:val="32"/>
          <w:highlight w:val="none"/>
          <w:lang w:val="en-US" w:eastAsia="zh-CN"/>
        </w:rPr>
        <w:t>0.6</w:t>
      </w:r>
      <w:r>
        <w:rPr>
          <w:rFonts w:hint="default" w:ascii="Times New Roman" w:hAnsi="Times New Roman" w:eastAsia="仿宋" w:cs="Times New Roman"/>
          <w:color w:val="auto"/>
          <w:sz w:val="32"/>
          <w:szCs w:val="32"/>
          <w:highlight w:val="none"/>
        </w:rPr>
        <w:t>分</w:t>
      </w:r>
      <w:r>
        <w:rPr>
          <w:rFonts w:hint="default" w:ascii="Times New Roman" w:hAnsi="Times New Roman" w:eastAsia="仿宋" w:cs="Times New Roman"/>
          <w:color w:val="auto"/>
          <w:sz w:val="32"/>
          <w:szCs w:val="32"/>
          <w:highlight w:val="none"/>
        </w:rPr>
        <w:t>；临聘人员未签定合同，部分用工未购买社保；食堂管理欠规范；台账管理不到位；收集桶管理不到位；安全会议制度、消毒工作不到位；餐厨垃圾收运协议执行欠规范</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扣2分</w:t>
      </w:r>
      <w:r>
        <w:rPr>
          <w:rFonts w:hint="eastAsia" w:ascii="Times New Roman" w:hAnsi="Times New Roman" w:eastAsia="仿宋" w:cs="Times New Roman"/>
          <w:color w:val="auto"/>
          <w:sz w:val="32"/>
          <w:szCs w:val="32"/>
          <w:highlight w:val="none"/>
          <w:lang w:val="en-US" w:eastAsia="zh-CN"/>
        </w:rPr>
        <w:t>；安全培训等无相关佐证资料、协议归档不及时，扣1分；人员无考勤管理、值班人员脱岗、协议条款执行有难度、宣传力度不够，扣2分。</w:t>
      </w:r>
    </w:p>
    <w:p>
      <w:pPr>
        <w:widowControl/>
        <w:spacing w:line="600" w:lineRule="exact"/>
        <w:ind w:firstLine="618" w:firstLineChars="200"/>
        <w:rPr>
          <w:rFonts w:hint="default" w:ascii="Times New Roman" w:hAnsi="Times New Roman" w:eastAsia="楷体" w:cs="Times New Roman"/>
          <w:color w:val="auto"/>
          <w:kern w:val="0"/>
          <w:sz w:val="32"/>
          <w:szCs w:val="32"/>
          <w:highlight w:val="none"/>
        </w:rPr>
      </w:pPr>
      <w:r>
        <w:rPr>
          <w:rFonts w:hint="default" w:ascii="Times New Roman" w:hAnsi="Times New Roman" w:eastAsia="楷体" w:cs="Times New Roman"/>
          <w:color w:val="auto"/>
          <w:kern w:val="0"/>
          <w:sz w:val="32"/>
          <w:szCs w:val="32"/>
          <w:highlight w:val="none"/>
        </w:rPr>
        <w:t>（三）项目产出总分3</w:t>
      </w:r>
      <w:r>
        <w:rPr>
          <w:rFonts w:hint="eastAsia" w:ascii="Times New Roman" w:hAnsi="Times New Roman" w:eastAsia="楷体" w:cs="Times New Roman"/>
          <w:color w:val="auto"/>
          <w:kern w:val="0"/>
          <w:sz w:val="32"/>
          <w:szCs w:val="32"/>
          <w:highlight w:val="none"/>
          <w:lang w:val="en-US" w:eastAsia="zh-CN"/>
        </w:rPr>
        <w:t>0</w:t>
      </w:r>
      <w:r>
        <w:rPr>
          <w:rFonts w:hint="default" w:ascii="Times New Roman" w:hAnsi="Times New Roman" w:eastAsia="楷体" w:cs="Times New Roman"/>
          <w:color w:val="auto"/>
          <w:kern w:val="0"/>
          <w:sz w:val="32"/>
          <w:szCs w:val="32"/>
          <w:highlight w:val="none"/>
        </w:rPr>
        <w:t>分，</w:t>
      </w:r>
      <w:r>
        <w:rPr>
          <w:rFonts w:hint="default" w:ascii="Times New Roman" w:hAnsi="Times New Roman" w:eastAsia="楷体" w:cs="Times New Roman"/>
          <w:color w:val="auto"/>
          <w:kern w:val="0"/>
          <w:sz w:val="32"/>
          <w:szCs w:val="32"/>
          <w:highlight w:val="none"/>
        </w:rPr>
        <w:t>扣</w:t>
      </w:r>
      <w:r>
        <w:rPr>
          <w:rFonts w:hint="eastAsia" w:ascii="Times New Roman" w:hAnsi="Times New Roman" w:eastAsia="楷体" w:cs="Times New Roman"/>
          <w:color w:val="auto"/>
          <w:kern w:val="0"/>
          <w:sz w:val="32"/>
          <w:szCs w:val="32"/>
          <w:highlight w:val="none"/>
          <w:lang w:val="en-US" w:eastAsia="zh-CN"/>
        </w:rPr>
        <w:t>6.7</w:t>
      </w:r>
      <w:r>
        <w:rPr>
          <w:rFonts w:hint="default" w:ascii="Times New Roman" w:hAnsi="Times New Roman" w:eastAsia="楷体" w:cs="Times New Roman"/>
          <w:color w:val="auto"/>
          <w:kern w:val="0"/>
          <w:sz w:val="32"/>
          <w:szCs w:val="32"/>
          <w:highlight w:val="none"/>
        </w:rPr>
        <w:t>分，实得</w:t>
      </w:r>
      <w:r>
        <w:rPr>
          <w:rFonts w:hint="eastAsia" w:ascii="Times New Roman" w:hAnsi="Times New Roman" w:eastAsia="楷体" w:cs="Times New Roman"/>
          <w:color w:val="auto"/>
          <w:kern w:val="0"/>
          <w:sz w:val="32"/>
          <w:szCs w:val="32"/>
          <w:highlight w:val="none"/>
          <w:lang w:val="en-US" w:eastAsia="zh-CN"/>
        </w:rPr>
        <w:t>23.3</w:t>
      </w:r>
      <w:r>
        <w:rPr>
          <w:rFonts w:hint="default" w:ascii="Times New Roman" w:hAnsi="Times New Roman" w:eastAsia="楷体" w:cs="Times New Roman"/>
          <w:color w:val="auto"/>
          <w:kern w:val="0"/>
          <w:sz w:val="32"/>
          <w:szCs w:val="32"/>
          <w:highlight w:val="none"/>
        </w:rPr>
        <w:t>分</w:t>
      </w:r>
      <w:r>
        <w:rPr>
          <w:rFonts w:hint="default" w:ascii="Times New Roman" w:hAnsi="Times New Roman" w:eastAsia="楷体" w:cs="Times New Roman"/>
          <w:color w:val="auto"/>
          <w:kern w:val="0"/>
          <w:sz w:val="32"/>
          <w:szCs w:val="32"/>
          <w:highlight w:val="none"/>
        </w:rPr>
        <w:t>，扣分明细：</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1.产出数量：城区泔水收集目标完成率60.78%</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扣0.78分</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发放泔水收集桶目标</w:t>
      </w:r>
      <w:r>
        <w:rPr>
          <w:rFonts w:hint="eastAsia" w:ascii="Times New Roman" w:hAnsi="Times New Roman" w:eastAsia="仿宋" w:cs="Times New Roman"/>
          <w:color w:val="auto"/>
          <w:sz w:val="32"/>
          <w:szCs w:val="32"/>
          <w:highlight w:val="none"/>
          <w:lang w:val="en-US" w:eastAsia="zh-CN"/>
        </w:rPr>
        <w:t>未完成</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扣0.5分</w:t>
      </w:r>
      <w:r>
        <w:rPr>
          <w:rFonts w:hint="eastAsia" w:ascii="Times New Roman" w:hAnsi="Times New Roman" w:eastAsia="仿宋" w:cs="Times New Roman"/>
          <w:color w:val="auto"/>
          <w:sz w:val="32"/>
          <w:szCs w:val="32"/>
          <w:highlight w:val="none"/>
          <w:lang w:val="en-US" w:eastAsia="zh-CN"/>
        </w:rPr>
        <w:t>；收集、处理餐厨垃圾目标未完成，扣1分；转运生活垃圾目标完成率67.75%，扣0.32分。</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2.产出质量：日处理能力目标均未完成</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扣</w:t>
      </w:r>
      <w:r>
        <w:rPr>
          <w:rFonts w:hint="eastAsia" w:ascii="Times New Roman" w:hAnsi="Times New Roman" w:eastAsia="仿宋" w:cs="Times New Roman"/>
          <w:color w:val="auto"/>
          <w:sz w:val="32"/>
          <w:szCs w:val="32"/>
          <w:highlight w:val="none"/>
          <w:lang w:val="en-US" w:eastAsia="zh-CN"/>
        </w:rPr>
        <w:t>0.5</w:t>
      </w:r>
      <w:r>
        <w:rPr>
          <w:rFonts w:hint="default" w:ascii="Times New Roman" w:hAnsi="Times New Roman" w:eastAsia="仿宋" w:cs="Times New Roman"/>
          <w:color w:val="auto"/>
          <w:sz w:val="32"/>
          <w:szCs w:val="32"/>
          <w:highlight w:val="none"/>
        </w:rPr>
        <w:t>分</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存在个别二次污染情况</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扣0.</w:t>
      </w:r>
      <w:r>
        <w:rPr>
          <w:rFonts w:hint="eastAsia" w:ascii="Times New Roman" w:hAnsi="Times New Roman" w:eastAsia="仿宋" w:cs="Times New Roman"/>
          <w:color w:val="auto"/>
          <w:sz w:val="32"/>
          <w:szCs w:val="32"/>
          <w:highlight w:val="none"/>
          <w:lang w:val="en-US" w:eastAsia="zh-CN"/>
        </w:rPr>
        <w:t>2</w:t>
      </w:r>
      <w:r>
        <w:rPr>
          <w:rFonts w:hint="default" w:ascii="Times New Roman" w:hAnsi="Times New Roman" w:eastAsia="仿宋" w:cs="Times New Roman"/>
          <w:color w:val="auto"/>
          <w:sz w:val="32"/>
          <w:szCs w:val="32"/>
          <w:highlight w:val="none"/>
        </w:rPr>
        <w:t>分</w:t>
      </w:r>
      <w:r>
        <w:rPr>
          <w:rFonts w:hint="eastAsia" w:ascii="Times New Roman" w:hAnsi="Times New Roman" w:eastAsia="仿宋" w:cs="Times New Roman"/>
          <w:color w:val="auto"/>
          <w:sz w:val="32"/>
          <w:szCs w:val="32"/>
          <w:highlight w:val="none"/>
          <w:lang w:val="en-US" w:eastAsia="zh-CN"/>
        </w:rPr>
        <w:t>；未按协议配发收集桶，扣1分；处理垃圾数量不准确、存在漏登记情况，扣0.4分。</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3.产出时效：</w:t>
      </w:r>
      <w:r>
        <w:rPr>
          <w:rFonts w:hint="eastAsia" w:ascii="Times New Roman" w:hAnsi="Times New Roman" w:eastAsia="仿宋" w:cs="Times New Roman"/>
          <w:color w:val="auto"/>
          <w:sz w:val="32"/>
          <w:szCs w:val="32"/>
          <w:highlight w:val="none"/>
          <w:lang w:val="en-US" w:eastAsia="zh-CN"/>
        </w:rPr>
        <w:t>部分</w:t>
      </w:r>
      <w:r>
        <w:rPr>
          <w:rFonts w:hint="default" w:ascii="Times New Roman" w:hAnsi="Times New Roman" w:eastAsia="仿宋" w:cs="Times New Roman"/>
          <w:color w:val="auto"/>
          <w:sz w:val="32"/>
          <w:szCs w:val="32"/>
          <w:highlight w:val="none"/>
        </w:rPr>
        <w:t>餐厨垃圾收运</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个别</w:t>
      </w:r>
      <w:r>
        <w:rPr>
          <w:rFonts w:hint="default" w:ascii="Times New Roman" w:hAnsi="Times New Roman" w:eastAsia="仿宋" w:cs="Times New Roman"/>
          <w:color w:val="auto"/>
          <w:sz w:val="32"/>
          <w:szCs w:val="32"/>
          <w:highlight w:val="none"/>
        </w:rPr>
        <w:t>收集桶发放存在不及时</w:t>
      </w:r>
      <w:r>
        <w:rPr>
          <w:rFonts w:hint="eastAsia" w:ascii="Times New Roman" w:hAnsi="Times New Roman" w:eastAsia="仿宋" w:cs="Times New Roman"/>
          <w:color w:val="auto"/>
          <w:sz w:val="32"/>
          <w:szCs w:val="32"/>
          <w:highlight w:val="none"/>
          <w:lang w:val="en-US" w:eastAsia="zh-CN"/>
        </w:rPr>
        <w:t>情况</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扣</w:t>
      </w: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rPr>
        <w:t>分。</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eastAsia" w:ascii="Times New Roman" w:hAnsi="Times New Roman" w:eastAsia="仿宋" w:cs="Times New Roman"/>
          <w:color w:val="auto"/>
          <w:sz w:val="32"/>
          <w:szCs w:val="32"/>
          <w:highlight w:val="none"/>
          <w:lang w:val="en-US" w:eastAsia="zh-CN"/>
        </w:rPr>
        <w:t>4.产出成本：餐厨中心电费、除臭药剂超预算，</w:t>
      </w:r>
      <w:r>
        <w:rPr>
          <w:rFonts w:hint="eastAsia" w:ascii="Times New Roman" w:hAnsi="Times New Roman" w:eastAsia="仿宋" w:cs="Times New Roman"/>
          <w:color w:val="auto"/>
          <w:sz w:val="32"/>
          <w:szCs w:val="32"/>
          <w:highlight w:val="none"/>
          <w:lang w:val="en-US" w:eastAsia="zh-CN"/>
        </w:rPr>
        <w:t>扣1分</w:t>
      </w:r>
      <w:r>
        <w:rPr>
          <w:rFonts w:hint="eastAsia" w:ascii="Times New Roman" w:hAnsi="Times New Roman" w:eastAsia="仿宋" w:cs="Times New Roman"/>
          <w:color w:val="auto"/>
          <w:sz w:val="32"/>
          <w:szCs w:val="32"/>
          <w:highlight w:val="none"/>
          <w:lang w:val="en-US" w:eastAsia="zh-CN"/>
        </w:rPr>
        <w:t>。</w:t>
      </w:r>
    </w:p>
    <w:p>
      <w:pPr>
        <w:widowControl/>
        <w:spacing w:line="600" w:lineRule="exact"/>
        <w:ind w:firstLine="618" w:firstLineChars="200"/>
        <w:rPr>
          <w:rFonts w:hint="eastAsia" w:ascii="Times New Roman" w:hAnsi="Times New Roman" w:eastAsia="仿宋" w:cs="Times New Roman"/>
          <w:color w:val="auto"/>
          <w:sz w:val="32"/>
          <w:szCs w:val="32"/>
          <w:highlight w:val="none"/>
          <w:lang w:eastAsia="zh-CN"/>
        </w:rPr>
      </w:pPr>
      <w:r>
        <w:rPr>
          <w:rFonts w:hint="default" w:ascii="Times New Roman" w:hAnsi="Times New Roman" w:eastAsia="楷体" w:cs="Times New Roman"/>
          <w:color w:val="auto"/>
          <w:kern w:val="0"/>
          <w:sz w:val="32"/>
          <w:szCs w:val="32"/>
          <w:highlight w:val="none"/>
        </w:rPr>
        <w:t>（四）项目效益情况总分31分</w:t>
      </w:r>
      <w:r>
        <w:rPr>
          <w:rFonts w:hint="default" w:ascii="Times New Roman" w:hAnsi="Times New Roman" w:eastAsia="楷体" w:cs="Times New Roman"/>
          <w:color w:val="auto"/>
          <w:kern w:val="0"/>
          <w:sz w:val="32"/>
          <w:szCs w:val="32"/>
          <w:highlight w:val="none"/>
        </w:rPr>
        <w:t>，扣</w:t>
      </w:r>
      <w:r>
        <w:rPr>
          <w:rFonts w:hint="eastAsia" w:ascii="Times New Roman" w:hAnsi="Times New Roman" w:eastAsia="楷体" w:cs="Times New Roman"/>
          <w:color w:val="auto"/>
          <w:kern w:val="0"/>
          <w:sz w:val="32"/>
          <w:szCs w:val="32"/>
          <w:highlight w:val="none"/>
          <w:lang w:val="en-US" w:eastAsia="zh-CN"/>
        </w:rPr>
        <w:t>3.4</w:t>
      </w:r>
      <w:r>
        <w:rPr>
          <w:rFonts w:hint="default" w:ascii="Times New Roman" w:hAnsi="Times New Roman" w:eastAsia="楷体" w:cs="Times New Roman"/>
          <w:color w:val="auto"/>
          <w:kern w:val="0"/>
          <w:sz w:val="32"/>
          <w:szCs w:val="32"/>
          <w:highlight w:val="none"/>
        </w:rPr>
        <w:t>分</w:t>
      </w:r>
      <w:r>
        <w:rPr>
          <w:rFonts w:hint="eastAsia" w:ascii="Times New Roman" w:hAnsi="Times New Roman" w:eastAsia="楷体" w:cs="Times New Roman"/>
          <w:color w:val="auto"/>
          <w:kern w:val="0"/>
          <w:sz w:val="32"/>
          <w:szCs w:val="32"/>
          <w:highlight w:val="none"/>
          <w:lang w:eastAsia="zh-CN"/>
        </w:rPr>
        <w:t>，</w:t>
      </w:r>
      <w:r>
        <w:rPr>
          <w:rFonts w:hint="default" w:ascii="Times New Roman" w:hAnsi="Times New Roman" w:eastAsia="楷体" w:cs="Times New Roman"/>
          <w:color w:val="auto"/>
          <w:kern w:val="0"/>
          <w:sz w:val="32"/>
          <w:szCs w:val="32"/>
          <w:highlight w:val="none"/>
        </w:rPr>
        <w:t>实得2</w:t>
      </w:r>
      <w:r>
        <w:rPr>
          <w:rFonts w:hint="eastAsia" w:ascii="Times New Roman" w:hAnsi="Times New Roman" w:eastAsia="楷体" w:cs="Times New Roman"/>
          <w:color w:val="auto"/>
          <w:kern w:val="0"/>
          <w:sz w:val="32"/>
          <w:szCs w:val="32"/>
          <w:highlight w:val="none"/>
          <w:lang w:val="en-US" w:eastAsia="zh-CN"/>
        </w:rPr>
        <w:t>7.6</w:t>
      </w:r>
      <w:r>
        <w:rPr>
          <w:rFonts w:hint="default" w:ascii="Times New Roman" w:hAnsi="Times New Roman" w:eastAsia="楷体" w:cs="Times New Roman"/>
          <w:color w:val="auto"/>
          <w:kern w:val="0"/>
          <w:sz w:val="32"/>
          <w:szCs w:val="32"/>
          <w:highlight w:val="none"/>
        </w:rPr>
        <w:t>分</w:t>
      </w:r>
      <w:r>
        <w:rPr>
          <w:rFonts w:hint="default" w:ascii="Times New Roman" w:hAnsi="Times New Roman" w:eastAsia="楷体" w:cs="Times New Roman"/>
          <w:color w:val="auto"/>
          <w:kern w:val="0"/>
          <w:sz w:val="32"/>
          <w:szCs w:val="32"/>
          <w:highlight w:val="none"/>
        </w:rPr>
        <w:t>，扣分明细：</w:t>
      </w:r>
    </w:p>
    <w:p>
      <w:pPr>
        <w:snapToGrid w:val="0"/>
        <w:spacing w:line="600" w:lineRule="exact"/>
        <w:ind w:firstLine="618" w:firstLineChars="200"/>
        <w:jc w:val="left"/>
        <w:rPr>
          <w:rFonts w:hint="eastAsia" w:ascii="Times New Roman" w:hAnsi="Times New Roman" w:eastAsia="仿宋" w:cs="Times New Roman"/>
          <w:color w:val="auto"/>
          <w:sz w:val="32"/>
          <w:szCs w:val="32"/>
          <w:highlight w:val="none"/>
          <w:lang w:eastAsia="zh-CN"/>
        </w:rPr>
      </w:pP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rPr>
        <w:t>.社会效益：新增就业人数目标完成率91.43%</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扣0.3分</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餐厨垃圾未应收尽收</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扣1分</w:t>
      </w:r>
      <w:r>
        <w:rPr>
          <w:rFonts w:hint="eastAsia" w:ascii="Times New Roman" w:hAnsi="Times New Roman" w:eastAsia="仿宋" w:cs="Times New Roman"/>
          <w:color w:val="auto"/>
          <w:sz w:val="32"/>
          <w:szCs w:val="32"/>
          <w:highlight w:val="none"/>
          <w:lang w:eastAsia="zh-CN"/>
        </w:rPr>
        <w:t>。</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2</w:t>
      </w:r>
      <w:r>
        <w:rPr>
          <w:rFonts w:hint="default" w:ascii="Times New Roman" w:hAnsi="Times New Roman" w:eastAsia="仿宋" w:cs="Times New Roman"/>
          <w:color w:val="auto"/>
          <w:sz w:val="32"/>
          <w:szCs w:val="32"/>
          <w:highlight w:val="none"/>
        </w:rPr>
        <w:t>.满意度：协议单位经营业主</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单位工作人员、</w:t>
      </w:r>
      <w:r>
        <w:rPr>
          <w:rFonts w:hint="default" w:ascii="Times New Roman" w:hAnsi="Times New Roman" w:eastAsia="仿宋" w:cs="Times New Roman"/>
          <w:color w:val="auto"/>
          <w:sz w:val="32"/>
          <w:szCs w:val="32"/>
          <w:highlight w:val="none"/>
        </w:rPr>
        <w:t>社会公众满意度</w:t>
      </w:r>
      <w:r>
        <w:rPr>
          <w:rFonts w:hint="eastAsia" w:ascii="Times New Roman" w:hAnsi="Times New Roman" w:eastAsia="仿宋" w:cs="Times New Roman"/>
          <w:color w:val="auto"/>
          <w:sz w:val="32"/>
          <w:szCs w:val="32"/>
          <w:highlight w:val="none"/>
          <w:lang w:val="en-US" w:eastAsia="zh-CN"/>
        </w:rPr>
        <w:t>目标均未完成，</w:t>
      </w:r>
      <w:r>
        <w:rPr>
          <w:rFonts w:hint="default" w:ascii="Times New Roman" w:hAnsi="Times New Roman" w:eastAsia="仿宋" w:cs="Times New Roman"/>
          <w:color w:val="auto"/>
          <w:sz w:val="32"/>
          <w:szCs w:val="32"/>
          <w:highlight w:val="none"/>
        </w:rPr>
        <w:t>扣</w:t>
      </w:r>
      <w:r>
        <w:rPr>
          <w:rFonts w:hint="eastAsia" w:ascii="Times New Roman" w:hAnsi="Times New Roman" w:eastAsia="仿宋" w:cs="Times New Roman"/>
          <w:color w:val="auto"/>
          <w:sz w:val="32"/>
          <w:szCs w:val="32"/>
          <w:highlight w:val="none"/>
          <w:lang w:val="en-US" w:eastAsia="zh-CN"/>
        </w:rPr>
        <w:t>2.1</w:t>
      </w:r>
      <w:r>
        <w:rPr>
          <w:rFonts w:hint="default" w:ascii="Times New Roman" w:hAnsi="Times New Roman" w:eastAsia="仿宋" w:cs="Times New Roman"/>
          <w:color w:val="auto"/>
          <w:sz w:val="32"/>
          <w:szCs w:val="32"/>
          <w:highlight w:val="none"/>
        </w:rPr>
        <w:t>分</w:t>
      </w:r>
      <w:r>
        <w:rPr>
          <w:rFonts w:hint="eastAsia" w:ascii="Times New Roman" w:hAnsi="Times New Roman" w:eastAsia="仿宋" w:cs="Times New Roman"/>
          <w:color w:val="auto"/>
          <w:sz w:val="32"/>
          <w:szCs w:val="32"/>
          <w:highlight w:val="none"/>
          <w:lang w:val="en-US" w:eastAsia="zh-CN"/>
        </w:rPr>
        <w:t>。</w:t>
      </w:r>
    </w:p>
    <w:p>
      <w:pPr>
        <w:snapToGrid w:val="0"/>
        <w:spacing w:line="600" w:lineRule="exact"/>
        <w:ind w:firstLine="618" w:firstLineChars="200"/>
        <w:jc w:val="left"/>
        <w:rPr>
          <w:rFonts w:hint="default" w:ascii="Times New Roman" w:hAnsi="Times New Roman" w:eastAsia="仿宋" w:cs="Times New Roman"/>
          <w:color w:val="auto"/>
          <w:spacing w:val="-11"/>
          <w:sz w:val="32"/>
          <w:szCs w:val="32"/>
          <w:highlight w:val="none"/>
        </w:rPr>
      </w:pPr>
      <w:r>
        <w:rPr>
          <w:rFonts w:hint="default" w:ascii="Times New Roman" w:hAnsi="Times New Roman" w:eastAsia="仿宋" w:cs="Times New Roman"/>
          <w:color w:val="auto"/>
          <w:sz w:val="32"/>
          <w:szCs w:val="32"/>
          <w:highlight w:val="none"/>
        </w:rPr>
        <w:t>详见附件</w:t>
      </w:r>
      <w:r>
        <w:rPr>
          <w:rFonts w:hint="eastAsia" w:ascii="Times New Roman" w:hAnsi="Times New Roman" w:eastAsia="仿宋" w:cs="Times New Roman"/>
          <w:color w:val="auto"/>
          <w:sz w:val="32"/>
          <w:szCs w:val="32"/>
          <w:highlight w:val="none"/>
          <w:lang w:val="en-US" w:eastAsia="zh-CN"/>
        </w:rPr>
        <w:t xml:space="preserve">2 </w:t>
      </w:r>
      <w:r>
        <w:rPr>
          <w:rFonts w:hint="default" w:ascii="Times New Roman" w:hAnsi="Times New Roman" w:eastAsia="仿宋" w:cs="Times New Roman"/>
          <w:color w:val="auto"/>
          <w:sz w:val="32"/>
          <w:szCs w:val="32"/>
          <w:highlight w:val="none"/>
        </w:rPr>
        <w:t>绩效评价指标体系</w:t>
      </w:r>
    </w:p>
    <w:p>
      <w:pPr>
        <w:widowControl/>
        <w:spacing w:line="600" w:lineRule="exact"/>
        <w:ind w:firstLine="618" w:firstLineChars="200"/>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四、绩效评价指标分析</w:t>
      </w:r>
    </w:p>
    <w:p>
      <w:pPr>
        <w:widowControl/>
        <w:spacing w:line="600" w:lineRule="exact"/>
        <w:ind w:firstLine="618" w:firstLineChars="200"/>
        <w:rPr>
          <w:rFonts w:hint="default" w:ascii="Times New Roman" w:hAnsi="Times New Roman" w:eastAsia="楷体" w:cs="Times New Roman"/>
          <w:color w:val="auto"/>
          <w:kern w:val="0"/>
          <w:sz w:val="32"/>
          <w:szCs w:val="32"/>
          <w:highlight w:val="none"/>
        </w:rPr>
      </w:pPr>
      <w:r>
        <w:rPr>
          <w:rFonts w:hint="default" w:ascii="Times New Roman" w:hAnsi="Times New Roman" w:eastAsia="楷体" w:cs="Times New Roman"/>
          <w:color w:val="auto"/>
          <w:kern w:val="0"/>
          <w:sz w:val="32"/>
          <w:szCs w:val="32"/>
          <w:highlight w:val="none"/>
        </w:rPr>
        <w:t>（一）项目决策情况</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1.项目立项。专项立项依据充分，立项程序规范。</w:t>
      </w:r>
    </w:p>
    <w:p>
      <w:pPr>
        <w:keepNext w:val="0"/>
        <w:keepLines w:val="0"/>
        <w:pageBreakBefore w:val="0"/>
        <w:widowControl/>
        <w:kinsoku/>
        <w:wordWrap/>
        <w:overflowPunct/>
        <w:topLinePunct w:val="0"/>
        <w:bidi w:val="0"/>
        <w:spacing w:line="560" w:lineRule="exact"/>
        <w:ind w:firstLine="618" w:firstLineChars="200"/>
        <w:jc w:val="left"/>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kern w:val="0"/>
          <w:sz w:val="32"/>
          <w:szCs w:val="32"/>
          <w:highlight w:val="none"/>
        </w:rPr>
        <w:t>2.绩效目标。</w:t>
      </w:r>
      <w:r>
        <w:rPr>
          <w:rFonts w:hint="eastAsia" w:ascii="Times New Roman" w:hAnsi="Times New Roman" w:eastAsia="仿宋" w:cs="Times New Roman"/>
          <w:color w:val="auto"/>
          <w:sz w:val="32"/>
          <w:szCs w:val="32"/>
          <w:highlight w:val="none"/>
          <w:lang w:val="en-US" w:eastAsia="zh-CN"/>
        </w:rPr>
        <w:t>项目单位</w:t>
      </w:r>
      <w:r>
        <w:rPr>
          <w:rFonts w:hint="default" w:ascii="Times New Roman" w:hAnsi="Times New Roman" w:eastAsia="仿宋" w:cs="Times New Roman"/>
          <w:color w:val="auto"/>
          <w:sz w:val="32"/>
          <w:szCs w:val="32"/>
          <w:highlight w:val="none"/>
        </w:rPr>
        <w:t>编制了绩效目标，但</w:t>
      </w:r>
      <w:r>
        <w:rPr>
          <w:rFonts w:hint="eastAsia" w:ascii="Times New Roman" w:hAnsi="Times New Roman" w:eastAsia="仿宋" w:cs="Times New Roman"/>
          <w:color w:val="auto"/>
          <w:sz w:val="32"/>
          <w:szCs w:val="32"/>
          <w:highlight w:val="none"/>
          <w:lang w:val="en-US" w:eastAsia="zh-CN"/>
        </w:rPr>
        <w:t>部分指标值设置欠合理，个别绩效目标不准确的情况</w:t>
      </w:r>
      <w:r>
        <w:rPr>
          <w:rFonts w:hint="eastAsia" w:ascii="仿宋" w:hAnsi="仿宋" w:eastAsia="仿宋" w:cs="仿宋"/>
          <w:color w:val="auto"/>
          <w:kern w:val="0"/>
          <w:sz w:val="32"/>
          <w:szCs w:val="32"/>
          <w:highlight w:val="none"/>
          <w:lang w:eastAsia="zh-Hans"/>
        </w:rPr>
        <w:t>。</w:t>
      </w:r>
    </w:p>
    <w:p>
      <w:pPr>
        <w:widowControl/>
        <w:tabs>
          <w:tab w:val="left" w:pos="601"/>
        </w:tabs>
        <w:spacing w:line="240" w:lineRule="auto"/>
        <w:ind w:firstLine="618" w:firstLineChars="200"/>
        <w:jc w:val="left"/>
        <w:rPr>
          <w:rFonts w:hint="default" w:ascii="Times New Roman" w:hAnsi="Times New Roman" w:eastAsia="仿宋" w:cs="Times New Roman"/>
          <w:color w:val="auto"/>
          <w:kern w:val="0"/>
          <w:sz w:val="32"/>
          <w:szCs w:val="32"/>
          <w:highlight w:val="none"/>
          <w:lang w:val="en-US" w:eastAsia="zh-CN"/>
        </w:rPr>
      </w:pPr>
      <w:r>
        <w:rPr>
          <w:rFonts w:hint="default" w:ascii="Times New Roman" w:hAnsi="Times New Roman" w:eastAsia="仿宋" w:cs="Times New Roman"/>
          <w:color w:val="auto"/>
          <w:kern w:val="0"/>
          <w:sz w:val="32"/>
          <w:szCs w:val="32"/>
          <w:highlight w:val="none"/>
        </w:rPr>
        <w:t>3.资金投入</w:t>
      </w:r>
      <w:r>
        <w:rPr>
          <w:rFonts w:hint="eastAsia" w:ascii="Times New Roman" w:hAnsi="Times New Roman" w:eastAsia="仿宋" w:cs="Times New Roman"/>
          <w:color w:val="auto"/>
          <w:kern w:val="0"/>
          <w:sz w:val="32"/>
          <w:szCs w:val="32"/>
          <w:highlight w:val="none"/>
          <w:lang w:eastAsia="zh-CN"/>
        </w:rPr>
        <w:t>。</w:t>
      </w:r>
      <w:r>
        <w:rPr>
          <w:rFonts w:hint="default" w:ascii="Times New Roman" w:hAnsi="Times New Roman" w:eastAsia="仿宋" w:cs="Times New Roman"/>
          <w:color w:val="auto"/>
          <w:sz w:val="32"/>
          <w:szCs w:val="32"/>
          <w:highlight w:val="none"/>
          <w:lang w:val="en-US" w:eastAsia="zh-CN"/>
        </w:rPr>
        <w:t>该专项细化了预算，预算与项目内容基本一致</w:t>
      </w:r>
      <w:r>
        <w:rPr>
          <w:rFonts w:hint="eastAsia" w:ascii="Times New Roman" w:hAnsi="Times New Roman" w:eastAsia="仿宋" w:cs="Times New Roman"/>
          <w:color w:val="auto"/>
          <w:sz w:val="32"/>
          <w:szCs w:val="32"/>
          <w:highlight w:val="none"/>
          <w:lang w:val="en-US" w:eastAsia="zh-CN"/>
        </w:rPr>
        <w:t>。但存在资金测算不准确，如5座垃圾站32万元未体现人员经费；预算确定的项目资金量与工作任务部分不匹配情况，如餐厨中心处理收集垃圾的吨数与实际工作任务不匹配等。</w:t>
      </w:r>
    </w:p>
    <w:p>
      <w:pPr>
        <w:widowControl/>
        <w:spacing w:line="600" w:lineRule="exact"/>
        <w:ind w:firstLine="618" w:firstLineChars="200"/>
        <w:rPr>
          <w:rFonts w:hint="default" w:ascii="Times New Roman" w:hAnsi="Times New Roman" w:eastAsia="楷体" w:cs="Times New Roman"/>
          <w:color w:val="auto"/>
          <w:kern w:val="0"/>
          <w:sz w:val="32"/>
          <w:szCs w:val="32"/>
          <w:highlight w:val="none"/>
        </w:rPr>
      </w:pPr>
      <w:r>
        <w:rPr>
          <w:rFonts w:hint="default" w:ascii="Times New Roman" w:hAnsi="Times New Roman" w:eastAsia="楷体" w:cs="Times New Roman"/>
          <w:color w:val="auto"/>
          <w:kern w:val="0"/>
          <w:sz w:val="32"/>
          <w:szCs w:val="32"/>
          <w:highlight w:val="none"/>
        </w:rPr>
        <w:t>（二）项目过程情况</w:t>
      </w:r>
    </w:p>
    <w:p>
      <w:pPr>
        <w:spacing w:line="600" w:lineRule="exact"/>
        <w:ind w:firstLine="612"/>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1.资金管理情况</w:t>
      </w:r>
    </w:p>
    <w:p>
      <w:pPr>
        <w:spacing w:line="600" w:lineRule="exact"/>
        <w:ind w:firstLine="612"/>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（1）资金到位率。202</w:t>
      </w: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rPr>
        <w:t>年，年初预算</w:t>
      </w:r>
      <w:r>
        <w:rPr>
          <w:rFonts w:hint="default" w:ascii="Times New Roman" w:hAnsi="Times New Roman" w:eastAsia="仿宋" w:cs="Times New Roman"/>
          <w:color w:val="auto"/>
          <w:sz w:val="32"/>
          <w:szCs w:val="32"/>
          <w:highlight w:val="none"/>
          <w:lang w:val="en-US" w:eastAsia="zh-CN"/>
        </w:rPr>
        <w:t>491.8</w:t>
      </w:r>
      <w:r>
        <w:rPr>
          <w:rFonts w:hint="default" w:ascii="Times New Roman" w:hAnsi="Times New Roman" w:eastAsia="仿宋" w:cs="Times New Roman"/>
          <w:color w:val="auto"/>
          <w:sz w:val="32"/>
          <w:szCs w:val="32"/>
          <w:highlight w:val="none"/>
        </w:rPr>
        <w:t>万元，</w:t>
      </w:r>
      <w:r>
        <w:rPr>
          <w:rFonts w:hint="eastAsia" w:ascii="Times New Roman" w:hAnsi="Times New Roman" w:eastAsia="仿宋" w:cs="Times New Roman"/>
          <w:color w:val="auto"/>
          <w:sz w:val="32"/>
          <w:szCs w:val="32"/>
          <w:highlight w:val="none"/>
          <w:lang w:val="en-US" w:eastAsia="zh-CN"/>
        </w:rPr>
        <w:t>市</w:t>
      </w:r>
      <w:r>
        <w:rPr>
          <w:rFonts w:hint="default" w:ascii="Times New Roman" w:hAnsi="Times New Roman" w:eastAsia="仿宋" w:cs="Times New Roman"/>
          <w:color w:val="auto"/>
          <w:sz w:val="32"/>
          <w:szCs w:val="32"/>
          <w:highlight w:val="none"/>
        </w:rPr>
        <w:t>财政核拨经费</w:t>
      </w:r>
      <w:r>
        <w:rPr>
          <w:rFonts w:hint="eastAsia" w:ascii="Times New Roman" w:hAnsi="Times New Roman" w:eastAsia="仿宋" w:cs="Times New Roman"/>
          <w:color w:val="auto"/>
          <w:sz w:val="32"/>
          <w:szCs w:val="32"/>
          <w:highlight w:val="none"/>
          <w:lang w:val="en-US" w:eastAsia="zh-CN"/>
        </w:rPr>
        <w:t>216.57万元，</w:t>
      </w:r>
      <w:r>
        <w:rPr>
          <w:rFonts w:hint="default" w:ascii="Times New Roman" w:hAnsi="Times New Roman" w:eastAsia="仿宋" w:cs="Times New Roman"/>
          <w:color w:val="auto"/>
          <w:sz w:val="32"/>
          <w:szCs w:val="32"/>
          <w:highlight w:val="none"/>
        </w:rPr>
        <w:t>实际到位</w:t>
      </w:r>
      <w:r>
        <w:rPr>
          <w:rFonts w:hint="default" w:ascii="Times New Roman" w:hAnsi="Times New Roman" w:eastAsia="仿宋" w:cs="Times New Roman"/>
          <w:color w:val="auto"/>
          <w:sz w:val="32"/>
          <w:szCs w:val="32"/>
          <w:highlight w:val="none"/>
          <w:lang w:val="en-US" w:eastAsia="zh-CN"/>
        </w:rPr>
        <w:t>21</w:t>
      </w:r>
      <w:r>
        <w:rPr>
          <w:rFonts w:hint="eastAsia" w:ascii="Times New Roman" w:hAnsi="Times New Roman" w:eastAsia="仿宋" w:cs="Times New Roman"/>
          <w:color w:val="auto"/>
          <w:sz w:val="32"/>
          <w:szCs w:val="32"/>
          <w:highlight w:val="none"/>
          <w:lang w:val="en-US" w:eastAsia="zh-CN"/>
        </w:rPr>
        <w:t>6</w:t>
      </w:r>
      <w:r>
        <w:rPr>
          <w:rFonts w:hint="default" w:ascii="Times New Roman" w:hAnsi="Times New Roman" w:eastAsia="仿宋" w:cs="Times New Roman"/>
          <w:color w:val="auto"/>
          <w:sz w:val="32"/>
          <w:szCs w:val="32"/>
          <w:highlight w:val="none"/>
          <w:lang w:val="en-US" w:eastAsia="zh-CN"/>
        </w:rPr>
        <w:t>.57</w:t>
      </w:r>
      <w:r>
        <w:rPr>
          <w:rFonts w:hint="default" w:ascii="Times New Roman" w:hAnsi="Times New Roman" w:eastAsia="仿宋" w:cs="Times New Roman"/>
          <w:color w:val="auto"/>
          <w:sz w:val="32"/>
          <w:szCs w:val="32"/>
          <w:highlight w:val="none"/>
        </w:rPr>
        <w:t>万元。资金到位率</w:t>
      </w:r>
      <w:r>
        <w:rPr>
          <w:rFonts w:hint="eastAsia" w:ascii="Times New Roman" w:hAnsi="Times New Roman" w:eastAsia="仿宋" w:cs="Times New Roman"/>
          <w:color w:val="auto"/>
          <w:sz w:val="32"/>
          <w:szCs w:val="32"/>
          <w:highlight w:val="none"/>
          <w:lang w:val="en-US" w:eastAsia="zh-CN"/>
        </w:rPr>
        <w:t>100</w:t>
      </w:r>
      <w:r>
        <w:rPr>
          <w:rFonts w:hint="default" w:ascii="Times New Roman" w:hAnsi="Times New Roman" w:eastAsia="仿宋" w:cs="Times New Roman"/>
          <w:color w:val="auto"/>
          <w:sz w:val="32"/>
          <w:szCs w:val="32"/>
          <w:highlight w:val="none"/>
        </w:rPr>
        <w:t>%。</w:t>
      </w:r>
    </w:p>
    <w:p>
      <w:pPr>
        <w:spacing w:line="600" w:lineRule="exact"/>
        <w:ind w:firstLine="618" w:firstLineChars="20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（2）预算执行率。202</w:t>
      </w: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rPr>
        <w:t>年实际</w:t>
      </w:r>
      <w:r>
        <w:rPr>
          <w:rFonts w:hint="eastAsia" w:ascii="Times New Roman" w:hAnsi="Times New Roman" w:eastAsia="仿宋" w:cs="Times New Roman"/>
          <w:color w:val="auto"/>
          <w:sz w:val="32"/>
          <w:szCs w:val="32"/>
          <w:highlight w:val="none"/>
          <w:lang w:val="en-US" w:eastAsia="zh-CN"/>
        </w:rPr>
        <w:t>支出198.1</w:t>
      </w:r>
      <w:r>
        <w:rPr>
          <w:rFonts w:hint="default" w:ascii="Times New Roman" w:hAnsi="Times New Roman" w:eastAsia="仿宋" w:cs="Times New Roman"/>
          <w:color w:val="auto"/>
          <w:sz w:val="32"/>
          <w:szCs w:val="32"/>
          <w:highlight w:val="none"/>
        </w:rPr>
        <w:t>万元，</w:t>
      </w:r>
      <w:r>
        <w:rPr>
          <w:rFonts w:ascii="Times New Roman" w:hAnsi="Times New Roman" w:eastAsia="仿宋" w:cs="Times New Roman"/>
          <w:color w:val="auto"/>
          <w:sz w:val="32"/>
          <w:szCs w:val="32"/>
          <w:highlight w:val="none"/>
        </w:rPr>
        <w:t>资金执行率</w:t>
      </w:r>
      <w:r>
        <w:rPr>
          <w:rFonts w:hint="eastAsia" w:ascii="Times New Roman" w:hAnsi="Times New Roman" w:eastAsia="仿宋" w:cs="Times New Roman"/>
          <w:color w:val="auto"/>
          <w:sz w:val="32"/>
          <w:szCs w:val="32"/>
          <w:highlight w:val="none"/>
          <w:lang w:val="en-US" w:eastAsia="zh-CN"/>
        </w:rPr>
        <w:t>91.47</w:t>
      </w:r>
      <w:r>
        <w:rPr>
          <w:rFonts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val="en-US" w:eastAsia="zh-CN"/>
        </w:rPr>
        <w:t>198.1</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val="en-US" w:eastAsia="zh-CN"/>
        </w:rPr>
        <w:t>216.57</w:t>
      </w:r>
      <w:r>
        <w:rPr>
          <w:rFonts w:hint="default" w:ascii="Times New Roman" w:hAnsi="Times New Roman" w:eastAsia="仿宋" w:cs="Times New Roman"/>
          <w:color w:val="auto"/>
          <w:sz w:val="32"/>
          <w:szCs w:val="32"/>
          <w:highlight w:val="none"/>
        </w:rPr>
        <w:t>）。</w:t>
      </w:r>
    </w:p>
    <w:p>
      <w:pPr>
        <w:spacing w:line="600" w:lineRule="exact"/>
        <w:ind w:firstLine="612"/>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（3）资金使用合规性。专项资金拨付程序规范，审批手续完整。但存在</w:t>
      </w:r>
      <w:r>
        <w:rPr>
          <w:rFonts w:hint="eastAsia" w:ascii="Times New Roman" w:hAnsi="Times New Roman" w:eastAsia="仿宋" w:cs="Times New Roman"/>
          <w:color w:val="auto"/>
          <w:sz w:val="32"/>
          <w:szCs w:val="32"/>
          <w:highlight w:val="none"/>
          <w:lang w:val="en-US" w:eastAsia="zh-CN"/>
        </w:rPr>
        <w:t>基本支出占用项目资金</w:t>
      </w:r>
      <w:r>
        <w:rPr>
          <w:rFonts w:hint="eastAsia" w:ascii="Times New Roman" w:hAnsi="Times New Roman" w:eastAsia="仿宋" w:cs="Times New Roman"/>
          <w:color w:val="auto"/>
          <w:kern w:val="0"/>
          <w:sz w:val="32"/>
          <w:szCs w:val="32"/>
          <w:highlight w:val="none"/>
          <w:lang w:val="en-US" w:eastAsia="zh-CN" w:bidi="ar-SA"/>
        </w:rPr>
        <w:t>等</w:t>
      </w:r>
      <w:r>
        <w:rPr>
          <w:rFonts w:hint="eastAsia" w:ascii="Times New Roman" w:hAnsi="Times New Roman" w:eastAsia="仿宋" w:cs="Times New Roman"/>
          <w:color w:val="auto"/>
          <w:sz w:val="32"/>
          <w:szCs w:val="32"/>
          <w:highlight w:val="none"/>
          <w:lang w:val="en-US" w:eastAsia="zh-CN"/>
        </w:rPr>
        <w:t>情况</w:t>
      </w:r>
      <w:r>
        <w:rPr>
          <w:rFonts w:hint="default" w:ascii="Times New Roman" w:hAnsi="Times New Roman" w:eastAsia="仿宋" w:cs="Times New Roman"/>
          <w:color w:val="auto"/>
          <w:sz w:val="32"/>
          <w:szCs w:val="32"/>
          <w:highlight w:val="none"/>
        </w:rPr>
        <w:t>。</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2.组织实施情况</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（1）管理制度健全性。</w:t>
      </w:r>
      <w:r>
        <w:rPr>
          <w:rFonts w:hint="eastAsia" w:ascii="Times New Roman" w:hAnsi="Times New Roman" w:eastAsia="仿宋" w:cs="Times New Roman"/>
          <w:color w:val="auto"/>
          <w:sz w:val="32"/>
          <w:szCs w:val="32"/>
          <w:highlight w:val="none"/>
          <w:lang w:val="en-US" w:eastAsia="zh-CN"/>
        </w:rPr>
        <w:t>环卫处</w:t>
      </w:r>
      <w:r>
        <w:rPr>
          <w:rFonts w:hint="default" w:ascii="Times New Roman" w:hAnsi="Times New Roman" w:eastAsia="仿宋" w:cs="Times New Roman"/>
          <w:color w:val="auto"/>
          <w:sz w:val="32"/>
          <w:szCs w:val="32"/>
          <w:highlight w:val="none"/>
        </w:rPr>
        <w:t>制定</w:t>
      </w:r>
      <w:r>
        <w:rPr>
          <w:rFonts w:hint="eastAsia" w:ascii="Times New Roman" w:hAnsi="Times New Roman" w:eastAsia="仿宋" w:cs="Times New Roman"/>
          <w:color w:val="auto"/>
          <w:sz w:val="32"/>
          <w:szCs w:val="32"/>
          <w:highlight w:val="none"/>
          <w:lang w:val="en-US" w:eastAsia="zh-CN"/>
        </w:rPr>
        <w:t>了《财务管理制度》《项目资金管理制度》《餐厨中心内部管理制度》《垃圾转运站管理制度》《车辆管理办法》《安全管理制度》《津市市有机垃圾处理运行管理中心管理制度汇编》。但考评制度欠缺</w:t>
      </w:r>
      <w:r>
        <w:rPr>
          <w:rFonts w:hint="default" w:ascii="Times New Roman" w:hAnsi="Times New Roman" w:eastAsia="仿宋" w:cs="Times New Roman"/>
          <w:color w:val="auto"/>
          <w:sz w:val="32"/>
          <w:szCs w:val="32"/>
          <w:highlight w:val="none"/>
        </w:rPr>
        <w:t>。</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（2）制度执行有效性。</w:t>
      </w:r>
      <w:r>
        <w:rPr>
          <w:rFonts w:hint="eastAsia" w:ascii="Times New Roman" w:hAnsi="Times New Roman" w:eastAsia="仿宋" w:cs="Times New Roman"/>
          <w:color w:val="auto"/>
          <w:sz w:val="32"/>
          <w:szCs w:val="32"/>
          <w:highlight w:val="none"/>
          <w:lang w:val="en-US" w:eastAsia="zh-CN"/>
        </w:rPr>
        <w:t>环卫处</w:t>
      </w:r>
      <w:r>
        <w:rPr>
          <w:rFonts w:hint="default" w:ascii="Times New Roman" w:hAnsi="Times New Roman" w:eastAsia="仿宋" w:cs="Times New Roman"/>
          <w:color w:val="auto"/>
          <w:sz w:val="32"/>
          <w:szCs w:val="32"/>
          <w:highlight w:val="none"/>
          <w:lang w:val="en-US" w:eastAsia="zh-CN"/>
        </w:rPr>
        <w:t>餐厨中心及转运站</w:t>
      </w:r>
      <w:r>
        <w:rPr>
          <w:rFonts w:hint="eastAsia" w:ascii="Times New Roman" w:hAnsi="Times New Roman" w:eastAsia="仿宋" w:cs="Times New Roman"/>
          <w:color w:val="auto"/>
          <w:sz w:val="32"/>
          <w:szCs w:val="32"/>
          <w:highlight w:val="none"/>
          <w:lang w:val="en-US" w:eastAsia="zh-CN"/>
        </w:rPr>
        <w:t>运行</w:t>
      </w:r>
      <w:r>
        <w:rPr>
          <w:rFonts w:hint="default" w:ascii="Times New Roman" w:hAnsi="Times New Roman" w:eastAsia="仿宋" w:cs="Times New Roman"/>
          <w:color w:val="auto"/>
          <w:sz w:val="32"/>
          <w:szCs w:val="32"/>
          <w:highlight w:val="none"/>
        </w:rPr>
        <w:t>专项管理基本依照</w:t>
      </w:r>
      <w:r>
        <w:rPr>
          <w:rFonts w:hint="eastAsia" w:ascii="Times New Roman" w:hAnsi="Times New Roman" w:eastAsia="仿宋" w:cs="Times New Roman"/>
          <w:color w:val="auto"/>
          <w:sz w:val="32"/>
          <w:szCs w:val="32"/>
          <w:highlight w:val="none"/>
          <w:lang w:val="en-US" w:eastAsia="zh-CN"/>
        </w:rPr>
        <w:t>项目管理制度及</w:t>
      </w:r>
      <w:r>
        <w:rPr>
          <w:rFonts w:hint="default" w:ascii="Times New Roman" w:hAnsi="Times New Roman" w:eastAsia="仿宋" w:cs="Times New Roman"/>
          <w:color w:val="auto"/>
          <w:sz w:val="32"/>
          <w:szCs w:val="32"/>
          <w:highlight w:val="none"/>
        </w:rPr>
        <w:t>资金管理办法执行</w:t>
      </w:r>
      <w:r>
        <w:rPr>
          <w:rFonts w:hint="eastAsia"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但在</w:t>
      </w:r>
      <w:r>
        <w:rPr>
          <w:rFonts w:hint="eastAsia" w:ascii="Times New Roman" w:hAnsi="Times New Roman" w:eastAsia="仿宋" w:cs="Times New Roman"/>
          <w:color w:val="auto"/>
          <w:sz w:val="32"/>
          <w:szCs w:val="32"/>
          <w:highlight w:val="none"/>
          <w:lang w:val="en-US" w:eastAsia="zh-CN"/>
        </w:rPr>
        <w:t>召开安全会议</w:t>
      </w:r>
      <w:r>
        <w:rPr>
          <w:rFonts w:hint="default" w:ascii="Times New Roman" w:hAnsi="Times New Roman" w:eastAsia="仿宋" w:cs="Times New Roman"/>
          <w:color w:val="auto"/>
          <w:sz w:val="32"/>
          <w:szCs w:val="32"/>
          <w:highlight w:val="none"/>
        </w:rPr>
        <w:t>等方面制度执</w:t>
      </w:r>
      <w:r>
        <w:rPr>
          <w:rFonts w:hint="eastAsia" w:ascii="Times New Roman" w:hAnsi="Times New Roman" w:eastAsia="仿宋" w:cs="Times New Roman"/>
          <w:color w:val="auto"/>
          <w:sz w:val="32"/>
          <w:szCs w:val="32"/>
          <w:highlight w:val="none"/>
          <w:lang w:val="en-US" w:eastAsia="zh-CN"/>
        </w:rPr>
        <w:t>行不到位</w:t>
      </w:r>
      <w:r>
        <w:rPr>
          <w:rFonts w:hint="default" w:ascii="Times New Roman" w:hAnsi="Times New Roman" w:eastAsia="仿宋" w:cs="Times New Roman"/>
          <w:color w:val="auto"/>
          <w:sz w:val="32"/>
          <w:szCs w:val="32"/>
          <w:highlight w:val="none"/>
        </w:rPr>
        <w:t>。</w:t>
      </w:r>
    </w:p>
    <w:p>
      <w:pPr>
        <w:widowControl/>
        <w:spacing w:line="600" w:lineRule="exact"/>
        <w:ind w:firstLine="618" w:firstLineChars="200"/>
        <w:rPr>
          <w:rFonts w:hint="default" w:ascii="Times New Roman" w:hAnsi="Times New Roman" w:eastAsia="楷体" w:cs="Times New Roman"/>
          <w:color w:val="auto"/>
          <w:kern w:val="0"/>
          <w:sz w:val="32"/>
          <w:szCs w:val="32"/>
          <w:highlight w:val="none"/>
        </w:rPr>
      </w:pPr>
      <w:r>
        <w:rPr>
          <w:rFonts w:hint="default" w:ascii="Times New Roman" w:hAnsi="Times New Roman" w:eastAsia="楷体" w:cs="Times New Roman"/>
          <w:color w:val="auto"/>
          <w:kern w:val="0"/>
          <w:sz w:val="32"/>
          <w:szCs w:val="32"/>
          <w:highlight w:val="none"/>
        </w:rPr>
        <w:t>（三）项目产出情况</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1.产出数量</w:t>
      </w:r>
    </w:p>
    <w:p>
      <w:pPr>
        <w:snapToGrid w:val="0"/>
        <w:spacing w:line="600" w:lineRule="exact"/>
        <w:ind w:firstLine="618" w:firstLineChars="200"/>
        <w:jc w:val="left"/>
        <w:rPr>
          <w:rFonts w:hint="eastAsia" w:ascii="Times New Roman" w:hAnsi="Times New Roman" w:eastAsia="仿宋" w:cs="Times New Roman"/>
          <w:color w:val="auto"/>
          <w:sz w:val="32"/>
          <w:szCs w:val="32"/>
          <w:highlight w:val="none"/>
          <w:lang w:eastAsia="zh-CN"/>
        </w:rPr>
      </w:pPr>
      <w:r>
        <w:rPr>
          <w:rFonts w:hint="default" w:ascii="Times New Roman" w:hAnsi="Times New Roman" w:eastAsia="仿宋" w:cs="Times New Roman"/>
          <w:color w:val="auto"/>
          <w:sz w:val="32"/>
          <w:szCs w:val="32"/>
          <w:highlight w:val="none"/>
        </w:rPr>
        <w:t>（1）城区泔水收集点。</w:t>
      </w:r>
      <w:r>
        <w:rPr>
          <w:rFonts w:hint="eastAsia" w:ascii="Times New Roman" w:hAnsi="Times New Roman" w:eastAsia="仿宋" w:cs="Times New Roman"/>
          <w:color w:val="auto"/>
          <w:sz w:val="32"/>
          <w:szCs w:val="32"/>
          <w:highlight w:val="none"/>
          <w:lang w:val="en-US" w:eastAsia="zh-CN"/>
        </w:rPr>
        <w:t>根据2021年12月份餐厨垃圾收集重量统计表，三洲驿街道132家，汪家桥街道159家，襄阳街、金鱼岭、嘉山街道及高新区81家，</w:t>
      </w:r>
      <w:r>
        <w:rPr>
          <w:rFonts w:hint="default" w:ascii="Times New Roman" w:hAnsi="Times New Roman" w:eastAsia="仿宋" w:cs="Times New Roman"/>
          <w:color w:val="auto"/>
          <w:sz w:val="32"/>
          <w:szCs w:val="32"/>
          <w:highlight w:val="none"/>
        </w:rPr>
        <w:t>城区泔水收集点达</w:t>
      </w:r>
      <w:r>
        <w:rPr>
          <w:rFonts w:hint="eastAsia" w:ascii="Times New Roman" w:hAnsi="Times New Roman" w:eastAsia="仿宋" w:cs="Times New Roman"/>
          <w:color w:val="auto"/>
          <w:sz w:val="32"/>
          <w:szCs w:val="32"/>
          <w:highlight w:val="none"/>
          <w:lang w:val="en-US" w:eastAsia="zh-CN"/>
        </w:rPr>
        <w:t>372</w:t>
      </w:r>
      <w:r>
        <w:rPr>
          <w:rFonts w:hint="default" w:ascii="Times New Roman" w:hAnsi="Times New Roman" w:eastAsia="仿宋" w:cs="Times New Roman"/>
          <w:color w:val="auto"/>
          <w:sz w:val="32"/>
          <w:szCs w:val="32"/>
          <w:highlight w:val="none"/>
        </w:rPr>
        <w:t>家</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目标完成率60.78%</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val="en-US" w:eastAsia="zh-CN"/>
        </w:rPr>
        <w:t xml:space="preserve"> 现场调查发现，存在部分餐饮门店泔水倒入下水道等情况，未实现应收尽收</w:t>
      </w:r>
      <w:r>
        <w:rPr>
          <w:rFonts w:hint="eastAsia" w:ascii="Times New Roman" w:hAnsi="Times New Roman" w:eastAsia="仿宋" w:cs="Times New Roman"/>
          <w:color w:val="auto"/>
          <w:sz w:val="32"/>
          <w:szCs w:val="32"/>
          <w:highlight w:val="none"/>
          <w:lang w:eastAsia="zh-CN"/>
        </w:rPr>
        <w:t>。</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rPr>
      </w:pPr>
      <w:r>
        <w:rPr>
          <w:rFonts w:hint="default" w:ascii="Times New Roman" w:hAnsi="Times New Roman" w:eastAsia="仿宋" w:cs="Times New Roman"/>
          <w:color w:val="auto"/>
          <w:sz w:val="32"/>
          <w:szCs w:val="32"/>
          <w:highlight w:val="none"/>
        </w:rPr>
        <w:t>（2）发放泔水收集桶。</w:t>
      </w:r>
      <w:r>
        <w:rPr>
          <w:rFonts w:hint="eastAsia" w:ascii="Times New Roman" w:hAnsi="Times New Roman" w:eastAsia="仿宋" w:cs="Times New Roman"/>
          <w:color w:val="auto"/>
          <w:sz w:val="32"/>
          <w:szCs w:val="32"/>
          <w:highlight w:val="none"/>
          <w:lang w:val="en-US" w:eastAsia="zh-CN"/>
        </w:rPr>
        <w:t>截至2021年12月底，根据协议配发数量统计，共免费配发收集桶464个，其中大桶39个，中桶134个，小桶291个。因环卫处相关工作人员对收集桶的发放登记不完整，且未对补发放进行登记，环卫处提供补发放385个收集桶为估计数，收集桶实际发放数量无法确定。根据协议配发数量计算完成率，目标完成率29%。</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（3）收集、处理餐厨垃圾。202</w:t>
      </w: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rPr>
        <w:t>年，</w:t>
      </w:r>
      <w:r>
        <w:rPr>
          <w:rFonts w:hint="eastAsia" w:ascii="Times New Roman" w:hAnsi="Times New Roman" w:eastAsia="仿宋" w:cs="Times New Roman"/>
          <w:color w:val="auto"/>
          <w:sz w:val="32"/>
          <w:szCs w:val="32"/>
          <w:highlight w:val="none"/>
          <w:lang w:val="en-US" w:eastAsia="zh-CN"/>
        </w:rPr>
        <w:t>根据环卫处餐厨垃圾处理登记表统计，餐厨中心收集、处理餐厨垃圾645车次1,683吨。根据各垃圾站运行记录表统计，5座垃圾站处理餐厨垃圾67.16吨。2021年共收集、处理餐厨垃圾达1,750.16吨，</w:t>
      </w:r>
      <w:r>
        <w:rPr>
          <w:rFonts w:hint="default" w:ascii="Times New Roman" w:hAnsi="Times New Roman" w:eastAsia="仿宋" w:cs="Times New Roman"/>
          <w:color w:val="auto"/>
          <w:sz w:val="32"/>
          <w:szCs w:val="32"/>
          <w:highlight w:val="none"/>
        </w:rPr>
        <w:t>目标完成</w:t>
      </w:r>
      <w:r>
        <w:rPr>
          <w:rFonts w:hint="eastAsia" w:ascii="Times New Roman" w:hAnsi="Times New Roman" w:eastAsia="仿宋" w:cs="Times New Roman"/>
          <w:color w:val="auto"/>
          <w:sz w:val="32"/>
          <w:szCs w:val="32"/>
          <w:highlight w:val="none"/>
          <w:lang w:val="en-US" w:eastAsia="zh-CN"/>
        </w:rPr>
        <w:t>率37.24%</w:t>
      </w:r>
      <w:r>
        <w:rPr>
          <w:rFonts w:hint="default" w:ascii="Times New Roman" w:hAnsi="Times New Roman" w:eastAsia="仿宋" w:cs="Times New Roman"/>
          <w:color w:val="auto"/>
          <w:sz w:val="32"/>
          <w:szCs w:val="32"/>
          <w:highlight w:val="none"/>
        </w:rPr>
        <w:t>。</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（4）转运生活垃圾。</w:t>
      </w:r>
      <w:r>
        <w:rPr>
          <w:rFonts w:hint="eastAsia" w:ascii="Times New Roman" w:hAnsi="Times New Roman" w:eastAsia="仿宋" w:cs="Times New Roman"/>
          <w:color w:val="auto"/>
          <w:sz w:val="32"/>
          <w:szCs w:val="32"/>
          <w:highlight w:val="none"/>
          <w:lang w:val="en-US" w:eastAsia="zh-CN"/>
        </w:rPr>
        <w:t>根据澧县生活垃圾焚烧厂海创环保科技有限责任公司（海创公司）磅单统计</w:t>
      </w:r>
      <w:r>
        <w:rPr>
          <w:rFonts w:hint="default" w:ascii="Times New Roman" w:hAnsi="Times New Roman" w:eastAsia="仿宋" w:cs="Times New Roman"/>
          <w:color w:val="auto"/>
          <w:sz w:val="32"/>
          <w:szCs w:val="32"/>
          <w:highlight w:val="none"/>
          <w:lang w:val="en-US" w:eastAsia="zh-CN"/>
        </w:rPr>
        <w:t>，2021年7-12月转运生活垃圾</w:t>
      </w:r>
      <w:r>
        <w:rPr>
          <w:rFonts w:hint="eastAsia" w:ascii="Times New Roman" w:hAnsi="Times New Roman" w:eastAsia="仿宋" w:cs="Times New Roman"/>
          <w:color w:val="auto"/>
          <w:sz w:val="32"/>
          <w:szCs w:val="32"/>
          <w:highlight w:val="none"/>
          <w:lang w:val="en-US" w:eastAsia="zh-CN"/>
        </w:rPr>
        <w:t>1,238车16,259.21吨。根据环卫处统计，7月另有450车次（车辆载重吨位约2至5吨）2,028.36吨生活垃圾经转运站处理后直接填埋，因数据不准确未计入。目标</w:t>
      </w:r>
      <w:r>
        <w:rPr>
          <w:rFonts w:hint="default" w:ascii="Times New Roman" w:hAnsi="Times New Roman" w:eastAsia="仿宋" w:cs="Times New Roman"/>
          <w:color w:val="auto"/>
          <w:sz w:val="32"/>
          <w:szCs w:val="32"/>
          <w:highlight w:val="none"/>
          <w:lang w:val="en-US" w:eastAsia="zh-CN"/>
        </w:rPr>
        <w:t>完成</w:t>
      </w:r>
      <w:r>
        <w:rPr>
          <w:rFonts w:hint="eastAsia" w:ascii="Times New Roman" w:hAnsi="Times New Roman" w:eastAsia="仿宋" w:cs="Times New Roman"/>
          <w:color w:val="auto"/>
          <w:sz w:val="32"/>
          <w:szCs w:val="32"/>
          <w:highlight w:val="none"/>
          <w:lang w:val="en-US" w:eastAsia="zh-CN"/>
        </w:rPr>
        <w:t>率67.75%</w:t>
      </w:r>
      <w:r>
        <w:rPr>
          <w:rFonts w:hint="default" w:ascii="Times New Roman" w:hAnsi="Times New Roman" w:eastAsia="仿宋" w:cs="Times New Roman"/>
          <w:color w:val="auto"/>
          <w:sz w:val="32"/>
          <w:szCs w:val="32"/>
          <w:highlight w:val="none"/>
          <w:lang w:val="en-US" w:eastAsia="zh-CN"/>
        </w:rPr>
        <w:t>。</w:t>
      </w:r>
    </w:p>
    <w:p>
      <w:pPr>
        <w:snapToGrid w:val="0"/>
        <w:spacing w:line="600" w:lineRule="exact"/>
        <w:ind w:firstLine="618" w:firstLineChars="200"/>
        <w:jc w:val="left"/>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（5）日处理能力。2021年，餐厨中心日处理餐厨垃圾量平均为7.45吨；5座垃圾站日处理餐厨垃圾量平均为0.29吨；转运站日处理城乡生活垃圾量平均为99.39吨；根据目前处理量，日处理能力目标均未完成。</w:t>
      </w:r>
      <w:r>
        <w:rPr>
          <w:rFonts w:hint="default" w:ascii="Times New Roman" w:hAnsi="Times New Roman" w:eastAsia="仿宋" w:cs="Times New Roman"/>
          <w:color w:val="auto"/>
          <w:sz w:val="32"/>
          <w:szCs w:val="32"/>
          <w:highlight w:val="none"/>
        </w:rPr>
        <w:t>详见附件</w:t>
      </w:r>
      <w:r>
        <w:rPr>
          <w:rFonts w:hint="eastAsia" w:ascii="Times New Roman" w:hAnsi="Times New Roman" w:eastAsia="仿宋" w:cs="Times New Roman"/>
          <w:color w:val="auto"/>
          <w:sz w:val="32"/>
          <w:szCs w:val="32"/>
          <w:highlight w:val="none"/>
          <w:lang w:val="en-US" w:eastAsia="zh-CN"/>
        </w:rPr>
        <w:t>3</w:t>
      </w:r>
      <w:r>
        <w:rPr>
          <w:rFonts w:hint="default" w:ascii="Times New Roman" w:hAnsi="Times New Roman" w:eastAsia="仿宋" w:cs="Times New Roman"/>
          <w:color w:val="auto"/>
          <w:sz w:val="32"/>
          <w:szCs w:val="32"/>
          <w:highlight w:val="none"/>
          <w:lang w:val="en-US" w:eastAsia="zh-CN"/>
        </w:rPr>
        <w:t>。</w:t>
      </w:r>
    </w:p>
    <w:p>
      <w:pPr>
        <w:numPr>
          <w:ilvl w:val="0"/>
          <w:numId w:val="0"/>
        </w:num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6</w:t>
      </w:r>
      <w:r>
        <w:rPr>
          <w:rFonts w:hint="eastAsia" w:ascii="Times New Roman" w:hAnsi="Times New Roman" w:eastAsia="仿宋" w:cs="Times New Roman"/>
          <w:color w:val="auto"/>
          <w:sz w:val="32"/>
          <w:szCs w:val="32"/>
          <w:highlight w:val="none"/>
          <w:lang w:eastAsia="zh-CN"/>
        </w:rPr>
        <w:t>）维护车辆。</w:t>
      </w:r>
      <w:r>
        <w:rPr>
          <w:rFonts w:hint="eastAsia" w:ascii="Times New Roman" w:hAnsi="Times New Roman" w:eastAsia="仿宋" w:cs="Times New Roman"/>
          <w:color w:val="auto"/>
          <w:sz w:val="32"/>
          <w:szCs w:val="32"/>
          <w:highlight w:val="none"/>
          <w:lang w:val="en-US" w:eastAsia="zh-CN"/>
        </w:rPr>
        <w:t>2021年维护餐厨中心车辆6台；转运站3台。经现场调查，车辆均可正常使用。目标完成。</w:t>
      </w:r>
    </w:p>
    <w:p>
      <w:pPr>
        <w:numPr>
          <w:ilvl w:val="0"/>
          <w:numId w:val="0"/>
        </w:numPr>
        <w:snapToGrid w:val="0"/>
        <w:spacing w:line="600" w:lineRule="exact"/>
        <w:ind w:firstLine="618" w:firstLineChars="200"/>
        <w:jc w:val="left"/>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7</w:t>
      </w:r>
      <w:r>
        <w:rPr>
          <w:rFonts w:hint="eastAsia" w:ascii="Times New Roman" w:hAnsi="Times New Roman" w:eastAsia="仿宋" w:cs="Times New Roman"/>
          <w:color w:val="auto"/>
          <w:sz w:val="32"/>
          <w:szCs w:val="32"/>
          <w:highlight w:val="none"/>
          <w:lang w:eastAsia="zh-CN"/>
        </w:rPr>
        <w:t>）维护5座</w:t>
      </w:r>
      <w:r>
        <w:rPr>
          <w:rFonts w:hint="eastAsia" w:ascii="Times New Roman" w:hAnsi="Times New Roman" w:eastAsia="仿宋" w:cs="Times New Roman"/>
          <w:color w:val="auto"/>
          <w:sz w:val="32"/>
          <w:szCs w:val="32"/>
          <w:highlight w:val="none"/>
          <w:lang w:val="en-US" w:eastAsia="zh-CN"/>
        </w:rPr>
        <w:t>垃圾站</w:t>
      </w:r>
      <w:r>
        <w:rPr>
          <w:rFonts w:hint="eastAsia" w:ascii="Times New Roman" w:hAnsi="Times New Roman" w:eastAsia="仿宋" w:cs="Times New Roman"/>
          <w:color w:val="auto"/>
          <w:sz w:val="32"/>
          <w:szCs w:val="32"/>
          <w:highlight w:val="none"/>
          <w:lang w:eastAsia="zh-CN"/>
        </w:rPr>
        <w:t>设备。</w:t>
      </w:r>
      <w:r>
        <w:rPr>
          <w:rFonts w:hint="eastAsia" w:ascii="Times New Roman" w:hAnsi="Times New Roman" w:eastAsia="仿宋" w:cs="Times New Roman"/>
          <w:color w:val="auto"/>
          <w:sz w:val="32"/>
          <w:szCs w:val="32"/>
          <w:highlight w:val="none"/>
          <w:lang w:val="en-US" w:eastAsia="zh-CN"/>
        </w:rPr>
        <w:t>2021年维护5座垃圾站设备16台，根据各站房运行记录，设备正常运行。目标完成。</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2.产出质量</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（1）</w:t>
      </w:r>
      <w:r>
        <w:rPr>
          <w:rFonts w:hint="eastAsia" w:ascii="Times New Roman" w:hAnsi="Times New Roman" w:eastAsia="仿宋" w:cs="Times New Roman"/>
          <w:color w:val="auto"/>
          <w:sz w:val="32"/>
          <w:szCs w:val="32"/>
          <w:highlight w:val="none"/>
          <w:lang w:val="en-US" w:eastAsia="zh-CN"/>
        </w:rPr>
        <w:t>垃圾</w:t>
      </w:r>
      <w:r>
        <w:rPr>
          <w:rFonts w:hint="default" w:ascii="Times New Roman" w:hAnsi="Times New Roman" w:eastAsia="仿宋" w:cs="Times New Roman"/>
          <w:color w:val="auto"/>
          <w:sz w:val="32"/>
          <w:szCs w:val="32"/>
          <w:highlight w:val="none"/>
        </w:rPr>
        <w:t>收集、运输合格率。</w:t>
      </w:r>
      <w:r>
        <w:rPr>
          <w:rFonts w:hint="eastAsia" w:ascii="Times New Roman" w:hAnsi="Times New Roman" w:eastAsia="仿宋" w:cs="Times New Roman"/>
          <w:color w:val="auto"/>
          <w:sz w:val="32"/>
          <w:szCs w:val="32"/>
          <w:highlight w:val="none"/>
          <w:lang w:val="en-US" w:eastAsia="zh-CN"/>
        </w:rPr>
        <w:t>根据单位工作人员反映存在个别二次污染情况。一是因小号收集桶装满后工作人员不好操作，导致餐厨垃圾洒落；二是在餐厨垃圾倒入密闭车过程中，因传送带未与收集桶紧扣，造成收集桶在倾倒垃圾过程中脱落导致垃圾洒漏。经问卷结果统计，存在偶尔有垃圾飞溅和洒漏的现象。目标未完成。</w:t>
      </w:r>
    </w:p>
    <w:p>
      <w:pPr>
        <w:snapToGrid w:val="0"/>
        <w:spacing w:line="600" w:lineRule="exact"/>
        <w:ind w:firstLine="618" w:firstLineChars="200"/>
        <w:jc w:val="left"/>
        <w:rPr>
          <w:rFonts w:hint="eastAsia"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（2）收集桶发放准确率。</w:t>
      </w:r>
      <w:r>
        <w:rPr>
          <w:rFonts w:hint="eastAsia" w:ascii="Times New Roman" w:hAnsi="Times New Roman" w:eastAsia="仿宋" w:cs="Times New Roman"/>
          <w:color w:val="auto"/>
          <w:sz w:val="32"/>
          <w:szCs w:val="32"/>
          <w:highlight w:val="none"/>
          <w:lang w:val="en-US" w:eastAsia="zh-CN"/>
        </w:rPr>
        <w:t>现场调查发现，签订协议的单位收集桶实发数量与协议配发数有部分不相符；存在发放了收集桶未签订协议的现象。未按协议配发收集桶。目标未完成。</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（3）计量数据准确率。</w:t>
      </w:r>
      <w:r>
        <w:rPr>
          <w:rFonts w:hint="eastAsia" w:ascii="Times New Roman" w:hAnsi="Times New Roman" w:eastAsia="仿宋" w:cs="Times New Roman"/>
          <w:color w:val="auto"/>
          <w:sz w:val="32"/>
          <w:szCs w:val="32"/>
          <w:highlight w:val="none"/>
          <w:lang w:val="en-US" w:eastAsia="zh-CN"/>
        </w:rPr>
        <w:t>经查阅资料及现场调查，存在处理垃圾数量不准确、收集餐厨垃圾重量漏登记情况。目标未完成。</w:t>
      </w:r>
    </w:p>
    <w:p>
      <w:pPr>
        <w:snapToGrid w:val="0"/>
        <w:spacing w:line="600" w:lineRule="exact"/>
        <w:ind w:left="229" w:leftChars="100" w:firstLine="309" w:firstLineChars="1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（4）处理合格率。</w:t>
      </w:r>
      <w:r>
        <w:rPr>
          <w:rFonts w:hint="eastAsia" w:ascii="Times New Roman" w:hAnsi="Times New Roman" w:eastAsia="仿宋" w:cs="Times New Roman"/>
          <w:color w:val="auto"/>
          <w:sz w:val="32"/>
          <w:szCs w:val="32"/>
          <w:highlight w:val="none"/>
          <w:lang w:val="en-US" w:eastAsia="zh-CN"/>
        </w:rPr>
        <w:t>未发现餐厨垃圾处理不符合《餐厨垃圾处理技术规范》（CJJ 184-2012）</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val="en-US" w:eastAsia="zh-CN"/>
        </w:rPr>
        <w:t>目标完成。</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（5）生活垃圾无害化处理率。</w:t>
      </w:r>
      <w:r>
        <w:rPr>
          <w:rFonts w:hint="eastAsia" w:ascii="Times New Roman" w:hAnsi="Times New Roman" w:eastAsia="仿宋" w:cs="Times New Roman"/>
          <w:color w:val="auto"/>
          <w:sz w:val="32"/>
          <w:szCs w:val="32"/>
          <w:highlight w:val="none"/>
          <w:lang w:val="en-US" w:eastAsia="zh-CN"/>
        </w:rPr>
        <w:t>城乡生活垃圾经转运站处置后，送往澧县生活垃圾焚烧厂，做到了无害化处理</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val="en-US" w:eastAsia="zh-CN"/>
        </w:rPr>
        <w:t>目标完成。</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（6）设备清洁到位率。经现场调查餐厨中心、转运站及兰苑宾馆垃圾站，设备清洁到位。目标完成。</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（7）设备正常运行率。经现场调查，餐厨中心、转运站及兰苑宾馆垃圾站设备正常运行。目标完成。</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（8）安全事故。经查阅相关资料及问卷调查，2021年运营期间未发生安全事故。目标完成。</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3.产出时效</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eastAsia" w:ascii="Times New Roman" w:hAnsi="Times New Roman" w:eastAsia="仿宋" w:cs="Times New Roman"/>
          <w:color w:val="auto"/>
          <w:sz w:val="32"/>
          <w:szCs w:val="32"/>
          <w:highlight w:val="none"/>
          <w:lang w:val="en-US" w:eastAsia="zh-CN"/>
        </w:rPr>
        <w:t>经现场调查，</w:t>
      </w:r>
      <w:r>
        <w:rPr>
          <w:rFonts w:hint="eastAsia" w:ascii="Times New Roman" w:hAnsi="Times New Roman" w:eastAsia="仿宋" w:cs="Times New Roman"/>
          <w:color w:val="auto"/>
          <w:sz w:val="32"/>
          <w:szCs w:val="32"/>
          <w:highlight w:val="none"/>
          <w:lang w:val="en-US" w:eastAsia="zh-CN"/>
        </w:rPr>
        <w:t>部分</w:t>
      </w:r>
      <w:r>
        <w:rPr>
          <w:rFonts w:hint="eastAsia" w:ascii="Times New Roman" w:hAnsi="Times New Roman" w:eastAsia="仿宋" w:cs="Times New Roman"/>
          <w:color w:val="auto"/>
          <w:sz w:val="32"/>
          <w:szCs w:val="32"/>
          <w:highlight w:val="none"/>
          <w:lang w:val="en-US" w:eastAsia="zh-CN"/>
        </w:rPr>
        <w:t xml:space="preserve">餐厨垃圾存在隔1-2天收集的情况，未做到日产日清； </w:t>
      </w:r>
      <w:r>
        <w:rPr>
          <w:rFonts w:hint="eastAsia" w:ascii="Times New Roman" w:hAnsi="Times New Roman" w:eastAsia="仿宋" w:cs="Times New Roman"/>
          <w:color w:val="auto"/>
          <w:kern w:val="0"/>
          <w:sz w:val="32"/>
          <w:szCs w:val="32"/>
          <w:highlight w:val="none"/>
          <w:lang w:val="en-US" w:eastAsia="zh-CN" w:bidi="ar-SA"/>
        </w:rPr>
        <w:t>个别餐饮门店人员与环卫处反映需要收集桶，但一直未配发到位</w:t>
      </w:r>
      <w:r>
        <w:rPr>
          <w:rFonts w:hint="eastAsia" w:ascii="Times New Roman" w:hAnsi="Times New Roman" w:eastAsia="仿宋" w:cs="Times New Roman"/>
          <w:color w:val="auto"/>
          <w:sz w:val="32"/>
          <w:szCs w:val="32"/>
          <w:highlight w:val="none"/>
          <w:lang w:val="en-US" w:eastAsia="zh-CN"/>
        </w:rPr>
        <w:t>。</w:t>
      </w:r>
      <w:r>
        <w:rPr>
          <w:rFonts w:hint="eastAsia" w:ascii="Times New Roman" w:hAnsi="Times New Roman" w:eastAsia="仿宋" w:cs="Times New Roman"/>
          <w:color w:val="auto"/>
          <w:sz w:val="32"/>
          <w:szCs w:val="32"/>
          <w:highlight w:val="none"/>
          <w:lang w:val="en-US" w:eastAsia="zh-CN"/>
        </w:rPr>
        <w:t>部分</w:t>
      </w:r>
      <w:r>
        <w:rPr>
          <w:rFonts w:hint="eastAsia" w:ascii="Times New Roman" w:hAnsi="Times New Roman" w:eastAsia="仿宋" w:cs="Times New Roman"/>
          <w:color w:val="auto"/>
          <w:sz w:val="32"/>
          <w:szCs w:val="32"/>
          <w:highlight w:val="none"/>
          <w:lang w:val="en-US" w:eastAsia="zh-CN"/>
        </w:rPr>
        <w:t>餐厨垃圾收运、</w:t>
      </w:r>
      <w:r>
        <w:rPr>
          <w:rFonts w:hint="eastAsia" w:ascii="Times New Roman" w:hAnsi="Times New Roman" w:eastAsia="仿宋" w:cs="Times New Roman"/>
          <w:color w:val="auto"/>
          <w:sz w:val="32"/>
          <w:szCs w:val="32"/>
          <w:highlight w:val="none"/>
          <w:lang w:val="en-US" w:eastAsia="zh-CN"/>
        </w:rPr>
        <w:t>个别</w:t>
      </w:r>
      <w:r>
        <w:rPr>
          <w:rFonts w:hint="eastAsia" w:ascii="Times New Roman" w:hAnsi="Times New Roman" w:eastAsia="仿宋" w:cs="Times New Roman"/>
          <w:color w:val="auto"/>
          <w:sz w:val="32"/>
          <w:szCs w:val="32"/>
          <w:highlight w:val="none"/>
          <w:lang w:val="en-US" w:eastAsia="zh-CN"/>
        </w:rPr>
        <w:t>收集桶发放存在不及时情况。</w:t>
      </w:r>
      <w:r>
        <w:rPr>
          <w:rFonts w:hint="default" w:ascii="Times New Roman" w:hAnsi="Times New Roman" w:eastAsia="仿宋" w:cs="Times New Roman"/>
          <w:color w:val="auto"/>
          <w:sz w:val="32"/>
          <w:szCs w:val="32"/>
          <w:highlight w:val="none"/>
        </w:rPr>
        <w:t>目标未完成。</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4.产出成本</w:t>
      </w:r>
    </w:p>
    <w:p>
      <w:pPr>
        <w:snapToGrid w:val="0"/>
        <w:spacing w:line="600" w:lineRule="exact"/>
        <w:ind w:firstLine="618" w:firstLineChars="200"/>
        <w:jc w:val="left"/>
        <w:rPr>
          <w:rFonts w:hint="eastAsia" w:ascii="Times New Roman" w:hAnsi="Times New Roman" w:eastAsia="仿宋" w:cs="Times New Roman"/>
          <w:color w:val="auto"/>
          <w:sz w:val="32"/>
          <w:szCs w:val="32"/>
          <w:highlight w:val="none"/>
          <w:lang w:val="en-US" w:eastAsia="zh-CN"/>
        </w:rPr>
      </w:pPr>
      <w:r>
        <w:rPr>
          <w:rFonts w:hint="eastAsia" w:eastAsia="仿宋"/>
          <w:color w:val="auto"/>
          <w:sz w:val="32"/>
          <w:szCs w:val="32"/>
          <w:highlight w:val="none"/>
          <w:lang w:val="en-US" w:eastAsia="zh-CN"/>
        </w:rPr>
        <w:t>总成本控制在预算内，有</w:t>
      </w:r>
      <w:r>
        <w:rPr>
          <w:rFonts w:hint="eastAsia" w:ascii="Times New Roman" w:hAnsi="Times New Roman" w:eastAsia="仿宋" w:cs="Times New Roman"/>
          <w:color w:val="auto"/>
          <w:kern w:val="0"/>
          <w:sz w:val="32"/>
          <w:szCs w:val="32"/>
          <w:highlight w:val="none"/>
          <w:lang w:val="en-US" w:eastAsia="zh-CN" w:bidi="ar-SA"/>
        </w:rPr>
        <w:t>电费、除臭药剂</w:t>
      </w:r>
      <w:r>
        <w:rPr>
          <w:rFonts w:hint="eastAsia" w:eastAsia="仿宋"/>
          <w:color w:val="auto"/>
          <w:sz w:val="32"/>
          <w:szCs w:val="32"/>
          <w:highlight w:val="none"/>
          <w:lang w:val="en-US" w:eastAsia="zh-CN"/>
        </w:rPr>
        <w:t>2个子项目超预算。</w:t>
      </w:r>
      <w:r>
        <w:rPr>
          <w:rFonts w:hint="default" w:ascii="Times New Roman" w:hAnsi="Times New Roman" w:eastAsia="仿宋" w:cs="Times New Roman"/>
          <w:color w:val="auto"/>
          <w:sz w:val="32"/>
          <w:szCs w:val="32"/>
          <w:highlight w:val="none"/>
        </w:rPr>
        <w:t>目标</w:t>
      </w:r>
      <w:r>
        <w:rPr>
          <w:rFonts w:hint="eastAsia" w:ascii="Times New Roman" w:hAnsi="Times New Roman" w:eastAsia="仿宋" w:cs="Times New Roman"/>
          <w:color w:val="auto"/>
          <w:sz w:val="32"/>
          <w:szCs w:val="32"/>
          <w:highlight w:val="none"/>
          <w:lang w:val="en-US" w:eastAsia="zh-CN"/>
        </w:rPr>
        <w:t>未</w:t>
      </w:r>
      <w:r>
        <w:rPr>
          <w:rFonts w:hint="default" w:ascii="Times New Roman" w:hAnsi="Times New Roman" w:eastAsia="仿宋" w:cs="Times New Roman"/>
          <w:color w:val="auto"/>
          <w:sz w:val="32"/>
          <w:szCs w:val="32"/>
          <w:highlight w:val="none"/>
        </w:rPr>
        <w:t>完成</w:t>
      </w:r>
      <w:r>
        <w:rPr>
          <w:rFonts w:hint="eastAsia" w:ascii="Times New Roman" w:hAnsi="Times New Roman" w:eastAsia="仿宋" w:cs="Times New Roman"/>
          <w:color w:val="auto"/>
          <w:sz w:val="32"/>
          <w:szCs w:val="32"/>
          <w:highlight w:val="none"/>
          <w:lang w:eastAsia="zh-CN"/>
        </w:rPr>
        <w:t>。</w:t>
      </w:r>
    </w:p>
    <w:p>
      <w:pPr>
        <w:widowControl/>
        <w:spacing w:line="600" w:lineRule="exact"/>
        <w:ind w:firstLine="618" w:firstLineChars="200"/>
        <w:rPr>
          <w:rFonts w:hint="default" w:ascii="Times New Roman" w:hAnsi="Times New Roman" w:eastAsia="楷体" w:cs="Times New Roman"/>
          <w:color w:val="auto"/>
          <w:kern w:val="0"/>
          <w:sz w:val="32"/>
          <w:szCs w:val="32"/>
          <w:highlight w:val="none"/>
        </w:rPr>
      </w:pPr>
      <w:r>
        <w:rPr>
          <w:rFonts w:hint="default" w:ascii="Times New Roman" w:hAnsi="Times New Roman" w:eastAsia="楷体" w:cs="Times New Roman"/>
          <w:color w:val="auto"/>
          <w:kern w:val="0"/>
          <w:sz w:val="32"/>
          <w:szCs w:val="32"/>
          <w:highlight w:val="none"/>
        </w:rPr>
        <w:t>（四）项目效益</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1.经济效益</w:t>
      </w:r>
    </w:p>
    <w:p>
      <w:pPr>
        <w:snapToGrid w:val="0"/>
        <w:spacing w:line="600" w:lineRule="exact"/>
        <w:ind w:firstLine="618" w:firstLineChars="200"/>
        <w:jc w:val="left"/>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2021年餐厨中心处理餐厨垃圾1,683吨，产生回收有机肥53.53吨，废油脂29.07吨。实现有机肥收入0.53万元，废油脂收入7.29万元，合计非税收入7.82万元，已全部上缴国库。目标完成。</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2.社会效益</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（1）新增就业人数。</w:t>
      </w:r>
      <w:r>
        <w:rPr>
          <w:rFonts w:hint="eastAsia" w:ascii="Times New Roman" w:hAnsi="Times New Roman" w:eastAsia="仿宋" w:cs="Times New Roman"/>
          <w:color w:val="auto"/>
          <w:sz w:val="32"/>
          <w:szCs w:val="32"/>
          <w:highlight w:val="none"/>
          <w:lang w:val="en-US" w:eastAsia="zh-CN"/>
        </w:rPr>
        <w:t>截至2021年12月底，新增就业人数32人</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目标完成率</w:t>
      </w:r>
      <w:r>
        <w:rPr>
          <w:rFonts w:hint="eastAsia" w:ascii="Times New Roman" w:hAnsi="Times New Roman" w:eastAsia="仿宋" w:cs="Times New Roman"/>
          <w:color w:val="auto"/>
          <w:sz w:val="32"/>
          <w:szCs w:val="32"/>
          <w:highlight w:val="none"/>
          <w:lang w:val="en-US" w:eastAsia="zh-CN"/>
        </w:rPr>
        <w:t>91.43</w:t>
      </w:r>
      <w:r>
        <w:rPr>
          <w:rFonts w:hint="default" w:ascii="Times New Roman" w:hAnsi="Times New Roman" w:eastAsia="仿宋" w:cs="Times New Roman"/>
          <w:color w:val="auto"/>
          <w:sz w:val="32"/>
          <w:szCs w:val="32"/>
          <w:highlight w:val="none"/>
        </w:rPr>
        <w:t>%。</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（2）</w:t>
      </w:r>
      <w:r>
        <w:rPr>
          <w:rFonts w:hint="eastAsia" w:ascii="Times New Roman" w:hAnsi="Times New Roman" w:eastAsia="仿宋" w:cs="Times New Roman"/>
          <w:color w:val="auto"/>
          <w:sz w:val="32"/>
          <w:szCs w:val="32"/>
          <w:highlight w:val="none"/>
          <w:lang w:val="en-US" w:eastAsia="zh-CN"/>
        </w:rPr>
        <w:t>通过餐厨中心及5座垃圾站的运营，有效</w:t>
      </w:r>
      <w:r>
        <w:rPr>
          <w:rFonts w:hint="default" w:ascii="Times New Roman" w:hAnsi="Times New Roman" w:eastAsia="仿宋" w:cs="Times New Roman"/>
          <w:color w:val="auto"/>
          <w:sz w:val="32"/>
          <w:szCs w:val="32"/>
          <w:highlight w:val="none"/>
        </w:rPr>
        <w:t>避免泔水外流</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防止地沟油重返餐桌</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提高了食品安全水平，在解决“地沟油”、“泔水猪”等民生焦点问题上取得了重大突破；在保障津市市人民身体健康等方面发挥了重要作用。但经现场调查，仍存在泔水外流、</w:t>
      </w:r>
      <w:r>
        <w:rPr>
          <w:rFonts w:hint="eastAsia" w:ascii="Times New Roman" w:hAnsi="Times New Roman" w:eastAsia="仿宋" w:cs="Times New Roman"/>
          <w:color w:val="auto"/>
          <w:kern w:val="0"/>
          <w:sz w:val="32"/>
          <w:szCs w:val="32"/>
          <w:highlight w:val="none"/>
          <w:lang w:val="en-US" w:eastAsia="zh-CN" w:bidi="ar-SA"/>
        </w:rPr>
        <w:t>餐厨垃圾饲养牲畜等</w:t>
      </w:r>
      <w:r>
        <w:rPr>
          <w:rFonts w:hint="eastAsia" w:ascii="Times New Roman" w:hAnsi="Times New Roman" w:eastAsia="仿宋" w:cs="Times New Roman"/>
          <w:color w:val="auto"/>
          <w:sz w:val="32"/>
          <w:szCs w:val="32"/>
          <w:highlight w:val="none"/>
          <w:lang w:val="en-US" w:eastAsia="zh-CN"/>
        </w:rPr>
        <w:t>情况。</w:t>
      </w:r>
      <w:r>
        <w:rPr>
          <w:rFonts w:hint="default" w:ascii="Times New Roman" w:hAnsi="Times New Roman" w:eastAsia="仿宋" w:cs="Times New Roman"/>
          <w:color w:val="auto"/>
          <w:sz w:val="32"/>
          <w:szCs w:val="32"/>
          <w:highlight w:val="none"/>
        </w:rPr>
        <w:t>目标</w:t>
      </w:r>
      <w:r>
        <w:rPr>
          <w:rFonts w:hint="eastAsia" w:ascii="Times New Roman" w:hAnsi="Times New Roman" w:eastAsia="仿宋" w:cs="Times New Roman"/>
          <w:color w:val="auto"/>
          <w:sz w:val="32"/>
          <w:szCs w:val="32"/>
          <w:highlight w:val="none"/>
          <w:lang w:val="en-US" w:eastAsia="zh-CN"/>
        </w:rPr>
        <w:t>基本</w:t>
      </w:r>
      <w:r>
        <w:rPr>
          <w:rFonts w:hint="default" w:ascii="Times New Roman" w:hAnsi="Times New Roman" w:eastAsia="仿宋" w:cs="Times New Roman"/>
          <w:color w:val="auto"/>
          <w:sz w:val="32"/>
          <w:szCs w:val="32"/>
          <w:highlight w:val="none"/>
        </w:rPr>
        <w:t>完成。</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（3）</w:t>
      </w:r>
      <w:r>
        <w:rPr>
          <w:rFonts w:hint="eastAsia" w:ascii="Times New Roman" w:hAnsi="Times New Roman" w:eastAsia="仿宋" w:cs="Times New Roman"/>
          <w:color w:val="auto"/>
          <w:sz w:val="32"/>
          <w:szCs w:val="32"/>
          <w:highlight w:val="none"/>
          <w:lang w:val="en-US" w:eastAsia="zh-CN"/>
        </w:rPr>
        <w:t>垃圾转运站的投入减少了蚊蝇的滋生，改善了城市环境卫生，为树立良好的城市形象起了重要的作用。</w:t>
      </w:r>
      <w:r>
        <w:rPr>
          <w:rFonts w:hint="default" w:ascii="Times New Roman" w:hAnsi="Times New Roman" w:eastAsia="仿宋" w:cs="Times New Roman"/>
          <w:color w:val="auto"/>
          <w:sz w:val="32"/>
          <w:szCs w:val="32"/>
          <w:highlight w:val="none"/>
        </w:rPr>
        <w:t>目标完成。</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eastAsia" w:ascii="Times New Roman" w:hAnsi="Times New Roman" w:eastAsia="仿宋" w:cs="Times New Roman"/>
          <w:color w:val="auto"/>
          <w:sz w:val="32"/>
          <w:szCs w:val="32"/>
          <w:highlight w:val="none"/>
          <w:lang w:val="en-US" w:eastAsia="zh-CN"/>
        </w:rPr>
        <w:t>2.生态效益</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餐厨中心和5座垃圾站的运营，减轻了</w:t>
      </w:r>
      <w:r>
        <w:rPr>
          <w:rFonts w:hint="default" w:ascii="Times New Roman" w:hAnsi="Times New Roman" w:eastAsia="仿宋" w:cs="Times New Roman"/>
          <w:color w:val="auto"/>
          <w:sz w:val="32"/>
          <w:szCs w:val="32"/>
          <w:highlight w:val="none"/>
        </w:rPr>
        <w:t>餐厨垃圾对环境的污染</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减少了餐厨垃圾直接倒入下水道的情况，有效地避免了对地下水的二次污染。转运站的运营，有效地解决废气处理、污水处理、土壤保护等环保问题。目标完成。</w:t>
      </w:r>
    </w:p>
    <w:p>
      <w:pPr>
        <w:numPr>
          <w:ilvl w:val="0"/>
          <w:numId w:val="0"/>
        </w:num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eastAsia" w:ascii="Times New Roman" w:hAnsi="Times New Roman" w:eastAsia="仿宋" w:cs="Times New Roman"/>
          <w:color w:val="auto"/>
          <w:sz w:val="32"/>
          <w:szCs w:val="32"/>
          <w:highlight w:val="none"/>
          <w:lang w:val="en-US" w:eastAsia="zh-CN"/>
        </w:rPr>
        <w:t>3.</w:t>
      </w:r>
      <w:r>
        <w:rPr>
          <w:rFonts w:hint="default" w:ascii="Times New Roman" w:hAnsi="Times New Roman" w:eastAsia="仿宋" w:cs="Times New Roman"/>
          <w:color w:val="auto"/>
          <w:sz w:val="32"/>
          <w:szCs w:val="32"/>
          <w:highlight w:val="none"/>
        </w:rPr>
        <w:t>可持续性影响</w:t>
      </w:r>
    </w:p>
    <w:p>
      <w:pPr>
        <w:snapToGrid w:val="0"/>
        <w:spacing w:line="600" w:lineRule="exact"/>
        <w:ind w:firstLine="618" w:firstLineChars="200"/>
        <w:jc w:val="left"/>
        <w:rPr>
          <w:rFonts w:hint="default" w:ascii="Times New Roman" w:hAnsi="Times New Roman" w:eastAsia="仿宋" w:cs="Times New Roman"/>
          <w:color w:val="auto"/>
          <w:spacing w:val="-6"/>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餐厨垃圾集中处理后，实现餐厨废弃物处理的能源转化与资源化循环利用。</w:t>
      </w:r>
      <w:r>
        <w:rPr>
          <w:rFonts w:hint="default" w:ascii="Times New Roman" w:hAnsi="Times New Roman" w:eastAsia="仿宋" w:cs="Times New Roman"/>
          <w:color w:val="auto"/>
          <w:sz w:val="32"/>
          <w:szCs w:val="32"/>
          <w:highlight w:val="none"/>
        </w:rPr>
        <w:t>控制环境脏源，</w:t>
      </w:r>
      <w:r>
        <w:rPr>
          <w:rFonts w:hint="eastAsia" w:ascii="Times New Roman" w:hAnsi="Times New Roman" w:eastAsia="仿宋" w:cs="Times New Roman"/>
          <w:color w:val="auto"/>
          <w:sz w:val="32"/>
          <w:szCs w:val="32"/>
          <w:highlight w:val="none"/>
          <w:lang w:val="en-US" w:eastAsia="zh-CN"/>
        </w:rPr>
        <w:t>对提高城市生态环境质量，</w:t>
      </w:r>
      <w:r>
        <w:rPr>
          <w:rFonts w:hint="default" w:ascii="Times New Roman" w:hAnsi="Times New Roman" w:eastAsia="仿宋" w:cs="Times New Roman"/>
          <w:color w:val="auto"/>
          <w:sz w:val="32"/>
          <w:szCs w:val="32"/>
          <w:highlight w:val="none"/>
        </w:rPr>
        <w:t>达到国家级卫生城市标准</w:t>
      </w:r>
      <w:r>
        <w:rPr>
          <w:rFonts w:hint="eastAsia" w:ascii="Times New Roman" w:hAnsi="Times New Roman" w:eastAsia="仿宋" w:cs="Times New Roman"/>
          <w:color w:val="auto"/>
          <w:sz w:val="32"/>
          <w:szCs w:val="32"/>
          <w:highlight w:val="none"/>
          <w:lang w:val="en-US" w:eastAsia="zh-CN"/>
        </w:rPr>
        <w:t>具有深远意义</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餐厨中心和转运站</w:t>
      </w:r>
      <w:r>
        <w:rPr>
          <w:rFonts w:hint="default" w:ascii="Times New Roman" w:hAnsi="Times New Roman" w:eastAsia="仿宋" w:cs="Times New Roman"/>
          <w:color w:val="auto"/>
          <w:sz w:val="32"/>
          <w:szCs w:val="32"/>
          <w:highlight w:val="none"/>
        </w:rPr>
        <w:t>后期</w:t>
      </w:r>
      <w:r>
        <w:rPr>
          <w:rFonts w:hint="eastAsia" w:ascii="Times New Roman" w:hAnsi="Times New Roman" w:eastAsia="仿宋" w:cs="Times New Roman"/>
          <w:color w:val="auto"/>
          <w:sz w:val="32"/>
          <w:szCs w:val="32"/>
          <w:highlight w:val="none"/>
          <w:lang w:val="en-US" w:eastAsia="zh-CN"/>
        </w:rPr>
        <w:t>运行为</w:t>
      </w:r>
      <w:r>
        <w:rPr>
          <w:rFonts w:hint="default" w:ascii="Times New Roman" w:hAnsi="Times New Roman" w:eastAsia="仿宋" w:cs="Times New Roman"/>
          <w:color w:val="auto"/>
          <w:sz w:val="32"/>
          <w:szCs w:val="32"/>
          <w:highlight w:val="none"/>
        </w:rPr>
        <w:t>长期管护</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但除兰苑宾馆垃圾站外的4座垃圾站从2022年4月停止运营，后期无需管护</w:t>
      </w:r>
      <w:r>
        <w:rPr>
          <w:rFonts w:hint="eastAsia" w:ascii="Times New Roman" w:hAnsi="Times New Roman" w:eastAsia="仿宋" w:cs="Times New Roman"/>
          <w:color w:val="auto"/>
          <w:spacing w:val="-6"/>
          <w:sz w:val="32"/>
          <w:szCs w:val="32"/>
          <w:highlight w:val="none"/>
          <w:lang w:val="en-US" w:eastAsia="zh-CN"/>
        </w:rPr>
        <w:t>。视同目标完成。</w:t>
      </w:r>
    </w:p>
    <w:p>
      <w:pPr>
        <w:snapToGrid w:val="0"/>
        <w:spacing w:line="600" w:lineRule="exact"/>
        <w:ind w:firstLine="618" w:firstLineChars="200"/>
        <w:jc w:val="lef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4.满意度</w:t>
      </w:r>
    </w:p>
    <w:p>
      <w:pPr>
        <w:snapToGrid w:val="0"/>
        <w:spacing w:line="600" w:lineRule="exact"/>
        <w:ind w:firstLine="594" w:firstLineChars="200"/>
        <w:jc w:val="left"/>
        <w:rPr>
          <w:rFonts w:hint="default" w:ascii="Times New Roman" w:hAnsi="Times New Roman" w:eastAsia="仿宋" w:cs="Times New Roman"/>
          <w:color w:val="auto"/>
          <w:spacing w:val="-6"/>
          <w:sz w:val="32"/>
          <w:szCs w:val="32"/>
          <w:highlight w:val="none"/>
          <w:lang w:val="en-US"/>
        </w:rPr>
      </w:pPr>
      <w:r>
        <w:rPr>
          <w:rFonts w:hint="default" w:ascii="Times New Roman" w:hAnsi="Times New Roman" w:eastAsia="仿宋" w:cs="Times New Roman"/>
          <w:color w:val="auto"/>
          <w:spacing w:val="-6"/>
          <w:sz w:val="32"/>
          <w:szCs w:val="32"/>
          <w:highlight w:val="none"/>
        </w:rPr>
        <w:t>根据问卷调查结果，</w:t>
      </w:r>
      <w:r>
        <w:rPr>
          <w:rFonts w:hint="eastAsia" w:ascii="Times New Roman" w:hAnsi="Times New Roman" w:eastAsia="仿宋" w:cs="Times New Roman"/>
          <w:color w:val="auto"/>
          <w:spacing w:val="-6"/>
          <w:sz w:val="32"/>
          <w:szCs w:val="32"/>
          <w:highlight w:val="none"/>
          <w:lang w:val="en-US" w:eastAsia="zh-CN"/>
        </w:rPr>
        <w:t>协议单位经营业主</w:t>
      </w:r>
      <w:r>
        <w:rPr>
          <w:rFonts w:hint="default" w:ascii="Times New Roman" w:hAnsi="Times New Roman" w:eastAsia="仿宋" w:cs="Times New Roman"/>
          <w:color w:val="auto"/>
          <w:spacing w:val="-6"/>
          <w:sz w:val="32"/>
          <w:szCs w:val="32"/>
          <w:highlight w:val="none"/>
        </w:rPr>
        <w:t>满意度</w:t>
      </w:r>
      <w:r>
        <w:rPr>
          <w:rFonts w:hint="eastAsia" w:ascii="Times New Roman" w:hAnsi="Times New Roman" w:eastAsia="仿宋" w:cs="Times New Roman"/>
          <w:color w:val="auto"/>
          <w:spacing w:val="-6"/>
          <w:sz w:val="32"/>
          <w:szCs w:val="32"/>
          <w:highlight w:val="none"/>
          <w:lang w:val="en-US" w:eastAsia="zh-CN"/>
        </w:rPr>
        <w:t>86.06</w:t>
      </w:r>
      <w:r>
        <w:rPr>
          <w:rFonts w:hint="default" w:ascii="Times New Roman" w:hAnsi="Times New Roman" w:eastAsia="仿宋" w:cs="Times New Roman"/>
          <w:color w:val="auto"/>
          <w:spacing w:val="-6"/>
          <w:sz w:val="32"/>
          <w:szCs w:val="32"/>
          <w:highlight w:val="none"/>
        </w:rPr>
        <w:t>%；</w:t>
      </w:r>
      <w:r>
        <w:rPr>
          <w:rFonts w:hint="eastAsia" w:ascii="Times New Roman" w:hAnsi="Times New Roman" w:eastAsia="仿宋" w:cs="Times New Roman"/>
          <w:color w:val="auto"/>
          <w:spacing w:val="-6"/>
          <w:sz w:val="32"/>
          <w:szCs w:val="32"/>
          <w:highlight w:val="none"/>
          <w:lang w:val="en-US" w:eastAsia="zh-CN"/>
        </w:rPr>
        <w:t>工作人员</w:t>
      </w:r>
      <w:r>
        <w:rPr>
          <w:rFonts w:hint="default" w:ascii="Times New Roman" w:hAnsi="Times New Roman" w:eastAsia="仿宋" w:cs="Times New Roman"/>
          <w:color w:val="auto"/>
          <w:spacing w:val="-6"/>
          <w:sz w:val="32"/>
          <w:szCs w:val="32"/>
          <w:highlight w:val="none"/>
        </w:rPr>
        <w:t>满意度</w:t>
      </w:r>
      <w:r>
        <w:rPr>
          <w:rFonts w:hint="eastAsia" w:ascii="Times New Roman" w:hAnsi="Times New Roman" w:eastAsia="仿宋" w:cs="Times New Roman"/>
          <w:color w:val="auto"/>
          <w:spacing w:val="-6"/>
          <w:sz w:val="32"/>
          <w:szCs w:val="32"/>
          <w:highlight w:val="none"/>
          <w:lang w:val="en-US" w:eastAsia="zh-CN"/>
        </w:rPr>
        <w:t>81.82</w:t>
      </w:r>
      <w:r>
        <w:rPr>
          <w:rFonts w:hint="default" w:ascii="Times New Roman" w:hAnsi="Times New Roman" w:eastAsia="仿宋" w:cs="Times New Roman"/>
          <w:color w:val="auto"/>
          <w:spacing w:val="-6"/>
          <w:sz w:val="32"/>
          <w:szCs w:val="32"/>
          <w:highlight w:val="none"/>
        </w:rPr>
        <w:t>%；</w:t>
      </w:r>
      <w:r>
        <w:rPr>
          <w:rFonts w:hint="eastAsia" w:ascii="Times New Roman" w:hAnsi="Times New Roman" w:eastAsia="仿宋" w:cs="Times New Roman"/>
          <w:color w:val="auto"/>
          <w:spacing w:val="-6"/>
          <w:sz w:val="32"/>
          <w:szCs w:val="32"/>
          <w:highlight w:val="none"/>
          <w:lang w:val="en-US" w:eastAsia="zh-CN"/>
        </w:rPr>
        <w:t>社会公众</w:t>
      </w:r>
      <w:r>
        <w:rPr>
          <w:rFonts w:hint="default" w:ascii="Times New Roman" w:hAnsi="Times New Roman" w:eastAsia="仿宋" w:cs="Times New Roman"/>
          <w:color w:val="auto"/>
          <w:spacing w:val="-6"/>
          <w:sz w:val="32"/>
          <w:szCs w:val="32"/>
          <w:highlight w:val="none"/>
        </w:rPr>
        <w:t>满意度</w:t>
      </w:r>
      <w:r>
        <w:rPr>
          <w:rFonts w:hint="eastAsia" w:ascii="Times New Roman" w:hAnsi="Times New Roman" w:eastAsia="仿宋" w:cs="Times New Roman"/>
          <w:color w:val="auto"/>
          <w:spacing w:val="-6"/>
          <w:sz w:val="32"/>
          <w:szCs w:val="32"/>
          <w:highlight w:val="none"/>
          <w:lang w:val="en-US" w:eastAsia="zh-CN"/>
        </w:rPr>
        <w:t>81.07</w:t>
      </w:r>
      <w:r>
        <w:rPr>
          <w:rFonts w:hint="default" w:ascii="Times New Roman" w:hAnsi="Times New Roman" w:eastAsia="仿宋" w:cs="Times New Roman"/>
          <w:color w:val="auto"/>
          <w:spacing w:val="-6"/>
          <w:sz w:val="32"/>
          <w:szCs w:val="32"/>
          <w:highlight w:val="none"/>
        </w:rPr>
        <w:t>%。</w:t>
      </w:r>
      <w:r>
        <w:rPr>
          <w:rFonts w:hint="eastAsia" w:ascii="Times New Roman" w:hAnsi="Times New Roman" w:eastAsia="仿宋" w:cs="Times New Roman"/>
          <w:color w:val="auto"/>
          <w:spacing w:val="-6"/>
          <w:sz w:val="32"/>
          <w:szCs w:val="32"/>
          <w:highlight w:val="none"/>
          <w:lang w:val="en-US" w:eastAsia="zh-CN"/>
        </w:rPr>
        <w:t>目标均未完成。</w:t>
      </w:r>
    </w:p>
    <w:p>
      <w:pPr>
        <w:widowControl/>
        <w:spacing w:line="600" w:lineRule="exact"/>
        <w:ind w:firstLine="618" w:firstLineChars="200"/>
        <w:rPr>
          <w:rFonts w:hint="default" w:ascii="Times New Roman" w:hAnsi="Times New Roman" w:eastAsia="黑体" w:cs="Times New Roman"/>
          <w:bCs/>
          <w:color w:val="auto"/>
          <w:kern w:val="0"/>
          <w:sz w:val="32"/>
          <w:szCs w:val="32"/>
          <w:highlight w:val="none"/>
        </w:rPr>
      </w:pPr>
      <w:r>
        <w:rPr>
          <w:rFonts w:hint="default" w:ascii="Times New Roman" w:hAnsi="Times New Roman" w:eastAsia="黑体" w:cs="Times New Roman"/>
          <w:bCs/>
          <w:color w:val="auto"/>
          <w:kern w:val="0"/>
          <w:sz w:val="32"/>
          <w:szCs w:val="32"/>
          <w:highlight w:val="none"/>
        </w:rPr>
        <w:t>五、主要经验及做法、存在的问题及原因分析</w:t>
      </w:r>
    </w:p>
    <w:p>
      <w:pPr>
        <w:widowControl/>
        <w:spacing w:line="600" w:lineRule="exact"/>
        <w:ind w:firstLine="618" w:firstLineChars="200"/>
        <w:rPr>
          <w:rFonts w:hint="default" w:ascii="Times New Roman" w:hAnsi="Times New Roman" w:eastAsia="楷体" w:cs="Times New Roman"/>
          <w:color w:val="auto"/>
          <w:kern w:val="0"/>
          <w:sz w:val="32"/>
          <w:szCs w:val="32"/>
          <w:highlight w:val="none"/>
        </w:rPr>
      </w:pPr>
      <w:r>
        <w:rPr>
          <w:rFonts w:hint="default" w:ascii="Times New Roman" w:hAnsi="Times New Roman" w:eastAsia="楷体" w:cs="Times New Roman"/>
          <w:color w:val="auto"/>
          <w:kern w:val="0"/>
          <w:sz w:val="32"/>
          <w:szCs w:val="32"/>
          <w:highlight w:val="none"/>
        </w:rPr>
        <w:t>（一）主要经验及做法</w:t>
      </w:r>
    </w:p>
    <w:p>
      <w:pPr>
        <w:widowControl/>
        <w:spacing w:line="600" w:lineRule="exact"/>
        <w:ind w:firstLine="618"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1.</w:t>
      </w:r>
      <w:r>
        <w:rPr>
          <w:rFonts w:hint="eastAsia" w:ascii="Times New Roman" w:hAnsi="Times New Roman" w:eastAsia="仿宋" w:cs="Times New Roman"/>
          <w:color w:val="auto"/>
          <w:sz w:val="32"/>
          <w:szCs w:val="32"/>
          <w:highlight w:val="none"/>
          <w:lang w:val="en-US" w:eastAsia="zh-CN"/>
        </w:rPr>
        <w:t>制定前期计划。项目单位在餐厨中心和转运站运营前制定了工作计划，梳理前期准备阶段、启动阶段、运行阶段的各事项，做到事前有计划</w:t>
      </w:r>
      <w:r>
        <w:rPr>
          <w:rFonts w:hint="default" w:ascii="Times New Roman" w:hAnsi="Times New Roman" w:eastAsia="仿宋" w:cs="Times New Roman"/>
          <w:color w:val="auto"/>
          <w:sz w:val="32"/>
          <w:szCs w:val="32"/>
          <w:highlight w:val="none"/>
        </w:rPr>
        <w:t>。</w:t>
      </w:r>
    </w:p>
    <w:p>
      <w:pPr>
        <w:widowControl/>
        <w:spacing w:line="600" w:lineRule="exact"/>
        <w:ind w:firstLine="618" w:firstLineChars="200"/>
        <w:rPr>
          <w:rFonts w:hint="eastAsia"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rPr>
        <w:t>2.</w:t>
      </w:r>
      <w:r>
        <w:rPr>
          <w:rFonts w:hint="eastAsia" w:ascii="Times New Roman" w:hAnsi="Times New Roman" w:eastAsia="仿宋" w:cs="Times New Roman"/>
          <w:color w:val="auto"/>
          <w:sz w:val="32"/>
          <w:szCs w:val="32"/>
          <w:highlight w:val="none"/>
          <w:lang w:val="en-US" w:eastAsia="zh-CN"/>
        </w:rPr>
        <w:t>工作职责明确。项目单位经集体研究，明确运营投产后的管理架构，确定总负责人、协管人员、具体总负责人、专干人员</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val="en-US" w:eastAsia="zh-CN"/>
        </w:rPr>
        <w:t>明确各工作职责，责任到人。</w:t>
      </w:r>
    </w:p>
    <w:p>
      <w:pPr>
        <w:widowControl/>
        <w:numPr>
          <w:ilvl w:val="0"/>
          <w:numId w:val="0"/>
        </w:numPr>
        <w:spacing w:line="600" w:lineRule="exact"/>
        <w:ind w:firstLine="618" w:firstLineChars="200"/>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3.定时定点收集。采用“闭环式”处理方法，配备专用密闭式车辆，定时定点上门收集，有效阻断了地沟油回流餐桌。</w:t>
      </w:r>
    </w:p>
    <w:p>
      <w:pPr>
        <w:widowControl/>
        <w:numPr>
          <w:ilvl w:val="0"/>
          <w:numId w:val="2"/>
        </w:numPr>
        <w:spacing w:line="600" w:lineRule="exact"/>
        <w:ind w:firstLine="618" w:firstLineChars="200"/>
        <w:rPr>
          <w:rFonts w:hint="default" w:ascii="Times New Roman" w:hAnsi="Times New Roman" w:eastAsia="楷体" w:cs="Times New Roman"/>
          <w:color w:val="auto"/>
          <w:kern w:val="0"/>
          <w:sz w:val="32"/>
          <w:szCs w:val="32"/>
          <w:highlight w:val="none"/>
        </w:rPr>
      </w:pPr>
      <w:r>
        <w:rPr>
          <w:rFonts w:hint="default" w:ascii="Times New Roman" w:hAnsi="Times New Roman" w:eastAsia="楷体" w:cs="Times New Roman"/>
          <w:color w:val="auto"/>
          <w:kern w:val="0"/>
          <w:sz w:val="32"/>
          <w:szCs w:val="32"/>
          <w:highlight w:val="none"/>
        </w:rPr>
        <w:t>存在的问题</w:t>
      </w:r>
    </w:p>
    <w:p>
      <w:pPr>
        <w:widowControl/>
        <w:spacing w:line="600" w:lineRule="exact"/>
        <w:ind w:firstLine="618" w:firstLineChars="200"/>
        <w:jc w:val="left"/>
        <w:rPr>
          <w:rFonts w:hint="default"/>
          <w:color w:val="auto"/>
          <w:highlight w:val="none"/>
          <w:lang w:val="en-US" w:eastAsia="zh-CN"/>
        </w:rPr>
      </w:pPr>
      <w:r>
        <w:rPr>
          <w:rFonts w:hint="eastAsia" w:ascii="Times New Roman" w:hAnsi="Times New Roman" w:eastAsia="仿宋" w:cs="Times New Roman"/>
          <w:color w:val="auto"/>
          <w:kern w:val="2"/>
          <w:sz w:val="32"/>
          <w:szCs w:val="32"/>
          <w:highlight w:val="none"/>
          <w:lang w:val="en-US" w:eastAsia="zh-CN"/>
        </w:rPr>
        <w:t>1</w:t>
      </w:r>
      <w:r>
        <w:rPr>
          <w:rFonts w:hint="default" w:ascii="Times New Roman" w:hAnsi="Times New Roman" w:eastAsia="仿宋" w:cs="Times New Roman"/>
          <w:color w:val="auto"/>
          <w:kern w:val="2"/>
          <w:sz w:val="32"/>
          <w:szCs w:val="32"/>
          <w:highlight w:val="none"/>
        </w:rPr>
        <w:t>.绩效目标欠规范</w:t>
      </w:r>
      <w:r>
        <w:rPr>
          <w:rFonts w:hint="eastAsia" w:ascii="Times New Roman" w:hAnsi="Times New Roman" w:eastAsia="仿宋" w:cs="Times New Roman"/>
          <w:color w:val="auto"/>
          <w:kern w:val="2"/>
          <w:sz w:val="32"/>
          <w:szCs w:val="32"/>
          <w:highlight w:val="none"/>
          <w:lang w:eastAsia="zh-CN"/>
        </w:rPr>
        <w:t>。</w:t>
      </w:r>
      <w:bookmarkStart w:id="0" w:name="_Hlk76745474"/>
      <w:r>
        <w:rPr>
          <w:rFonts w:hint="default" w:ascii="Times New Roman" w:hAnsi="Times New Roman" w:eastAsia="仿宋" w:cs="Times New Roman"/>
          <w:color w:val="auto"/>
          <w:kern w:val="2"/>
          <w:sz w:val="32"/>
          <w:szCs w:val="32"/>
          <w:highlight w:val="none"/>
        </w:rPr>
        <w:t>部分指标值设置欠合理。</w:t>
      </w:r>
      <w:bookmarkEnd w:id="0"/>
      <w:r>
        <w:rPr>
          <w:rFonts w:hint="eastAsia" w:ascii="Times New Roman" w:hAnsi="Times New Roman" w:eastAsia="仿宋" w:cs="Times New Roman"/>
          <w:color w:val="auto"/>
          <w:sz w:val="32"/>
          <w:szCs w:val="32"/>
          <w:highlight w:val="none"/>
          <w:lang w:val="en-US" w:eastAsia="zh-CN"/>
        </w:rPr>
        <w:t>数量</w:t>
      </w:r>
      <w:r>
        <w:rPr>
          <w:rFonts w:hint="default" w:ascii="Times New Roman" w:hAnsi="Times New Roman" w:eastAsia="仿宋" w:cs="Times New Roman"/>
          <w:color w:val="auto"/>
          <w:sz w:val="32"/>
          <w:szCs w:val="32"/>
          <w:highlight w:val="none"/>
        </w:rPr>
        <w:t>指标</w:t>
      </w:r>
      <w:r>
        <w:rPr>
          <w:rFonts w:hint="eastAsia" w:ascii="Times New Roman" w:hAnsi="Times New Roman" w:eastAsia="仿宋" w:cs="Times New Roman"/>
          <w:color w:val="auto"/>
          <w:sz w:val="32"/>
          <w:szCs w:val="32"/>
          <w:highlight w:val="none"/>
          <w:lang w:val="en-US" w:eastAsia="zh-CN"/>
        </w:rPr>
        <w:t>中</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全年收集餐厨垃圾吨数</w:t>
      </w:r>
      <w:r>
        <w:rPr>
          <w:rFonts w:hint="eastAsia" w:ascii="Times New Roman" w:hAnsi="Times New Roman" w:eastAsia="仿宋" w:cs="Times New Roman"/>
          <w:color w:val="auto"/>
          <w:sz w:val="32"/>
          <w:szCs w:val="32"/>
          <w:highlight w:val="none"/>
          <w:lang w:eastAsia="zh-CN"/>
        </w:rPr>
        <w:t>”</w:t>
      </w:r>
      <w:r>
        <w:rPr>
          <w:rFonts w:hint="eastAsia" w:ascii="Times New Roman" w:hAnsi="Times New Roman" w:eastAsia="仿宋" w:cs="Times New Roman"/>
          <w:color w:val="auto"/>
          <w:sz w:val="32"/>
          <w:szCs w:val="32"/>
          <w:highlight w:val="none"/>
          <w:lang w:val="en-US" w:eastAsia="zh-CN"/>
        </w:rPr>
        <w:t>及“全年转运生活垃圾吨数”分别按餐厨中心和转运站的日处理能力设置指标值，“泔水收集点数量”根据2018年非洲猪瘟的摸排数设置，目标</w:t>
      </w:r>
      <w:r>
        <w:rPr>
          <w:rFonts w:hint="default" w:ascii="Times New Roman" w:hAnsi="Times New Roman" w:eastAsia="仿宋" w:cs="Times New Roman"/>
          <w:color w:val="auto"/>
          <w:sz w:val="32"/>
          <w:szCs w:val="32"/>
          <w:highlight w:val="none"/>
        </w:rPr>
        <w:t>难以</w:t>
      </w:r>
      <w:r>
        <w:rPr>
          <w:rFonts w:hint="eastAsia" w:ascii="Times New Roman" w:hAnsi="Times New Roman" w:eastAsia="仿宋" w:cs="Times New Roman"/>
          <w:color w:val="auto"/>
          <w:sz w:val="32"/>
          <w:szCs w:val="32"/>
          <w:highlight w:val="none"/>
          <w:lang w:val="en-US" w:eastAsia="zh-CN"/>
        </w:rPr>
        <w:t>完成。绩效目标不准确。配备收集桶的资金不属专项列支范围，但设置了绩效目标；满意度指标值设置偏高。</w:t>
      </w:r>
    </w:p>
    <w:p>
      <w:pPr>
        <w:pStyle w:val="5"/>
        <w:spacing w:before="0" w:beforeAutospacing="0" w:after="0" w:afterAutospacing="0" w:line="600" w:lineRule="exact"/>
        <w:ind w:firstLine="618" w:firstLineChars="200"/>
        <w:rPr>
          <w:rFonts w:hint="eastAsia" w:ascii="Times New Roman" w:hAnsi="Times New Roman" w:eastAsia="仿宋" w:cs="Times New Roman"/>
          <w:color w:val="auto"/>
          <w:kern w:val="2"/>
          <w:sz w:val="32"/>
          <w:szCs w:val="32"/>
          <w:highlight w:val="none"/>
          <w:lang w:val="en-US" w:eastAsia="zh-CN"/>
        </w:rPr>
      </w:pPr>
      <w:r>
        <w:rPr>
          <w:rFonts w:hint="default" w:ascii="Times New Roman" w:hAnsi="Times New Roman" w:eastAsia="仿宋" w:cs="Times New Roman"/>
          <w:color w:val="auto"/>
          <w:sz w:val="32"/>
          <w:szCs w:val="32"/>
          <w:highlight w:val="none"/>
        </w:rPr>
        <w:t>原因分析：</w:t>
      </w:r>
      <w:r>
        <w:rPr>
          <w:rFonts w:hint="eastAsia" w:ascii="Times New Roman" w:hAnsi="Times New Roman" w:eastAsia="仿宋" w:cs="Times New Roman"/>
          <w:color w:val="auto"/>
          <w:sz w:val="32"/>
          <w:szCs w:val="32"/>
          <w:highlight w:val="none"/>
          <w:lang w:val="en-US" w:eastAsia="zh-CN"/>
        </w:rPr>
        <w:t>不</w:t>
      </w:r>
      <w:r>
        <w:rPr>
          <w:rFonts w:hint="default" w:ascii="Times New Roman" w:hAnsi="Times New Roman" w:eastAsia="仿宋" w:cs="Times New Roman"/>
          <w:color w:val="auto"/>
          <w:sz w:val="32"/>
          <w:szCs w:val="32"/>
          <w:highlight w:val="none"/>
        </w:rPr>
        <w:t>够重视预算编制和绩效目标管理，</w:t>
      </w:r>
      <w:r>
        <w:rPr>
          <w:rFonts w:hint="eastAsia" w:ascii="Times New Roman" w:hAnsi="Times New Roman" w:eastAsia="仿宋" w:cs="Times New Roman"/>
          <w:color w:val="auto"/>
          <w:sz w:val="32"/>
          <w:szCs w:val="32"/>
          <w:highlight w:val="none"/>
          <w:lang w:val="en-US" w:eastAsia="zh-CN"/>
        </w:rPr>
        <w:t>项目运营前未对餐饮行业及产生的泔水量做摸底调查</w:t>
      </w:r>
      <w:r>
        <w:rPr>
          <w:rFonts w:hint="eastAsia"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指标值设定</w:t>
      </w:r>
      <w:r>
        <w:rPr>
          <w:rFonts w:hint="eastAsia" w:ascii="Times New Roman" w:hAnsi="Times New Roman" w:eastAsia="仿宋" w:cs="Times New Roman"/>
          <w:color w:val="auto"/>
          <w:sz w:val="32"/>
          <w:szCs w:val="32"/>
          <w:highlight w:val="none"/>
          <w:lang w:val="en-US" w:eastAsia="zh-CN"/>
        </w:rPr>
        <w:t>依据不足</w:t>
      </w:r>
      <w:r>
        <w:rPr>
          <w:rFonts w:hint="default" w:ascii="Times New Roman" w:hAnsi="Times New Roman" w:eastAsia="仿宋" w:cs="Times New Roman"/>
          <w:color w:val="auto"/>
          <w:sz w:val="32"/>
          <w:szCs w:val="32"/>
          <w:highlight w:val="none"/>
        </w:rPr>
        <w:t>。</w:t>
      </w:r>
    </w:p>
    <w:p>
      <w:pPr>
        <w:pStyle w:val="5"/>
        <w:spacing w:before="0" w:beforeAutospacing="0" w:after="0" w:afterAutospacing="0" w:line="600" w:lineRule="exact"/>
        <w:ind w:firstLine="618" w:firstLineChars="200"/>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2.财务管理待加强</w:t>
      </w:r>
    </w:p>
    <w:p>
      <w:pPr>
        <w:pStyle w:val="5"/>
        <w:spacing w:before="0" w:beforeAutospacing="0" w:after="0" w:afterAutospacing="0" w:line="600" w:lineRule="exact"/>
        <w:ind w:firstLine="618" w:firstLineChars="200"/>
        <w:rPr>
          <w:rFonts w:hint="eastAsia"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sz w:val="32"/>
          <w:szCs w:val="32"/>
          <w:highlight w:val="none"/>
          <w:lang w:val="en-US" w:eastAsia="zh-CN"/>
        </w:rPr>
        <w:t>（1）基本支出挤占项目资金</w:t>
      </w:r>
      <w:r>
        <w:rPr>
          <w:rFonts w:hint="eastAsia" w:ascii="Times New Roman" w:hAnsi="Times New Roman" w:eastAsia="仿宋" w:cs="Times New Roman"/>
          <w:color w:val="auto"/>
          <w:kern w:val="0"/>
          <w:sz w:val="32"/>
          <w:szCs w:val="32"/>
          <w:highlight w:val="none"/>
          <w:lang w:val="en-US" w:eastAsia="zh-CN" w:bidi="ar-SA"/>
        </w:rPr>
        <w:t>。共挤占餐厨中心、转运站运行经费4.94万元，其中用于公务车辆保险及维修3.52万元、单位职工保险0.44万元、垃圾中转站维修等0.98万元。</w:t>
      </w:r>
    </w:p>
    <w:p>
      <w:pPr>
        <w:pStyle w:val="5"/>
        <w:spacing w:before="0" w:beforeAutospacing="0" w:after="0" w:afterAutospacing="0" w:line="600" w:lineRule="exact"/>
        <w:ind w:firstLine="618" w:firstLineChars="200"/>
        <w:rPr>
          <w:rFonts w:hint="eastAsia"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kern w:val="0"/>
          <w:sz w:val="32"/>
          <w:szCs w:val="32"/>
          <w:highlight w:val="none"/>
          <w:lang w:val="en-US" w:eastAsia="zh-CN" w:bidi="ar-SA"/>
        </w:rPr>
        <w:t>（2）油费补贴依据不充分。以加油费方式补贴餐厨中心和转运站各1名维修技术主管200元/人/月交通补贴，无补贴依据。</w:t>
      </w:r>
    </w:p>
    <w:p>
      <w:pPr>
        <w:pStyle w:val="5"/>
        <w:spacing w:before="0" w:beforeAutospacing="0" w:after="0" w:afterAutospacing="0" w:line="600" w:lineRule="exact"/>
        <w:ind w:firstLine="618" w:firstLineChars="200"/>
        <w:rPr>
          <w:rFonts w:hint="default"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kern w:val="0"/>
          <w:sz w:val="32"/>
          <w:szCs w:val="32"/>
          <w:highlight w:val="none"/>
          <w:lang w:val="en-US" w:eastAsia="zh-CN" w:bidi="ar-SA"/>
        </w:rPr>
        <w:t>（3）</w:t>
      </w:r>
      <w:r>
        <w:rPr>
          <w:rFonts w:hint="default" w:ascii="Times New Roman" w:hAnsi="Times New Roman" w:eastAsia="仿宋" w:cs="Times New Roman"/>
          <w:color w:val="auto"/>
          <w:kern w:val="0"/>
          <w:sz w:val="32"/>
          <w:szCs w:val="32"/>
          <w:highlight w:val="none"/>
          <w:lang w:val="en-US" w:eastAsia="zh-CN" w:bidi="ar-SA"/>
        </w:rPr>
        <w:t>财务核算不</w:t>
      </w:r>
      <w:r>
        <w:rPr>
          <w:rFonts w:hint="eastAsia" w:ascii="Times New Roman" w:hAnsi="Times New Roman" w:eastAsia="仿宋" w:cs="Times New Roman"/>
          <w:color w:val="auto"/>
          <w:kern w:val="0"/>
          <w:sz w:val="32"/>
          <w:szCs w:val="32"/>
          <w:highlight w:val="none"/>
          <w:lang w:val="en-US" w:eastAsia="zh-CN" w:bidi="ar-SA"/>
        </w:rPr>
        <w:t>精准</w:t>
      </w:r>
      <w:r>
        <w:rPr>
          <w:rFonts w:hint="default" w:ascii="Times New Roman" w:hAnsi="Times New Roman" w:eastAsia="仿宋" w:cs="Times New Roman"/>
          <w:color w:val="auto"/>
          <w:kern w:val="0"/>
          <w:sz w:val="32"/>
          <w:szCs w:val="32"/>
          <w:highlight w:val="none"/>
          <w:lang w:val="en-US" w:eastAsia="zh-CN" w:bidi="ar-SA"/>
        </w:rPr>
        <w:t>。</w:t>
      </w:r>
      <w:r>
        <w:rPr>
          <w:rFonts w:hint="eastAsia" w:ascii="Times New Roman" w:hAnsi="Times New Roman" w:eastAsia="仿宋" w:cs="Times New Roman"/>
          <w:color w:val="auto"/>
          <w:kern w:val="0"/>
          <w:sz w:val="32"/>
          <w:szCs w:val="32"/>
          <w:highlight w:val="none"/>
          <w:lang w:val="en-US" w:eastAsia="zh-CN" w:bidi="ar-SA"/>
        </w:rPr>
        <w:t>餐厨中心和转运站的各个项目实际支出难以区分，无法准确核算各项成本。餐厨中心专账核算不准确，存在人员工资计入基本支出情况。</w:t>
      </w:r>
    </w:p>
    <w:p>
      <w:pPr>
        <w:pStyle w:val="5"/>
        <w:spacing w:before="0" w:beforeAutospacing="0" w:after="0" w:afterAutospacing="0" w:line="600" w:lineRule="exact"/>
        <w:ind w:firstLine="618" w:firstLineChars="200"/>
        <w:rPr>
          <w:rFonts w:hint="default" w:ascii="Times New Roman" w:hAnsi="Times New Roman" w:eastAsia="仿宋" w:cs="Times New Roman"/>
          <w:color w:val="auto"/>
          <w:kern w:val="2"/>
          <w:sz w:val="32"/>
          <w:szCs w:val="32"/>
          <w:highlight w:val="none"/>
          <w:lang w:val="en-US" w:eastAsia="zh-CN"/>
        </w:rPr>
      </w:pPr>
      <w:r>
        <w:rPr>
          <w:rFonts w:hint="default" w:ascii="Times New Roman" w:hAnsi="Times New Roman" w:eastAsia="仿宋" w:cs="Times New Roman"/>
          <w:color w:val="auto"/>
          <w:kern w:val="0"/>
          <w:sz w:val="32"/>
          <w:szCs w:val="32"/>
          <w:highlight w:val="none"/>
          <w:lang w:val="en-US" w:eastAsia="zh-CN" w:bidi="ar-SA"/>
        </w:rPr>
        <w:t>原因分析：</w:t>
      </w:r>
      <w:r>
        <w:rPr>
          <w:rFonts w:hint="default" w:ascii="Times New Roman" w:hAnsi="Times New Roman" w:eastAsia="仿宋" w:cs="Times New Roman"/>
          <w:color w:val="auto"/>
          <w:kern w:val="2"/>
          <w:sz w:val="32"/>
          <w:szCs w:val="32"/>
          <w:highlight w:val="none"/>
          <w:lang w:val="en-US" w:eastAsia="zh-CN"/>
        </w:rPr>
        <w:t>财务人员专账管理意识</w:t>
      </w:r>
      <w:r>
        <w:rPr>
          <w:rFonts w:hint="eastAsia" w:ascii="Times New Roman" w:hAnsi="Times New Roman" w:eastAsia="仿宋" w:cs="Times New Roman"/>
          <w:color w:val="auto"/>
          <w:kern w:val="2"/>
          <w:sz w:val="32"/>
          <w:szCs w:val="32"/>
          <w:highlight w:val="none"/>
          <w:lang w:val="en-US" w:eastAsia="zh-CN"/>
        </w:rPr>
        <w:t>待加强；财务审核制度执行不严格。</w:t>
      </w:r>
    </w:p>
    <w:p>
      <w:pPr>
        <w:widowControl/>
        <w:spacing w:line="600" w:lineRule="exact"/>
        <w:ind w:firstLine="618" w:firstLineChars="200"/>
        <w:jc w:val="left"/>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3</w:t>
      </w:r>
      <w:r>
        <w:rPr>
          <w:rFonts w:hint="default" w:ascii="Times New Roman" w:hAnsi="Times New Roman" w:eastAsia="仿宋" w:cs="Times New Roman"/>
          <w:color w:val="auto"/>
          <w:sz w:val="32"/>
          <w:szCs w:val="32"/>
          <w:highlight w:val="none"/>
          <w:lang w:val="en-US" w:eastAsia="zh-CN"/>
        </w:rPr>
        <w:t>.</w:t>
      </w:r>
      <w:r>
        <w:rPr>
          <w:rFonts w:hint="eastAsia" w:ascii="Times New Roman" w:hAnsi="Times New Roman" w:eastAsia="仿宋" w:cs="Times New Roman"/>
          <w:color w:val="auto"/>
          <w:sz w:val="32"/>
          <w:szCs w:val="32"/>
          <w:highlight w:val="none"/>
          <w:lang w:val="en-US" w:eastAsia="zh-CN"/>
        </w:rPr>
        <w:t>项目</w:t>
      </w:r>
      <w:r>
        <w:rPr>
          <w:rFonts w:hint="default" w:ascii="Times New Roman" w:hAnsi="Times New Roman" w:eastAsia="仿宋" w:cs="Times New Roman"/>
          <w:color w:val="auto"/>
          <w:sz w:val="32"/>
          <w:szCs w:val="32"/>
          <w:highlight w:val="none"/>
          <w:lang w:val="en-US" w:eastAsia="zh-CN"/>
        </w:rPr>
        <w:t>管理</w:t>
      </w:r>
      <w:r>
        <w:rPr>
          <w:rFonts w:hint="eastAsia" w:ascii="Times New Roman" w:hAnsi="Times New Roman" w:eastAsia="仿宋" w:cs="Times New Roman"/>
          <w:color w:val="auto"/>
          <w:sz w:val="32"/>
          <w:szCs w:val="32"/>
          <w:highlight w:val="none"/>
          <w:lang w:val="en-US" w:eastAsia="zh-CN"/>
        </w:rPr>
        <w:t>欠规范</w:t>
      </w:r>
    </w:p>
    <w:p>
      <w:pPr>
        <w:pStyle w:val="5"/>
        <w:numPr>
          <w:ilvl w:val="0"/>
          <w:numId w:val="0"/>
        </w:numPr>
        <w:spacing w:before="0" w:beforeAutospacing="0" w:after="0" w:afterAutospacing="0" w:line="600" w:lineRule="exact"/>
        <w:ind w:firstLine="618" w:firstLineChars="200"/>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（1）人员管理较松散。一是人员无考勤管理；二是值班人员脱岗，现场调查发现，兰苑宾馆操作工因兼职宾馆锅炉工，存在脱岗的情况。</w:t>
      </w:r>
    </w:p>
    <w:p>
      <w:pPr>
        <w:pStyle w:val="5"/>
        <w:numPr>
          <w:ilvl w:val="0"/>
          <w:numId w:val="0"/>
        </w:numPr>
        <w:spacing w:before="0" w:beforeAutospacing="0" w:after="0" w:afterAutospacing="0" w:line="600" w:lineRule="exact"/>
        <w:ind w:firstLine="618" w:firstLineChars="200"/>
        <w:rPr>
          <w:rFonts w:hint="eastAsia"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sz w:val="32"/>
          <w:szCs w:val="32"/>
          <w:highlight w:val="none"/>
          <w:lang w:val="en-US" w:eastAsia="zh-CN"/>
        </w:rPr>
        <w:t>（2）管理存在漏洞。一</w:t>
      </w:r>
      <w:r>
        <w:rPr>
          <w:rFonts w:hint="eastAsia" w:ascii="Times New Roman" w:hAnsi="Times New Roman" w:eastAsia="仿宋" w:cs="Times New Roman"/>
          <w:color w:val="auto"/>
          <w:kern w:val="0"/>
          <w:sz w:val="32"/>
          <w:szCs w:val="32"/>
          <w:highlight w:val="none"/>
          <w:lang w:val="en-US" w:eastAsia="zh-CN" w:bidi="ar-SA"/>
        </w:rPr>
        <w:t>是</w:t>
      </w:r>
      <w:r>
        <w:rPr>
          <w:rFonts w:hint="eastAsia" w:ascii="Times New Roman" w:hAnsi="Times New Roman" w:eastAsia="仿宋" w:cs="Times New Roman"/>
          <w:color w:val="auto"/>
          <w:sz w:val="32"/>
          <w:szCs w:val="32"/>
          <w:highlight w:val="none"/>
          <w:lang w:val="en-US" w:eastAsia="zh-CN"/>
        </w:rPr>
        <w:t>所有临聘人员直接聘用，且大部分用工未签定合同，部分用工未购买社保，存在用工劳动风险。二是食堂管理欠规范，存在</w:t>
      </w:r>
      <w:r>
        <w:rPr>
          <w:rFonts w:hint="eastAsia" w:ascii="Times New Roman" w:hAnsi="Times New Roman" w:eastAsia="仿宋" w:cs="Times New Roman"/>
          <w:color w:val="auto"/>
          <w:kern w:val="0"/>
          <w:sz w:val="32"/>
          <w:szCs w:val="32"/>
          <w:highlight w:val="none"/>
          <w:lang w:val="en-US" w:eastAsia="zh-CN" w:bidi="ar-SA"/>
        </w:rPr>
        <w:t>非工作人员用餐未注明就餐原因、部分中餐情况统计表的合计数与登记数不符的情况。三是台账管理不到位。未建立设备维修材料、除臭药剂等使用台账；</w:t>
      </w:r>
      <w:r>
        <w:rPr>
          <w:rFonts w:hint="eastAsia" w:ascii="Times New Roman" w:hAnsi="Times New Roman" w:eastAsia="仿宋" w:cs="Times New Roman"/>
          <w:color w:val="auto"/>
          <w:sz w:val="32"/>
          <w:szCs w:val="32"/>
          <w:highlight w:val="none"/>
          <w:lang w:val="en-US" w:eastAsia="zh-CN"/>
        </w:rPr>
        <w:t>餐厨收集桶补发放、报损及协议单位投诉、上门回访等均未建立台账，也无相关记录；油耗管理台账存在补登情况；</w:t>
      </w:r>
      <w:r>
        <w:rPr>
          <w:rFonts w:hint="eastAsia" w:ascii="Times New Roman" w:hAnsi="Times New Roman" w:eastAsia="仿宋" w:cs="Times New Roman"/>
          <w:color w:val="auto"/>
          <w:kern w:val="0"/>
          <w:sz w:val="32"/>
          <w:szCs w:val="32"/>
          <w:highlight w:val="none"/>
          <w:lang w:val="en-US" w:eastAsia="zh-CN" w:bidi="ar-SA"/>
        </w:rPr>
        <w:t>城乡生活垃圾转运站工作日志不完整。四是收集桶管理不到位。存在收集桶配发与协议规定不符、未签协议配发收集桶的情况。</w:t>
      </w:r>
    </w:p>
    <w:p>
      <w:pPr>
        <w:pStyle w:val="5"/>
        <w:spacing w:before="0" w:beforeAutospacing="0" w:after="0" w:afterAutospacing="0" w:line="600" w:lineRule="exact"/>
        <w:ind w:firstLine="618" w:firstLineChars="200"/>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（3）制度建设欠完善。一是未制定考评管理细则；二是聘用人员工资发放标准未制定依据</w:t>
      </w:r>
      <w:r>
        <w:rPr>
          <w:rFonts w:hint="eastAsia" w:ascii="Times New Roman" w:hAnsi="Times New Roman" w:eastAsia="仿宋" w:cs="Times New Roman"/>
          <w:color w:val="auto"/>
          <w:kern w:val="0"/>
          <w:sz w:val="32"/>
          <w:szCs w:val="32"/>
          <w:highlight w:val="none"/>
          <w:lang w:val="en-US" w:eastAsia="zh-CN" w:bidi="ar-SA"/>
        </w:rPr>
        <w:t>。三是协议条款执行有难度。厨餐垃圾收运协议规定补发垃圾桶收取相关费用，实际难执行到位。</w:t>
      </w:r>
    </w:p>
    <w:p>
      <w:pPr>
        <w:pStyle w:val="5"/>
        <w:numPr>
          <w:ilvl w:val="0"/>
          <w:numId w:val="0"/>
        </w:numPr>
        <w:spacing w:before="0" w:beforeAutospacing="0" w:after="0" w:afterAutospacing="0" w:line="600" w:lineRule="exact"/>
        <w:ind w:firstLine="618" w:firstLineChars="200"/>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（4）制度执行有欠缺。一是安全会议制度未执行到位。安全会议未按制度规定每月召开一次。二是</w:t>
      </w:r>
      <w:r>
        <w:rPr>
          <w:rFonts w:hint="eastAsia" w:ascii="Times New Roman" w:hAnsi="Times New Roman" w:eastAsia="仿宋" w:cs="Times New Roman"/>
          <w:color w:val="auto"/>
          <w:kern w:val="0"/>
          <w:sz w:val="32"/>
          <w:szCs w:val="32"/>
          <w:highlight w:val="none"/>
          <w:lang w:val="en-US" w:eastAsia="zh-CN" w:bidi="ar-SA"/>
        </w:rPr>
        <w:t>消毒工作不到位。餐厨中心消毒工作未按制度执行到位。如现场调查发现，餐厨中心的消毒台账登记上午9点消毒，实际未消毒；兰苑宾馆垃圾站一个月仅消毒2次。三是餐厨垃圾收运协议执行欠规范，存在收运餐厨垃圾但未签协议的情况。</w:t>
      </w:r>
    </w:p>
    <w:p>
      <w:pPr>
        <w:pStyle w:val="5"/>
        <w:spacing w:before="0" w:beforeAutospacing="0" w:after="0" w:afterAutospacing="0" w:line="600" w:lineRule="exact"/>
        <w:ind w:firstLine="618" w:firstLineChars="200"/>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kern w:val="0"/>
          <w:sz w:val="32"/>
          <w:szCs w:val="32"/>
          <w:highlight w:val="none"/>
          <w:lang w:val="en-US" w:eastAsia="zh-CN" w:bidi="ar-SA"/>
        </w:rPr>
        <w:t>（5）档案管理欠规范。作业人员安全技术培训、司机安全培</w:t>
      </w:r>
      <w:r>
        <w:rPr>
          <w:rFonts w:hint="eastAsia" w:ascii="Times New Roman" w:hAnsi="Times New Roman" w:eastAsia="仿宋" w:cs="Times New Roman"/>
          <w:color w:val="auto"/>
          <w:sz w:val="32"/>
          <w:szCs w:val="32"/>
          <w:highlight w:val="none"/>
          <w:lang w:val="en-US" w:eastAsia="zh-CN"/>
        </w:rPr>
        <w:t>训等无相关佐证资料</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val="en-US" w:eastAsia="zh-CN"/>
        </w:rPr>
        <w:t>协议未按年度分开归档，另存在协议签订后未及时存档。</w:t>
      </w:r>
    </w:p>
    <w:p>
      <w:pPr>
        <w:pStyle w:val="5"/>
        <w:numPr>
          <w:ilvl w:val="0"/>
          <w:numId w:val="0"/>
        </w:numPr>
        <w:spacing w:before="0" w:beforeAutospacing="0" w:after="0" w:afterAutospacing="0" w:line="600" w:lineRule="exact"/>
        <w:ind w:left="609" w:leftChars="266" w:firstLine="0" w:firstLineChars="0"/>
        <w:rPr>
          <w:rFonts w:hint="eastAsia"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kern w:val="0"/>
          <w:sz w:val="32"/>
          <w:szCs w:val="32"/>
          <w:highlight w:val="none"/>
          <w:lang w:val="en-US" w:eastAsia="zh-CN" w:bidi="ar-SA"/>
        </w:rPr>
        <w:t>4.产出效益欠理想</w:t>
      </w:r>
    </w:p>
    <w:p>
      <w:pPr>
        <w:pStyle w:val="5"/>
        <w:numPr>
          <w:ilvl w:val="0"/>
          <w:numId w:val="0"/>
        </w:numPr>
        <w:spacing w:before="0" w:beforeAutospacing="0" w:after="0" w:afterAutospacing="0" w:line="600" w:lineRule="exact"/>
        <w:ind w:firstLine="618" w:firstLineChars="200"/>
        <w:rPr>
          <w:rFonts w:hint="default"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kern w:val="0"/>
          <w:sz w:val="32"/>
          <w:szCs w:val="32"/>
          <w:highlight w:val="none"/>
          <w:lang w:val="en-US" w:eastAsia="zh-CN" w:bidi="ar-SA"/>
        </w:rPr>
        <w:t>（1）日处理能力不足。2021年餐厨垃圾平均日处理量7.45吨，实际处理量占设计能力的37.25%；转运站平均日处理量99.93吨，实际处理量占设计能力（最大日处理能力200吨）的49.97%；5座泵房垃圾平均日处量0.29吨，实际处理量占设计能力的38.67%。</w:t>
      </w:r>
    </w:p>
    <w:p>
      <w:pPr>
        <w:pStyle w:val="5"/>
        <w:numPr>
          <w:ilvl w:val="0"/>
          <w:numId w:val="0"/>
        </w:numPr>
        <w:spacing w:before="0" w:beforeAutospacing="0" w:after="0" w:afterAutospacing="0" w:line="600" w:lineRule="exact"/>
        <w:ind w:firstLine="618" w:firstLineChars="200"/>
        <w:rPr>
          <w:rFonts w:hint="eastAsia"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kern w:val="0"/>
          <w:sz w:val="32"/>
          <w:szCs w:val="32"/>
          <w:highlight w:val="none"/>
          <w:lang w:val="en-US" w:eastAsia="zh-CN" w:bidi="ar-SA"/>
        </w:rPr>
        <w:t>（2）部分餐厨垃圾收运欠及时。问卷调查结果显示，有15.15%的协议单位表示“餐厨垃圾收运不及时，隔1-2天收运”。现场调查发现，有2个协议单位存在收运不及时情况。</w:t>
      </w:r>
    </w:p>
    <w:p>
      <w:pPr>
        <w:pStyle w:val="5"/>
        <w:spacing w:before="0" w:beforeAutospacing="0" w:after="0" w:afterAutospacing="0" w:line="600" w:lineRule="exact"/>
        <w:ind w:firstLine="618" w:firstLineChars="200"/>
        <w:rPr>
          <w:rFonts w:hint="eastAsia"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kern w:val="0"/>
          <w:sz w:val="32"/>
          <w:szCs w:val="32"/>
          <w:highlight w:val="none"/>
          <w:lang w:val="en-US" w:eastAsia="zh-CN" w:bidi="ar-SA"/>
        </w:rPr>
        <w:t>（3）餐厨垃圾未应收尽收。根据餐厨垃圾车收集重量统计表，个别时间三洲驿街道、汪家桥街道餐厨垃圾未进行收集；部分餐饮单位一个月仅收集几次。现场调查发现，部分餐馆的餐厨垃圾自行处理。比如金鱼岭街道、三洲驿街道、汪家桥街道的餐馆均存在餐厨垃圾自行处理、饲养牲畜、直接倒入下水道等情况。</w:t>
      </w:r>
    </w:p>
    <w:p>
      <w:pPr>
        <w:pStyle w:val="5"/>
        <w:spacing w:before="0" w:beforeAutospacing="0" w:after="0" w:afterAutospacing="0" w:line="600" w:lineRule="exact"/>
        <w:ind w:firstLine="618" w:firstLineChars="200"/>
        <w:rPr>
          <w:rFonts w:hint="eastAsia"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kern w:val="0"/>
          <w:sz w:val="32"/>
          <w:szCs w:val="32"/>
          <w:highlight w:val="none"/>
          <w:lang w:val="en-US" w:eastAsia="zh-CN" w:bidi="ar-SA"/>
        </w:rPr>
        <w:t>（4）宣传力度不够。根据现场调查发现，部分餐饮门店经营者对餐厨中心统一收集处理餐厨垃圾认识不够，甚至质疑餐厨垃圾去向，餐厨垃圾收集处理宣传力度不够。</w:t>
      </w:r>
    </w:p>
    <w:p>
      <w:pPr>
        <w:pStyle w:val="5"/>
        <w:spacing w:before="0" w:beforeAutospacing="0" w:after="0" w:afterAutospacing="0" w:line="600" w:lineRule="exact"/>
        <w:ind w:firstLine="618" w:firstLineChars="200"/>
        <w:rPr>
          <w:rFonts w:hint="eastAsia"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kern w:val="0"/>
          <w:sz w:val="32"/>
          <w:szCs w:val="32"/>
          <w:highlight w:val="none"/>
          <w:lang w:val="en-US" w:eastAsia="zh-CN" w:bidi="ar-SA"/>
        </w:rPr>
        <w:t>原因分析：</w:t>
      </w:r>
    </w:p>
    <w:p>
      <w:pPr>
        <w:pStyle w:val="5"/>
        <w:numPr>
          <w:ilvl w:val="0"/>
          <w:numId w:val="0"/>
        </w:numPr>
        <w:spacing w:before="0" w:beforeAutospacing="0" w:after="0" w:afterAutospacing="0" w:line="600" w:lineRule="exact"/>
        <w:ind w:firstLine="618" w:firstLineChars="200"/>
        <w:rPr>
          <w:rFonts w:hint="default"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kern w:val="0"/>
          <w:sz w:val="32"/>
          <w:szCs w:val="32"/>
          <w:highlight w:val="none"/>
          <w:lang w:val="en-US" w:eastAsia="zh-CN" w:bidi="ar-SA"/>
        </w:rPr>
        <w:t>一是因餐厨中心和转运站刚开始运营，处于摸索期，对餐饮行业摸底工作欠扎实，运营初期相关作业人员对设备操作不熟练。</w:t>
      </w:r>
    </w:p>
    <w:p>
      <w:pPr>
        <w:pStyle w:val="5"/>
        <w:spacing w:before="0" w:beforeAutospacing="0" w:after="0" w:afterAutospacing="0" w:line="600" w:lineRule="exact"/>
        <w:ind w:firstLine="618" w:firstLineChars="200"/>
        <w:rPr>
          <w:rFonts w:hint="default"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kern w:val="0"/>
          <w:sz w:val="32"/>
          <w:szCs w:val="32"/>
          <w:highlight w:val="none"/>
          <w:lang w:val="en-US" w:eastAsia="zh-CN" w:bidi="ar-SA"/>
        </w:rPr>
        <w:t>二是项目单位管理较松散，部分工作人员工作不细心，且互相沟通欠紧密，收集桶无专人管理</w:t>
      </w:r>
      <w:r>
        <w:rPr>
          <w:rFonts w:hint="default" w:ascii="Times New Roman" w:hAnsi="Times New Roman" w:eastAsia="仿宋" w:cs="Times New Roman"/>
          <w:color w:val="auto"/>
          <w:kern w:val="0"/>
          <w:sz w:val="32"/>
          <w:szCs w:val="32"/>
          <w:highlight w:val="none"/>
          <w:lang w:val="en-US" w:eastAsia="zh-CN" w:bidi="ar-SA"/>
        </w:rPr>
        <w:t>。</w:t>
      </w:r>
    </w:p>
    <w:p>
      <w:pPr>
        <w:pStyle w:val="5"/>
        <w:spacing w:before="0" w:beforeAutospacing="0" w:after="0" w:afterAutospacing="0" w:line="600" w:lineRule="exact"/>
        <w:ind w:firstLine="618" w:firstLineChars="200"/>
        <w:rPr>
          <w:rFonts w:hint="eastAsia"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kern w:val="0"/>
          <w:sz w:val="32"/>
          <w:szCs w:val="32"/>
          <w:highlight w:val="none"/>
          <w:lang w:val="en-US" w:eastAsia="zh-CN" w:bidi="ar-SA"/>
        </w:rPr>
        <w:t xml:space="preserve">三是收集人员收运时，部分餐厨垃圾已被清运；部分餐饮单位与其他单位签订的收运合同还未到期。 </w:t>
      </w:r>
    </w:p>
    <w:p>
      <w:pPr>
        <w:pStyle w:val="5"/>
        <w:spacing w:before="0" w:beforeAutospacing="0" w:after="0" w:afterAutospacing="0" w:line="600" w:lineRule="exact"/>
        <w:ind w:firstLine="618" w:firstLineChars="200"/>
        <w:rPr>
          <w:rFonts w:hint="default"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sz w:val="32"/>
          <w:szCs w:val="32"/>
          <w:highlight w:val="none"/>
          <w:lang w:val="en-US" w:eastAsia="zh-CN"/>
        </w:rPr>
        <w:t>四是</w:t>
      </w:r>
      <w:r>
        <w:rPr>
          <w:rFonts w:hint="default" w:ascii="Times New Roman" w:hAnsi="Times New Roman" w:eastAsia="仿宋" w:cs="Times New Roman"/>
          <w:color w:val="auto"/>
          <w:sz w:val="32"/>
          <w:szCs w:val="32"/>
          <w:highlight w:val="none"/>
        </w:rPr>
        <w:t>乡镇的餐厨垃圾处理</w:t>
      </w:r>
      <w:r>
        <w:rPr>
          <w:rFonts w:hint="eastAsia" w:ascii="Times New Roman" w:hAnsi="Times New Roman" w:eastAsia="仿宋" w:cs="Times New Roman"/>
          <w:color w:val="auto"/>
          <w:sz w:val="32"/>
          <w:szCs w:val="32"/>
          <w:highlight w:val="none"/>
          <w:lang w:val="en-US" w:eastAsia="zh-CN"/>
        </w:rPr>
        <w:t>未</w:t>
      </w:r>
      <w:r>
        <w:rPr>
          <w:rFonts w:hint="default" w:ascii="Times New Roman" w:hAnsi="Times New Roman" w:eastAsia="仿宋" w:cs="Times New Roman"/>
          <w:color w:val="auto"/>
          <w:sz w:val="32"/>
          <w:szCs w:val="32"/>
          <w:highlight w:val="none"/>
        </w:rPr>
        <w:t>启动</w:t>
      </w:r>
      <w:r>
        <w:rPr>
          <w:rFonts w:hint="eastAsia" w:ascii="Times New Roman" w:hAnsi="Times New Roman" w:eastAsia="仿宋" w:cs="Times New Roman"/>
          <w:color w:val="auto"/>
          <w:sz w:val="32"/>
          <w:szCs w:val="32"/>
          <w:highlight w:val="none"/>
          <w:lang w:eastAsia="zh-CN"/>
        </w:rPr>
        <w:t>。</w:t>
      </w:r>
    </w:p>
    <w:p>
      <w:pPr>
        <w:pStyle w:val="5"/>
        <w:spacing w:before="0" w:beforeAutospacing="0" w:after="0" w:afterAutospacing="0" w:line="600" w:lineRule="exact"/>
        <w:ind w:left="609" w:leftChars="266" w:firstLine="0" w:firstLineChars="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六</w:t>
      </w:r>
      <w:r>
        <w:rPr>
          <w:rFonts w:hint="eastAsia" w:ascii="Times New Roman" w:hAnsi="Times New Roman" w:eastAsia="黑体" w:cs="Times New Roman"/>
          <w:bCs/>
          <w:color w:val="auto"/>
          <w:sz w:val="32"/>
          <w:szCs w:val="32"/>
          <w:highlight w:val="none"/>
          <w:lang w:eastAsia="zh-CN"/>
        </w:rPr>
        <w:t>、</w:t>
      </w:r>
      <w:r>
        <w:rPr>
          <w:rFonts w:hint="default" w:ascii="Times New Roman" w:hAnsi="Times New Roman" w:eastAsia="黑体" w:cs="Times New Roman"/>
          <w:bCs/>
          <w:color w:val="auto"/>
          <w:sz w:val="32"/>
          <w:szCs w:val="32"/>
          <w:highlight w:val="none"/>
        </w:rPr>
        <w:t>有关建议</w:t>
      </w:r>
    </w:p>
    <w:p>
      <w:pPr>
        <w:keepNext w:val="0"/>
        <w:keepLines w:val="0"/>
        <w:pageBreakBefore w:val="0"/>
        <w:kinsoku/>
        <w:wordWrap/>
        <w:overflowPunct/>
        <w:topLinePunct w:val="0"/>
        <w:autoSpaceDE/>
        <w:autoSpaceDN/>
        <w:bidi w:val="0"/>
        <w:adjustRightInd/>
        <w:snapToGrid/>
        <w:spacing w:line="560" w:lineRule="exact"/>
        <w:ind w:left="609" w:leftChars="266" w:firstLine="0" w:firstLineChars="0"/>
        <w:jc w:val="both"/>
        <w:textAlignment w:val="auto"/>
        <w:outlineLvl w:val="0"/>
        <w:rPr>
          <w:rFonts w:hint="default" w:ascii="Times New Roman" w:hAnsi="Times New Roman" w:eastAsia="楷体" w:cs="Times New Roman"/>
          <w:color w:val="auto"/>
          <w:sz w:val="32"/>
          <w:szCs w:val="32"/>
          <w:highlight w:val="none"/>
          <w:lang w:val="en-US" w:eastAsia="zh-CN"/>
        </w:rPr>
      </w:pPr>
      <w:r>
        <w:rPr>
          <w:rFonts w:hint="default" w:ascii="Times New Roman" w:hAnsi="Times New Roman" w:eastAsia="楷体" w:cs="Times New Roman"/>
          <w:color w:val="auto"/>
          <w:sz w:val="32"/>
          <w:szCs w:val="32"/>
          <w:highlight w:val="none"/>
        </w:rPr>
        <w:t>（一）</w:t>
      </w:r>
      <w:r>
        <w:rPr>
          <w:rFonts w:hint="default" w:ascii="Times New Roman" w:hAnsi="Times New Roman" w:eastAsia="楷体" w:cs="Times New Roman"/>
          <w:color w:val="auto"/>
          <w:sz w:val="32"/>
          <w:szCs w:val="32"/>
          <w:highlight w:val="none"/>
          <w:lang w:val="en-US" w:eastAsia="zh-CN"/>
        </w:rPr>
        <w:t>规范绩效目标管理</w:t>
      </w:r>
    </w:p>
    <w:p>
      <w:pPr>
        <w:keepNext w:val="0"/>
        <w:keepLines w:val="0"/>
        <w:pageBreakBefore w:val="0"/>
        <w:kinsoku/>
        <w:wordWrap/>
        <w:overflowPunct/>
        <w:topLinePunct w:val="0"/>
        <w:autoSpaceDE/>
        <w:autoSpaceDN/>
        <w:bidi w:val="0"/>
        <w:adjustRightInd/>
        <w:snapToGrid/>
        <w:spacing w:line="560" w:lineRule="exact"/>
        <w:ind w:firstLine="618" w:firstLineChars="200"/>
        <w:jc w:val="both"/>
        <w:textAlignment w:val="auto"/>
        <w:outlineLvl w:val="0"/>
        <w:rPr>
          <w:rFonts w:hint="default"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kern w:val="0"/>
          <w:sz w:val="32"/>
          <w:szCs w:val="32"/>
          <w:highlight w:val="none"/>
          <w:lang w:val="en-US" w:eastAsia="zh-CN" w:bidi="ar-SA"/>
        </w:rPr>
        <w:t>加强绩效目标管理，将绩效目标细化分解为具体的绩效指标，绩效目标填报人员应充分与业务股室人员充分沟通，合理设置绩效目标。年初预算应与项目目标挂钩，科学合理测算预算资金额度</w:t>
      </w:r>
      <w:r>
        <w:rPr>
          <w:rFonts w:hint="default" w:ascii="Times New Roman" w:hAnsi="Times New Roman" w:eastAsia="仿宋" w:cs="Times New Roman"/>
          <w:color w:val="auto"/>
          <w:kern w:val="0"/>
          <w:sz w:val="32"/>
          <w:szCs w:val="32"/>
          <w:highlight w:val="none"/>
          <w:lang w:val="en-US" w:eastAsia="zh-CN" w:bidi="ar-SA"/>
        </w:rPr>
        <w:t>。</w:t>
      </w:r>
    </w:p>
    <w:p>
      <w:pPr>
        <w:pStyle w:val="5"/>
        <w:numPr>
          <w:ilvl w:val="0"/>
          <w:numId w:val="0"/>
        </w:numPr>
        <w:spacing w:before="0" w:beforeAutospacing="0" w:after="0" w:afterAutospacing="0" w:line="600" w:lineRule="exact"/>
        <w:ind w:leftChars="200"/>
        <w:rPr>
          <w:rFonts w:hint="default" w:ascii="Times New Roman" w:hAnsi="Times New Roman" w:eastAsia="楷体" w:cs="Times New Roman"/>
          <w:color w:val="auto"/>
          <w:sz w:val="32"/>
          <w:szCs w:val="32"/>
          <w:highlight w:val="none"/>
          <w:lang w:val="en-US" w:eastAsia="zh-CN"/>
        </w:rPr>
      </w:pPr>
      <w:r>
        <w:rPr>
          <w:rFonts w:hint="default" w:ascii="Times New Roman" w:hAnsi="Times New Roman" w:eastAsia="楷体" w:cs="Times New Roman"/>
          <w:color w:val="auto"/>
          <w:sz w:val="32"/>
          <w:szCs w:val="32"/>
          <w:highlight w:val="none"/>
          <w:lang w:val="en-US" w:eastAsia="zh-CN"/>
        </w:rPr>
        <w:t>（</w:t>
      </w:r>
      <w:r>
        <w:rPr>
          <w:rFonts w:hint="eastAsia" w:ascii="Times New Roman" w:hAnsi="Times New Roman" w:eastAsia="楷体" w:cs="Times New Roman"/>
          <w:color w:val="auto"/>
          <w:sz w:val="32"/>
          <w:szCs w:val="32"/>
          <w:highlight w:val="none"/>
          <w:lang w:val="en-US" w:eastAsia="zh-CN"/>
        </w:rPr>
        <w:t>二</w:t>
      </w:r>
      <w:r>
        <w:rPr>
          <w:rFonts w:hint="default" w:ascii="Times New Roman" w:hAnsi="Times New Roman" w:eastAsia="楷体" w:cs="Times New Roman"/>
          <w:color w:val="auto"/>
          <w:sz w:val="32"/>
          <w:szCs w:val="32"/>
          <w:highlight w:val="none"/>
          <w:lang w:val="en-US" w:eastAsia="zh-CN"/>
        </w:rPr>
        <w:t>）专项资金管理方面</w:t>
      </w:r>
    </w:p>
    <w:p>
      <w:pPr>
        <w:pStyle w:val="5"/>
        <w:numPr>
          <w:ilvl w:val="0"/>
          <w:numId w:val="0"/>
        </w:numPr>
        <w:spacing w:before="0" w:beforeAutospacing="0" w:after="0" w:afterAutospacing="0" w:line="600" w:lineRule="exact"/>
        <w:ind w:firstLine="618" w:firstLineChars="200"/>
        <w:rPr>
          <w:rFonts w:hint="default" w:ascii="Times New Roman" w:hAnsi="Times New Roman" w:eastAsia="仿宋" w:cs="Times New Roman"/>
          <w:color w:val="auto"/>
          <w:kern w:val="0"/>
          <w:sz w:val="32"/>
          <w:szCs w:val="32"/>
          <w:highlight w:val="none"/>
          <w:lang w:val="en-US" w:eastAsia="zh-CN" w:bidi="ar-SA"/>
        </w:rPr>
      </w:pPr>
      <w:r>
        <w:rPr>
          <w:rFonts w:hint="eastAsia" w:ascii="Times New Roman" w:hAnsi="Times New Roman" w:eastAsia="仿宋" w:cs="Times New Roman"/>
          <w:color w:val="auto"/>
          <w:kern w:val="0"/>
          <w:sz w:val="32"/>
          <w:szCs w:val="32"/>
          <w:highlight w:val="none"/>
          <w:lang w:val="en-US" w:eastAsia="zh-CN" w:bidi="ar-SA"/>
        </w:rPr>
        <w:t>市环卫处设置专门的科目单独核算运行经费，准确核算项目资金每笔经济业务，严禁挤占、挪用专项资金。因2022年有4座垃圾站已取消运营；辞退转运站临聘人员1人，且未新增相应岗位人员，建议2022年预算时扣减相应的预算。本次绩效评价已对挤占挪用资金进行了调整，调整后专项结余18.47万元。结余资金已用于预付水电费、油费等，基于项目存续期间，不作收回和调减预算处理。待项目存续期结束，项目单位应退回水电费、油费等所有预存资金。</w:t>
      </w:r>
    </w:p>
    <w:p>
      <w:pPr>
        <w:pStyle w:val="5"/>
        <w:numPr>
          <w:ilvl w:val="0"/>
          <w:numId w:val="2"/>
        </w:numPr>
        <w:spacing w:before="0" w:beforeAutospacing="0" w:after="0" w:afterAutospacing="0" w:line="600" w:lineRule="exact"/>
        <w:ind w:left="0" w:leftChars="0" w:firstLine="618" w:firstLineChars="200"/>
        <w:rPr>
          <w:rFonts w:hint="eastAsia" w:ascii="Times New Roman" w:hAnsi="Times New Roman" w:eastAsia="楷体" w:cs="Times New Roman"/>
          <w:color w:val="auto"/>
          <w:sz w:val="32"/>
          <w:szCs w:val="32"/>
          <w:highlight w:val="none"/>
          <w:lang w:val="en-US" w:eastAsia="zh-CN"/>
        </w:rPr>
      </w:pPr>
      <w:r>
        <w:rPr>
          <w:rFonts w:hint="default" w:ascii="Times New Roman" w:hAnsi="Times New Roman" w:eastAsia="楷体" w:cs="Times New Roman"/>
          <w:color w:val="auto"/>
          <w:sz w:val="32"/>
          <w:szCs w:val="32"/>
          <w:highlight w:val="none"/>
        </w:rPr>
        <w:t>项目管理方面</w:t>
      </w:r>
    </w:p>
    <w:p>
      <w:pPr>
        <w:pStyle w:val="5"/>
        <w:numPr>
          <w:ilvl w:val="0"/>
          <w:numId w:val="0"/>
        </w:numPr>
        <w:spacing w:before="0" w:beforeAutospacing="0" w:after="0" w:afterAutospacing="0" w:line="600" w:lineRule="exact"/>
        <w:ind w:firstLine="618" w:firstLineChars="200"/>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1.完善制度建设。一是制定考评细则，定期考核。环卫处应联系主管部门，及时制定相关考评管理细则，定期考核并通报考核结果，并将考核结果与奖惩措施挂钩。二是市环卫处联合财政部门制定临聘人员工资支付标准文件。</w:t>
      </w:r>
    </w:p>
    <w:p>
      <w:pPr>
        <w:pStyle w:val="5"/>
        <w:numPr>
          <w:ilvl w:val="0"/>
          <w:numId w:val="0"/>
        </w:numPr>
        <w:spacing w:before="0" w:beforeAutospacing="0" w:after="0" w:afterAutospacing="0" w:line="600" w:lineRule="exact"/>
        <w:ind w:firstLine="618" w:firstLineChars="200"/>
        <w:rPr>
          <w:rFonts w:hint="default"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2.规范人员管理</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val="en-US" w:eastAsia="zh-CN"/>
        </w:rPr>
        <w:t>建议临聘人员使用劳务派遣方式，防范用工风险</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val="en-US" w:eastAsia="zh-CN"/>
        </w:rPr>
        <w:t>对人员进行考勤管理，按出勤情况发放工资。加强对驾驶人员和作业人员的管理，定期对其进行培训，每月召开安全会议，各项补助依据充分，进行规范化、标准化管理</w:t>
      </w:r>
      <w:r>
        <w:rPr>
          <w:rFonts w:hint="eastAsia" w:ascii="仿宋" w:hAnsi="仿宋" w:eastAsia="仿宋" w:cs="仿宋"/>
          <w:color w:val="auto"/>
          <w:kern w:val="2"/>
          <w:sz w:val="32"/>
          <w:szCs w:val="32"/>
          <w:highlight w:val="none"/>
          <w:lang w:val="en-US" w:eastAsia="zh-CN"/>
        </w:rPr>
        <w:t>。对于不规范行车、发生重大事故等车辆的驾驶人员进行通报，并对其严肃处理。</w:t>
      </w:r>
    </w:p>
    <w:p>
      <w:pPr>
        <w:pStyle w:val="5"/>
        <w:numPr>
          <w:ilvl w:val="0"/>
          <w:numId w:val="0"/>
        </w:numPr>
        <w:spacing w:before="0" w:beforeAutospacing="0" w:after="0" w:afterAutospacing="0" w:line="600" w:lineRule="exact"/>
        <w:ind w:firstLine="618" w:firstLineChars="200"/>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3.完善项目台账。建立、完善材料出入库等台账，并审核到位。收集人员与内勤人员要及时沟通，餐厨垃圾收集登记表按收集单位重新梳理，确保收集的餐饮单位均已登记在册。</w:t>
      </w:r>
    </w:p>
    <w:p>
      <w:pPr>
        <w:pStyle w:val="5"/>
        <w:numPr>
          <w:ilvl w:val="0"/>
          <w:numId w:val="0"/>
        </w:numPr>
        <w:spacing w:before="0" w:beforeAutospacing="0" w:after="0" w:afterAutospacing="0" w:line="600" w:lineRule="exact"/>
        <w:ind w:firstLine="618" w:firstLineChars="200"/>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4.规范收集桶的管理。对已发放的收集桶进行全面清理并登记，对报损的收集桶进行统计，且安排专人管理，对收集桶的出入库、发放、补发放及时进行登记。对报损的收集桶制定相关报损程序，并严格按程序报损。对场内设备设施及时消毒，确保设备设施等干净卫生。收集人员应及时收运餐厨垃圾，少量餐厨垃圾也要做到日产日清。</w:t>
      </w:r>
    </w:p>
    <w:p>
      <w:pPr>
        <w:pStyle w:val="5"/>
        <w:spacing w:before="0" w:beforeAutospacing="0" w:after="0" w:afterAutospacing="0" w:line="600" w:lineRule="exact"/>
        <w:ind w:firstLine="618" w:firstLineChars="200"/>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5.重新摸底，及时签订协议。环卫处应全面清理协议，已签订未收回的协议应尽快收回存档；与未签订协议但实际已收集餐厨垃圾的餐饮单位及时签订协议，确保协议内容完整、准确。对城区未进行餐厨垃圾收运的餐饮门店或学校、行政事业单位食堂等进行重新摸底，相关工作人员应上门充分沟通；对有需求的餐饮门店，及时联系签订协议并尽快发放收集桶，做到应收尽收。对餐厨垃圾有外流的餐饮单位，应联合主管部门对其进行处罚。</w:t>
      </w:r>
    </w:p>
    <w:p>
      <w:pPr>
        <w:pStyle w:val="5"/>
        <w:keepNext w:val="0"/>
        <w:keepLines w:val="0"/>
        <w:pageBreakBefore w:val="0"/>
        <w:kinsoku/>
        <w:wordWrap/>
        <w:overflowPunct/>
        <w:topLinePunct w:val="0"/>
        <w:bidi w:val="0"/>
        <w:spacing w:before="0" w:beforeAutospacing="0" w:after="0" w:afterAutospacing="0" w:line="560" w:lineRule="exact"/>
        <w:ind w:firstLine="618" w:firstLineChars="200"/>
        <w:textAlignment w:val="auto"/>
        <w:rPr>
          <w:rFonts w:hint="default" w:ascii="Times New Roman" w:hAnsi="Times New Roman" w:eastAsia="仿宋" w:cs="Times New Roman"/>
          <w:color w:val="auto"/>
          <w:sz w:val="32"/>
          <w:szCs w:val="32"/>
          <w:highlight w:val="none"/>
        </w:rPr>
      </w:pPr>
      <w:r>
        <w:rPr>
          <w:rFonts w:hint="eastAsia" w:ascii="Times New Roman" w:hAnsi="Times New Roman" w:eastAsia="仿宋" w:cs="Times New Roman"/>
          <w:color w:val="auto"/>
          <w:sz w:val="32"/>
          <w:szCs w:val="32"/>
          <w:highlight w:val="none"/>
          <w:lang w:val="en-US" w:eastAsia="zh-CN"/>
        </w:rPr>
        <w:t>6</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val="en-US" w:eastAsia="zh-CN"/>
        </w:rPr>
        <w:t>工作留痕，档案及时归档。环卫处开展作业人员安全技术培训、司机安全培训，应留存培训通知、培训人员签到表、培训资料及培训现场照片等相关资料。建立完整的车辆管理档案，车辆管理档案应包括车辆技术资料、车辆保险、车辆年审、驾驶</w:t>
      </w:r>
      <w:r>
        <w:rPr>
          <w:rFonts w:hint="eastAsia" w:ascii="仿宋" w:hAnsi="仿宋" w:eastAsia="仿宋" w:cs="仿宋"/>
          <w:color w:val="auto"/>
          <w:kern w:val="2"/>
          <w:sz w:val="32"/>
          <w:szCs w:val="32"/>
          <w:highlight w:val="none"/>
          <w:lang w:val="en-US" w:eastAsia="zh-CN"/>
        </w:rPr>
        <w:t>员档案、事故赔偿等资料，做到“一车一档”。对项目相关资料</w:t>
      </w:r>
      <w:r>
        <w:rPr>
          <w:rFonts w:hint="default" w:ascii="Times New Roman" w:hAnsi="Times New Roman" w:eastAsia="仿宋" w:cs="Times New Roman"/>
          <w:color w:val="auto"/>
          <w:sz w:val="32"/>
          <w:szCs w:val="32"/>
          <w:highlight w:val="none"/>
        </w:rPr>
        <w:t>及时清理归档。</w:t>
      </w:r>
    </w:p>
    <w:p>
      <w:pPr>
        <w:pStyle w:val="5"/>
        <w:keepNext w:val="0"/>
        <w:keepLines w:val="0"/>
        <w:pageBreakBefore w:val="0"/>
        <w:kinsoku/>
        <w:wordWrap/>
        <w:overflowPunct/>
        <w:topLinePunct w:val="0"/>
        <w:bidi w:val="0"/>
        <w:spacing w:before="0" w:beforeAutospacing="0" w:after="0" w:afterAutospacing="0" w:line="560" w:lineRule="exact"/>
        <w:ind w:firstLine="618" w:firstLineChars="200"/>
        <w:textAlignment w:val="auto"/>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7</w:t>
      </w:r>
      <w:r>
        <w:rPr>
          <w:rFonts w:hint="default" w:ascii="Times New Roman" w:hAnsi="Times New Roman" w:eastAsia="仿宋" w:cs="Times New Roman"/>
          <w:color w:val="auto"/>
          <w:sz w:val="32"/>
          <w:szCs w:val="32"/>
          <w:highlight w:val="none"/>
          <w:lang w:val="en-US" w:eastAsia="zh-CN"/>
        </w:rPr>
        <w:t>.</w:t>
      </w:r>
      <w:r>
        <w:rPr>
          <w:rFonts w:hint="eastAsia" w:ascii="Times New Roman" w:hAnsi="Times New Roman" w:eastAsia="仿宋" w:cs="Times New Roman"/>
          <w:color w:val="auto"/>
          <w:sz w:val="32"/>
          <w:szCs w:val="32"/>
          <w:highlight w:val="none"/>
          <w:lang w:val="en-US" w:eastAsia="zh-CN"/>
        </w:rPr>
        <w:t>加大宣传力度。在各小区、学校等设置宣传栏或张贴宣传海报，制作宣传视频不定期在电子广告屏上播放，让广大市民了解餐厨垃圾流失的危害及餐厨垃圾集中处理的益处及餐厨中心对餐厨垃圾的处理工艺流程，尽早实现应收尽收。</w:t>
      </w:r>
    </w:p>
    <w:p>
      <w:pPr>
        <w:pStyle w:val="5"/>
        <w:keepNext w:val="0"/>
        <w:keepLines w:val="0"/>
        <w:pageBreakBefore w:val="0"/>
        <w:kinsoku/>
        <w:wordWrap/>
        <w:overflowPunct/>
        <w:topLinePunct w:val="0"/>
        <w:bidi w:val="0"/>
        <w:spacing w:before="0" w:beforeAutospacing="0" w:after="0" w:afterAutospacing="0" w:line="560" w:lineRule="exact"/>
        <w:textAlignment w:val="auto"/>
        <w:rPr>
          <w:rFonts w:hint="eastAsia" w:ascii="Times New Roman" w:hAnsi="Times New Roman" w:eastAsia="仿宋" w:cs="Times New Roman"/>
          <w:color w:val="auto"/>
          <w:sz w:val="32"/>
          <w:szCs w:val="32"/>
          <w:highlight w:val="none"/>
          <w:lang w:val="en-US" w:eastAsia="zh-CN"/>
        </w:rPr>
      </w:pPr>
    </w:p>
    <w:p>
      <w:pPr>
        <w:pStyle w:val="5"/>
        <w:keepNext w:val="0"/>
        <w:keepLines w:val="0"/>
        <w:pageBreakBefore w:val="0"/>
        <w:kinsoku/>
        <w:wordWrap/>
        <w:overflowPunct/>
        <w:topLinePunct w:val="0"/>
        <w:bidi w:val="0"/>
        <w:spacing w:before="0" w:beforeAutospacing="0" w:after="0" w:afterAutospacing="0" w:line="560" w:lineRule="exact"/>
        <w:textAlignment w:val="auto"/>
        <w:rPr>
          <w:rFonts w:hint="eastAsia" w:ascii="Times New Roman" w:hAnsi="Times New Roman" w:eastAsia="仿宋" w:cs="Times New Roman"/>
          <w:color w:val="auto"/>
          <w:sz w:val="32"/>
          <w:szCs w:val="32"/>
          <w:highlight w:val="none"/>
          <w:lang w:val="en-US" w:eastAsia="zh-CN"/>
        </w:rPr>
      </w:pPr>
    </w:p>
    <w:p>
      <w:pPr>
        <w:pStyle w:val="5"/>
        <w:keepNext w:val="0"/>
        <w:keepLines w:val="0"/>
        <w:pageBreakBefore w:val="0"/>
        <w:kinsoku/>
        <w:wordWrap/>
        <w:overflowPunct/>
        <w:topLinePunct w:val="0"/>
        <w:bidi w:val="0"/>
        <w:spacing w:before="0" w:beforeAutospacing="0" w:after="0" w:afterAutospacing="0" w:line="560" w:lineRule="exact"/>
        <w:textAlignment w:val="auto"/>
        <w:rPr>
          <w:rFonts w:hint="default" w:ascii="Times New Roman" w:hAnsi="Times New Roman" w:eastAsia="仿宋" w:cs="Times New Roman"/>
          <w:color w:val="auto"/>
          <w:kern w:val="2"/>
          <w:sz w:val="32"/>
          <w:szCs w:val="32"/>
          <w:highlight w:val="none"/>
        </w:rPr>
      </w:pPr>
      <w:r>
        <w:rPr>
          <w:rFonts w:hint="default" w:ascii="Times New Roman" w:hAnsi="Times New Roman" w:eastAsia="仿宋" w:cs="Times New Roman"/>
          <w:color w:val="auto"/>
          <w:kern w:val="2"/>
          <w:sz w:val="32"/>
          <w:szCs w:val="32"/>
          <w:highlight w:val="none"/>
        </w:rPr>
        <w:t>附件：</w:t>
      </w:r>
    </w:p>
    <w:p>
      <w:pPr>
        <w:pStyle w:val="5"/>
        <w:spacing w:before="0" w:beforeAutospacing="0" w:after="0" w:afterAutospacing="0" w:line="600" w:lineRule="exact"/>
        <w:rPr>
          <w:rFonts w:hint="default" w:ascii="Times New Roman" w:hAnsi="Times New Roman" w:eastAsia="仿宋" w:cs="Times New Roman"/>
          <w:color w:val="auto"/>
          <w:sz w:val="32"/>
          <w:szCs w:val="32"/>
          <w:highlight w:val="none"/>
        </w:rPr>
      </w:pP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rPr>
        <w:t>.202</w:t>
      </w: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rPr>
        <w:t>年度专项资金绩效评价指标体系</w:t>
      </w:r>
    </w:p>
    <w:p>
      <w:pPr>
        <w:numPr>
          <w:ilvl w:val="0"/>
          <w:numId w:val="3"/>
        </w:numPr>
        <w:snapToGrid w:val="0"/>
        <w:spacing w:line="600" w:lineRule="exact"/>
        <w:jc w:val="left"/>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2021年垃圾收运处理明细表</w:t>
      </w:r>
    </w:p>
    <w:p>
      <w:pPr>
        <w:numPr>
          <w:ilvl w:val="0"/>
          <w:numId w:val="3"/>
        </w:numPr>
        <w:snapToGrid w:val="0"/>
        <w:spacing w:line="600" w:lineRule="exact"/>
        <w:jc w:val="left"/>
        <w:rPr>
          <w:rFonts w:hint="eastAsia" w:ascii="Times New Roman" w:hAnsi="Times New Roman" w:eastAsia="仿宋" w:cs="Times New Roman"/>
          <w:color w:val="auto"/>
          <w:sz w:val="32"/>
          <w:szCs w:val="32"/>
          <w:highlight w:val="none"/>
          <w:lang w:val="en-US" w:eastAsia="zh-CN"/>
        </w:rPr>
      </w:pPr>
      <w:r>
        <w:rPr>
          <w:rFonts w:hint="eastAsia" w:ascii="Times New Roman" w:hAnsi="Times New Roman" w:eastAsia="仿宋" w:cs="Times New Roman"/>
          <w:color w:val="auto"/>
          <w:sz w:val="32"/>
          <w:szCs w:val="32"/>
          <w:highlight w:val="none"/>
          <w:lang w:val="en-US" w:eastAsia="zh-CN"/>
        </w:rPr>
        <w:t>2021年运行费用明细表</w:t>
      </w:r>
    </w:p>
    <w:p>
      <w:pPr>
        <w:snapToGrid w:val="0"/>
        <w:spacing w:line="600" w:lineRule="exact"/>
        <w:jc w:val="left"/>
        <w:rPr>
          <w:rFonts w:hint="default" w:ascii="Times New Roman" w:hAnsi="Times New Roman" w:eastAsia="仿宋" w:cs="Times New Roman"/>
          <w:color w:val="auto"/>
          <w:sz w:val="32"/>
          <w:szCs w:val="32"/>
          <w:highlight w:val="none"/>
        </w:rPr>
      </w:pPr>
      <w:r>
        <w:rPr>
          <w:rFonts w:hint="eastAsia" w:ascii="Times New Roman" w:hAnsi="Times New Roman"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.202</w:t>
      </w: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rPr>
        <w:t>年专项资金</w:t>
      </w:r>
      <w:r>
        <w:rPr>
          <w:rFonts w:hint="eastAsia" w:ascii="Times New Roman" w:hAnsi="Times New Roman" w:eastAsia="仿宋" w:cs="Times New Roman"/>
          <w:color w:val="auto"/>
          <w:sz w:val="32"/>
          <w:szCs w:val="32"/>
          <w:highlight w:val="none"/>
          <w:lang w:val="en-US" w:eastAsia="zh-CN"/>
        </w:rPr>
        <w:t>绩效评价</w:t>
      </w:r>
      <w:r>
        <w:rPr>
          <w:rFonts w:hint="default" w:ascii="Times New Roman" w:hAnsi="Times New Roman" w:eastAsia="仿宋" w:cs="Times New Roman"/>
          <w:color w:val="auto"/>
          <w:sz w:val="32"/>
          <w:szCs w:val="32"/>
          <w:highlight w:val="none"/>
        </w:rPr>
        <w:t>问卷调查（</w:t>
      </w:r>
      <w:r>
        <w:rPr>
          <w:rFonts w:hint="eastAsia" w:ascii="Times New Roman" w:hAnsi="Times New Roman" w:eastAsia="仿宋" w:cs="Times New Roman"/>
          <w:color w:val="auto"/>
          <w:sz w:val="32"/>
          <w:szCs w:val="32"/>
          <w:highlight w:val="none"/>
          <w:lang w:val="en-US" w:eastAsia="zh-CN"/>
        </w:rPr>
        <w:t>协议单位经营业主卷</w:t>
      </w:r>
      <w:r>
        <w:rPr>
          <w:rFonts w:hint="default" w:ascii="Times New Roman" w:hAnsi="Times New Roman" w:eastAsia="仿宋" w:cs="Times New Roman"/>
          <w:color w:val="auto"/>
          <w:sz w:val="32"/>
          <w:szCs w:val="32"/>
          <w:highlight w:val="none"/>
        </w:rPr>
        <w:t>）</w:t>
      </w:r>
    </w:p>
    <w:p>
      <w:pPr>
        <w:snapToGrid w:val="0"/>
        <w:spacing w:line="600" w:lineRule="exact"/>
        <w:jc w:val="left"/>
        <w:rPr>
          <w:rFonts w:hint="default" w:ascii="Times New Roman" w:hAnsi="Times New Roman" w:eastAsia="仿宋" w:cs="Times New Roman"/>
          <w:color w:val="auto"/>
          <w:sz w:val="32"/>
          <w:szCs w:val="32"/>
          <w:highlight w:val="none"/>
        </w:rPr>
      </w:pPr>
      <w:r>
        <w:rPr>
          <w:rFonts w:hint="eastAsia" w:ascii="Times New Roman" w:hAnsi="Times New Roman" w:eastAsia="仿宋" w:cs="Times New Roman"/>
          <w:color w:val="auto"/>
          <w:sz w:val="32"/>
          <w:szCs w:val="32"/>
          <w:highlight w:val="none"/>
          <w:lang w:val="en-US" w:eastAsia="zh-CN"/>
        </w:rPr>
        <w:t>5</w:t>
      </w:r>
      <w:r>
        <w:rPr>
          <w:rFonts w:hint="default" w:ascii="Times New Roman" w:hAnsi="Times New Roman" w:eastAsia="仿宋" w:cs="Times New Roman"/>
          <w:color w:val="auto"/>
          <w:sz w:val="32"/>
          <w:szCs w:val="32"/>
          <w:highlight w:val="none"/>
        </w:rPr>
        <w:t>.202</w:t>
      </w: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rPr>
        <w:t>年专项资金</w:t>
      </w:r>
      <w:r>
        <w:rPr>
          <w:rFonts w:hint="eastAsia" w:ascii="Times New Roman" w:hAnsi="Times New Roman" w:eastAsia="仿宋" w:cs="Times New Roman"/>
          <w:color w:val="auto"/>
          <w:sz w:val="32"/>
          <w:szCs w:val="32"/>
          <w:highlight w:val="none"/>
          <w:lang w:val="en-US" w:eastAsia="zh-CN"/>
        </w:rPr>
        <w:t>绩效评价</w:t>
      </w:r>
      <w:r>
        <w:rPr>
          <w:rFonts w:hint="default" w:ascii="Times New Roman" w:hAnsi="Times New Roman" w:eastAsia="仿宋" w:cs="Times New Roman"/>
          <w:color w:val="auto"/>
          <w:sz w:val="32"/>
          <w:szCs w:val="32"/>
          <w:highlight w:val="none"/>
        </w:rPr>
        <w:t>问卷调查（</w:t>
      </w:r>
      <w:r>
        <w:rPr>
          <w:rFonts w:hint="eastAsia" w:ascii="Times New Roman" w:hAnsi="Times New Roman" w:eastAsia="仿宋" w:cs="Times New Roman"/>
          <w:color w:val="auto"/>
          <w:sz w:val="32"/>
          <w:szCs w:val="32"/>
          <w:highlight w:val="none"/>
          <w:lang w:val="en-US" w:eastAsia="zh-CN"/>
        </w:rPr>
        <w:t>单位工作人员卷</w:t>
      </w:r>
      <w:r>
        <w:rPr>
          <w:rFonts w:hint="default" w:ascii="Times New Roman" w:hAnsi="Times New Roman" w:eastAsia="仿宋" w:cs="Times New Roman"/>
          <w:color w:val="auto"/>
          <w:sz w:val="32"/>
          <w:szCs w:val="32"/>
          <w:highlight w:val="none"/>
        </w:rPr>
        <w:t>）</w:t>
      </w:r>
    </w:p>
    <w:p>
      <w:pPr>
        <w:snapToGrid w:val="0"/>
        <w:spacing w:line="600" w:lineRule="exact"/>
        <w:jc w:val="left"/>
        <w:rPr>
          <w:rFonts w:hint="default" w:ascii="Times New Roman" w:hAnsi="Times New Roman" w:eastAsia="仿宋" w:cs="Times New Roman"/>
          <w:color w:val="auto"/>
          <w:sz w:val="32"/>
          <w:szCs w:val="32"/>
          <w:highlight w:val="none"/>
        </w:rPr>
      </w:pPr>
      <w:r>
        <w:rPr>
          <w:rFonts w:hint="eastAsia" w:ascii="Times New Roman" w:hAnsi="Times New Roman" w:eastAsia="仿宋" w:cs="Times New Roman"/>
          <w:color w:val="auto"/>
          <w:sz w:val="32"/>
          <w:szCs w:val="32"/>
          <w:highlight w:val="none"/>
          <w:lang w:val="en-US" w:eastAsia="zh-CN"/>
        </w:rPr>
        <w:t>6</w:t>
      </w:r>
      <w:r>
        <w:rPr>
          <w:rFonts w:hint="default" w:ascii="Times New Roman" w:hAnsi="Times New Roman" w:eastAsia="仿宋" w:cs="Times New Roman"/>
          <w:color w:val="auto"/>
          <w:sz w:val="32"/>
          <w:szCs w:val="32"/>
          <w:highlight w:val="none"/>
        </w:rPr>
        <w:t>.202</w:t>
      </w:r>
      <w:r>
        <w:rPr>
          <w:rFonts w:hint="eastAsia" w:ascii="Times New Roman" w:hAnsi="Times New Roman" w:eastAsia="仿宋" w:cs="Times New Roman"/>
          <w:color w:val="auto"/>
          <w:sz w:val="32"/>
          <w:szCs w:val="32"/>
          <w:highlight w:val="none"/>
          <w:lang w:val="en-US" w:eastAsia="zh-CN"/>
        </w:rPr>
        <w:t>1</w:t>
      </w:r>
      <w:r>
        <w:rPr>
          <w:rFonts w:hint="default" w:ascii="Times New Roman" w:hAnsi="Times New Roman" w:eastAsia="仿宋" w:cs="Times New Roman"/>
          <w:color w:val="auto"/>
          <w:sz w:val="32"/>
          <w:szCs w:val="32"/>
          <w:highlight w:val="none"/>
        </w:rPr>
        <w:t>年专项资金</w:t>
      </w:r>
      <w:r>
        <w:rPr>
          <w:rFonts w:hint="eastAsia" w:ascii="Times New Roman" w:hAnsi="Times New Roman" w:eastAsia="仿宋" w:cs="Times New Roman"/>
          <w:color w:val="auto"/>
          <w:sz w:val="32"/>
          <w:szCs w:val="32"/>
          <w:highlight w:val="none"/>
          <w:lang w:val="en-US" w:eastAsia="zh-CN"/>
        </w:rPr>
        <w:t>绩效评价</w:t>
      </w:r>
      <w:r>
        <w:rPr>
          <w:rFonts w:hint="default" w:ascii="Times New Roman" w:hAnsi="Times New Roman" w:eastAsia="仿宋" w:cs="Times New Roman"/>
          <w:color w:val="auto"/>
          <w:sz w:val="32"/>
          <w:szCs w:val="32"/>
          <w:highlight w:val="none"/>
        </w:rPr>
        <w:t>问卷调查（</w:t>
      </w:r>
      <w:r>
        <w:rPr>
          <w:rFonts w:hint="eastAsia" w:ascii="Times New Roman" w:hAnsi="Times New Roman" w:eastAsia="仿宋" w:cs="Times New Roman"/>
          <w:color w:val="auto"/>
          <w:sz w:val="32"/>
          <w:szCs w:val="32"/>
          <w:highlight w:val="none"/>
          <w:lang w:val="en-US" w:eastAsia="zh-CN"/>
        </w:rPr>
        <w:t>社会公众卷</w:t>
      </w:r>
      <w:r>
        <w:rPr>
          <w:rFonts w:hint="default" w:ascii="Times New Roman" w:hAnsi="Times New Roman" w:eastAsia="仿宋" w:cs="Times New Roman"/>
          <w:color w:val="auto"/>
          <w:sz w:val="32"/>
          <w:szCs w:val="32"/>
          <w:highlight w:val="none"/>
        </w:rPr>
        <w:t>）</w:t>
      </w:r>
    </w:p>
    <w:p>
      <w:pPr>
        <w:widowControl/>
        <w:spacing w:line="600" w:lineRule="exact"/>
        <w:ind w:firstLine="4635" w:firstLineChars="1500"/>
        <w:jc w:val="right"/>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湖南九澧咨询服务有限公司</w:t>
      </w:r>
    </w:p>
    <w:p>
      <w:pPr>
        <w:widowControl/>
        <w:spacing w:line="600" w:lineRule="exact"/>
        <w:jc w:val="right"/>
        <w:rPr>
          <w:color w:val="auto"/>
          <w:highlight w:val="none"/>
        </w:rPr>
      </w:pPr>
      <w:r>
        <w:rPr>
          <w:rFonts w:hint="default" w:ascii="Times New Roman" w:hAnsi="Times New Roman" w:eastAsia="仿宋" w:cs="Times New Roman"/>
          <w:color w:val="auto"/>
          <w:sz w:val="32"/>
          <w:szCs w:val="32"/>
          <w:highlight w:val="none"/>
        </w:rPr>
        <w:t>202</w:t>
      </w:r>
      <w:r>
        <w:rPr>
          <w:rFonts w:hint="eastAsia" w:ascii="Times New Roman" w:hAnsi="Times New Roman" w:eastAsia="仿宋" w:cs="Times New Roman"/>
          <w:color w:val="auto"/>
          <w:sz w:val="32"/>
          <w:szCs w:val="32"/>
          <w:highlight w:val="none"/>
          <w:lang w:val="en-US" w:eastAsia="zh-CN"/>
        </w:rPr>
        <w:t>2</w:t>
      </w:r>
      <w:r>
        <w:rPr>
          <w:rFonts w:hint="default" w:ascii="Times New Roman" w:hAnsi="Times New Roman" w:eastAsia="仿宋" w:cs="Times New Roman"/>
          <w:color w:val="auto"/>
          <w:sz w:val="32"/>
          <w:szCs w:val="32"/>
          <w:highlight w:val="none"/>
        </w:rPr>
        <w:t>年</w:t>
      </w:r>
      <w:r>
        <w:rPr>
          <w:rFonts w:hint="eastAsia" w:ascii="Times New Roman" w:hAnsi="Times New Roman"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月</w:t>
      </w:r>
      <w:r>
        <w:rPr>
          <w:rFonts w:hint="eastAsia" w:ascii="Times New Roman" w:hAnsi="Times New Roman" w:eastAsia="仿宋" w:cs="Times New Roman"/>
          <w:color w:val="auto"/>
          <w:sz w:val="32"/>
          <w:szCs w:val="32"/>
          <w:highlight w:val="none"/>
          <w:lang w:val="en-US" w:eastAsia="zh-CN"/>
        </w:rPr>
        <w:t>10</w:t>
      </w:r>
      <w:r>
        <w:rPr>
          <w:rFonts w:hint="default" w:ascii="Times New Roman" w:hAnsi="Times New Roman" w:eastAsia="仿宋" w:cs="Times New Roman"/>
          <w:color w:val="auto"/>
          <w:sz w:val="32"/>
          <w:szCs w:val="32"/>
          <w:highlight w:val="none"/>
        </w:rPr>
        <w:t>日</w:t>
      </w:r>
    </w:p>
    <w:sectPr>
      <w:footerReference r:id="rId7" w:type="first"/>
      <w:footerReference r:id="rId5" w:type="default"/>
      <w:footerReference r:id="rId6" w:type="even"/>
      <w:pgSz w:w="11906" w:h="16838"/>
      <w:pgMar w:top="2098" w:right="1474" w:bottom="1985" w:left="1588" w:header="851" w:footer="1588" w:gutter="0"/>
      <w:pgNumType w:start="1"/>
      <w:cols w:space="720" w:num="1"/>
      <w:docGrid w:type="linesAndChars" w:linePitch="560" w:charSpace="-24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157EAA-AC32-41FC-BC27-5EBA6483E59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45160CCD-5E1A-4E4A-BBF0-0F1B222A91A0}"/>
  </w:font>
  <w:font w:name="方正小标宋简体">
    <w:panose1 w:val="02000000000000000000"/>
    <w:charset w:val="86"/>
    <w:family w:val="auto"/>
    <w:pitch w:val="default"/>
    <w:sig w:usb0="00000001" w:usb1="08000000" w:usb2="00000000" w:usb3="00000000" w:csb0="00040000" w:csb1="00000000"/>
    <w:embedRegular r:id="rId3" w:fontKey="{6CD44369-F7BB-4018-8343-76C6E084EC5B}"/>
  </w:font>
  <w:font w:name="仿宋">
    <w:panose1 w:val="02010609060101010101"/>
    <w:charset w:val="86"/>
    <w:family w:val="modern"/>
    <w:pitch w:val="default"/>
    <w:sig w:usb0="800002BF" w:usb1="38CF7CFA" w:usb2="00000016" w:usb3="00000000" w:csb0="00040001" w:csb1="00000000"/>
    <w:embedRegular r:id="rId4" w:fontKey="{58852AD9-C1F2-4223-B7CD-9B9261BC1445}"/>
  </w:font>
  <w:font w:name="楷体">
    <w:panose1 w:val="02010609060101010101"/>
    <w:charset w:val="86"/>
    <w:family w:val="modern"/>
    <w:pitch w:val="default"/>
    <w:sig w:usb0="800002BF" w:usb1="38CF7CFA" w:usb2="00000016" w:usb3="00000000" w:csb0="00040001" w:csb1="00000000"/>
    <w:embedRegular r:id="rId5" w:fontKey="{20D46998-13FF-4881-B4AC-9C4EF4B242F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eastAsia"/>
        <w:sz w:val="24"/>
        <w:szCs w:val="24"/>
      </w:rPr>
    </w:pPr>
    <w:r>
      <w:rPr>
        <w:rFonts w:hint="eastAsia"/>
        <w:sz w:val="24"/>
        <w:szCs w:val="24"/>
      </w:rPr>
      <w:t>—</w:t>
    </w: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r>
      <w:rPr>
        <w:rFonts w:hint="eastAsia"/>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r>
      <w:rPr>
        <w:rFonts w:hint="eastAsia"/>
      </w:rPr>
      <w:softHyphen/>
    </w:r>
    <w:r>
      <w:rPr>
        <w:rFonts w:hint="eastAsia"/>
        <w:sz w:val="24"/>
        <w:szCs w:val="24"/>
      </w:rPr>
      <w:t>—</w:t>
    </w: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4</w:t>
    </w:r>
    <w:r>
      <w:rPr>
        <w:sz w:val="24"/>
        <w:szCs w:val="24"/>
      </w:rPr>
      <w:fldChar w:fldCharType="end"/>
    </w:r>
    <w:r>
      <w:rPr>
        <w:rFonts w:hint="eastAsia"/>
        <w:sz w:val="24"/>
        <w:szCs w:val="24"/>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t>1</w:t>
    </w:r>
    <w:r>
      <w:fldChar w:fldCharType="end"/>
    </w:r>
  </w:p>
  <w:p>
    <w:pPr>
      <w:pStyle w:val="4"/>
      <w:ind w:firstLine="2970" w:firstLineChars="165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480" w:lineRule="auto"/>
      </w:pPr>
      <w:r>
        <w:separator/>
      </w:r>
    </w:p>
  </w:footnote>
  <w:footnote w:type="continuationSeparator" w:id="1">
    <w:p>
      <w:pPr>
        <w:spacing w:line="48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B6EF3"/>
    <w:multiLevelType w:val="singleLevel"/>
    <w:tmpl w:val="8B1B6EF3"/>
    <w:lvl w:ilvl="0" w:tentative="0">
      <w:start w:val="2"/>
      <w:numFmt w:val="decimal"/>
      <w:suff w:val="nothing"/>
      <w:lvlText w:val="（%1）"/>
      <w:lvlJc w:val="left"/>
    </w:lvl>
  </w:abstractNum>
  <w:abstractNum w:abstractNumId="1">
    <w:nsid w:val="99425EE6"/>
    <w:multiLevelType w:val="singleLevel"/>
    <w:tmpl w:val="99425EE6"/>
    <w:lvl w:ilvl="0" w:tentative="0">
      <w:start w:val="2"/>
      <w:numFmt w:val="chineseCounting"/>
      <w:suff w:val="nothing"/>
      <w:lvlText w:val="（%1）"/>
      <w:lvlJc w:val="left"/>
      <w:rPr>
        <w:rFonts w:hint="eastAsia"/>
      </w:rPr>
    </w:lvl>
  </w:abstractNum>
  <w:abstractNum w:abstractNumId="2">
    <w:nsid w:val="3FBC344D"/>
    <w:multiLevelType w:val="singleLevel"/>
    <w:tmpl w:val="3FBC344D"/>
    <w:lvl w:ilvl="0" w:tentative="0">
      <w:start w:val="2"/>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MjRhZjU4ZWU2Mjc2YTQyNGRmMGQ4MDhlZDBkYWQifQ=="/>
  </w:docVars>
  <w:rsids>
    <w:rsidRoot w:val="31E250CB"/>
    <w:rsid w:val="00360E24"/>
    <w:rsid w:val="00A06E76"/>
    <w:rsid w:val="00E47235"/>
    <w:rsid w:val="021950F2"/>
    <w:rsid w:val="027F104C"/>
    <w:rsid w:val="04822841"/>
    <w:rsid w:val="052C440D"/>
    <w:rsid w:val="05567619"/>
    <w:rsid w:val="06FA41B9"/>
    <w:rsid w:val="07656E72"/>
    <w:rsid w:val="097925DE"/>
    <w:rsid w:val="0A121306"/>
    <w:rsid w:val="0A207C6D"/>
    <w:rsid w:val="0A7D7D43"/>
    <w:rsid w:val="0D8D4779"/>
    <w:rsid w:val="0D984D57"/>
    <w:rsid w:val="0F340F93"/>
    <w:rsid w:val="0FA47B58"/>
    <w:rsid w:val="0FF84DA4"/>
    <w:rsid w:val="0FF860F6"/>
    <w:rsid w:val="101A3971"/>
    <w:rsid w:val="106A1193"/>
    <w:rsid w:val="11696FAE"/>
    <w:rsid w:val="11AA2DF9"/>
    <w:rsid w:val="13BF1404"/>
    <w:rsid w:val="13C27095"/>
    <w:rsid w:val="14535FF1"/>
    <w:rsid w:val="150B2427"/>
    <w:rsid w:val="158756D2"/>
    <w:rsid w:val="15AC7709"/>
    <w:rsid w:val="169528FE"/>
    <w:rsid w:val="19265A82"/>
    <w:rsid w:val="19BD42B3"/>
    <w:rsid w:val="1E28404A"/>
    <w:rsid w:val="201E17D1"/>
    <w:rsid w:val="22CB1A61"/>
    <w:rsid w:val="23D902C0"/>
    <w:rsid w:val="24982E07"/>
    <w:rsid w:val="25537265"/>
    <w:rsid w:val="27665CE1"/>
    <w:rsid w:val="27A01F79"/>
    <w:rsid w:val="28863AB1"/>
    <w:rsid w:val="288B5901"/>
    <w:rsid w:val="2A9B5FE4"/>
    <w:rsid w:val="2B197E50"/>
    <w:rsid w:val="2D381875"/>
    <w:rsid w:val="2E54433C"/>
    <w:rsid w:val="2E6674F5"/>
    <w:rsid w:val="2F605C15"/>
    <w:rsid w:val="2F927575"/>
    <w:rsid w:val="318B7B3D"/>
    <w:rsid w:val="31E250CB"/>
    <w:rsid w:val="33B75806"/>
    <w:rsid w:val="33E45B39"/>
    <w:rsid w:val="34A9091D"/>
    <w:rsid w:val="37412D85"/>
    <w:rsid w:val="3768302A"/>
    <w:rsid w:val="37E5339D"/>
    <w:rsid w:val="39C11211"/>
    <w:rsid w:val="39FD1710"/>
    <w:rsid w:val="3AC25344"/>
    <w:rsid w:val="3B563B4D"/>
    <w:rsid w:val="3C751C01"/>
    <w:rsid w:val="3CED2C6A"/>
    <w:rsid w:val="3CED6733"/>
    <w:rsid w:val="3D483969"/>
    <w:rsid w:val="3E1C3BFE"/>
    <w:rsid w:val="3E2C203A"/>
    <w:rsid w:val="3E3C7BA0"/>
    <w:rsid w:val="3E8D5A28"/>
    <w:rsid w:val="3ECA2888"/>
    <w:rsid w:val="420B38E3"/>
    <w:rsid w:val="424503FA"/>
    <w:rsid w:val="42911A40"/>
    <w:rsid w:val="42EF4FF1"/>
    <w:rsid w:val="43F10140"/>
    <w:rsid w:val="462002E9"/>
    <w:rsid w:val="46805C34"/>
    <w:rsid w:val="46E821A6"/>
    <w:rsid w:val="4800731A"/>
    <w:rsid w:val="48220A4F"/>
    <w:rsid w:val="486B0051"/>
    <w:rsid w:val="488A7D2C"/>
    <w:rsid w:val="489E61A2"/>
    <w:rsid w:val="48D95E07"/>
    <w:rsid w:val="491F0B46"/>
    <w:rsid w:val="49EB2377"/>
    <w:rsid w:val="4C546A54"/>
    <w:rsid w:val="4C754777"/>
    <w:rsid w:val="4C8B310A"/>
    <w:rsid w:val="4E290B6C"/>
    <w:rsid w:val="4E496626"/>
    <w:rsid w:val="4EFB4CDF"/>
    <w:rsid w:val="4F2F22DA"/>
    <w:rsid w:val="4FAA22EB"/>
    <w:rsid w:val="509F0628"/>
    <w:rsid w:val="51975BC6"/>
    <w:rsid w:val="51F70CDC"/>
    <w:rsid w:val="5246684A"/>
    <w:rsid w:val="53083D8B"/>
    <w:rsid w:val="5358361F"/>
    <w:rsid w:val="548E60FC"/>
    <w:rsid w:val="551F080C"/>
    <w:rsid w:val="552A215D"/>
    <w:rsid w:val="56F0675F"/>
    <w:rsid w:val="59D14FBA"/>
    <w:rsid w:val="5A041987"/>
    <w:rsid w:val="5AA000CE"/>
    <w:rsid w:val="5B0B1E06"/>
    <w:rsid w:val="5B2C7A9E"/>
    <w:rsid w:val="5B7D41AB"/>
    <w:rsid w:val="5C207C97"/>
    <w:rsid w:val="5D774F90"/>
    <w:rsid w:val="5E6653F0"/>
    <w:rsid w:val="5EA73D44"/>
    <w:rsid w:val="610E007A"/>
    <w:rsid w:val="613C0808"/>
    <w:rsid w:val="61534507"/>
    <w:rsid w:val="61873256"/>
    <w:rsid w:val="61B76844"/>
    <w:rsid w:val="622C3041"/>
    <w:rsid w:val="634C2122"/>
    <w:rsid w:val="63E87188"/>
    <w:rsid w:val="68AF532D"/>
    <w:rsid w:val="69155037"/>
    <w:rsid w:val="69362655"/>
    <w:rsid w:val="6A297306"/>
    <w:rsid w:val="6B1E16E2"/>
    <w:rsid w:val="6B2A0087"/>
    <w:rsid w:val="6CCC1ADF"/>
    <w:rsid w:val="6CF941B4"/>
    <w:rsid w:val="70A23307"/>
    <w:rsid w:val="711C66C3"/>
    <w:rsid w:val="717D79A1"/>
    <w:rsid w:val="72A8701F"/>
    <w:rsid w:val="72DD6C1E"/>
    <w:rsid w:val="72E5568C"/>
    <w:rsid w:val="73176354"/>
    <w:rsid w:val="73B322D8"/>
    <w:rsid w:val="74174D95"/>
    <w:rsid w:val="74696A97"/>
    <w:rsid w:val="75D16ADF"/>
    <w:rsid w:val="78F817C4"/>
    <w:rsid w:val="791B3A78"/>
    <w:rsid w:val="7B4F24B0"/>
    <w:rsid w:val="7B7A2964"/>
    <w:rsid w:val="7B8B7F0A"/>
    <w:rsid w:val="7B93160D"/>
    <w:rsid w:val="7C521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auto"/>
      <w:jc w:val="both"/>
    </w:pPr>
    <w:rPr>
      <w:rFonts w:ascii="Calibri" w:hAnsi="Calibri" w:eastAsia="宋体" w:cs="Times New Roman"/>
      <w:kern w:val="2"/>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正文（缩进）"/>
    <w:basedOn w:val="1"/>
    <w:qFormat/>
    <w:uiPriority w:val="0"/>
    <w:pPr>
      <w:spacing w:before="156" w:after="156"/>
    </w:pPr>
  </w:style>
  <w:style w:type="paragraph" w:styleId="3">
    <w:name w:val="annotation text"/>
    <w:basedOn w:val="1"/>
    <w:unhideWhenUsed/>
    <w:qFormat/>
    <w:uiPriority w:val="99"/>
    <w:pPr>
      <w:jc w:val="left"/>
    </w:pPr>
  </w:style>
  <w:style w:type="paragraph" w:styleId="4">
    <w:name w:val="footer"/>
    <w:basedOn w:val="1"/>
    <w:qFormat/>
    <w:uiPriority w:val="99"/>
    <w:pPr>
      <w:tabs>
        <w:tab w:val="center" w:pos="4153"/>
        <w:tab w:val="right" w:pos="8306"/>
      </w:tabs>
      <w:snapToGrid w:val="0"/>
      <w:spacing w:line="240" w:lineRule="auto"/>
      <w:jc w:val="left"/>
    </w:pPr>
    <w:rPr>
      <w:sz w:val="18"/>
      <w:szCs w:val="18"/>
    </w:rPr>
  </w:style>
  <w:style w:type="paragraph" w:styleId="5">
    <w:name w:val="Normal (Web)"/>
    <w:basedOn w:val="1"/>
    <w:qFormat/>
    <w:uiPriority w:val="99"/>
    <w:pPr>
      <w:widowControl/>
      <w:spacing w:before="100" w:beforeAutospacing="1" w:after="100" w:afterAutospacing="1" w:line="240" w:lineRule="auto"/>
      <w:jc w:val="left"/>
    </w:pPr>
    <w:rPr>
      <w:rFonts w:ascii="宋体" w:hAnsi="宋体" w:cs="宋体"/>
      <w:kern w:val="0"/>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8501</Words>
  <Characters>9095</Characters>
  <Lines>0</Lines>
  <Paragraphs>0</Paragraphs>
  <TotalTime>33</TotalTime>
  <ScaleCrop>false</ScaleCrop>
  <LinksUpToDate>false</LinksUpToDate>
  <CharactersWithSpaces>9102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2022-04-23T09:27:00Z</dcterms:created>
  <dc:creator>hzh</dc:creator>
  <cp:lastModifiedBy>毛毛</cp:lastModifiedBy>
  <cp:lastPrinted>2022-06-06T00:46:27Z</cp:lastPrinted>
  <dcterms:modified xsi:type="dcterms:W3CDTF">2022-06-06T01:06:57Z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7414C6C903284D60B1D5106E9EBCC783</vt:lpwstr>
  </property>
  <property fmtid="{D5CDD505-2E9C-101B-9397-08002B2CF9AE}" pid="4" name="commondata">
    <vt:lpwstr>eyJoZGlkIjoiZGNhMDM3YjQzYTI5NGMyNGMxYjAxOTUyMTMwNDM3NTEifQ==</vt:lpwstr>
  </property>
</Properties>
</file>