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10" w:leftChars="100"/>
        <w:rPr>
          <w:sz w:val="44"/>
          <w:szCs w:val="44"/>
        </w:rPr>
      </w:pPr>
      <w:r>
        <w:rPr>
          <w:rFonts w:hint="eastAsia"/>
        </w:rPr>
        <w:t xml:space="preserve">    </w:t>
      </w:r>
      <w:r>
        <mc:AlternateContent>
          <mc:Choice Requires="wps">
            <w:drawing>
              <wp:inline distT="0" distB="0" distL="114300" distR="114300">
                <wp:extent cx="5175250" cy="411480"/>
                <wp:effectExtent l="0" t="0" r="0" b="0"/>
                <wp:docPr id="1" name="文本框 3"/>
                <wp:cNvGraphicFramePr/>
                <a:graphic xmlns:a="http://schemas.openxmlformats.org/drawingml/2006/main">
                  <a:graphicData uri="http://schemas.microsoft.com/office/word/2010/wordprocessingShape">
                    <wps:wsp>
                      <wps:cNvSpPr txBox="1"/>
                      <wps:spPr>
                        <a:xfrm>
                          <a:off x="0" y="0"/>
                          <a:ext cx="5175250" cy="411480"/>
                        </a:xfrm>
                        <a:prstGeom prst="rect">
                          <a:avLst/>
                        </a:prstGeom>
                        <a:noFill/>
                        <a:ln>
                          <a:noFill/>
                        </a:ln>
                      </wps:spPr>
                      <wps:txbx>
                        <w:txbxContent>
                          <w:p>
                            <w:pPr>
                              <w:rPr>
                                <w:b/>
                                <w:bCs/>
                                <w:color w:val="FF0000"/>
                                <w:sz w:val="36"/>
                                <w:szCs w:val="40"/>
                              </w:rPr>
                            </w:pPr>
                            <w:r>
                              <w:rPr>
                                <w:rFonts w:hint="eastAsia"/>
                                <w:b/>
                                <w:bCs/>
                                <w:color w:val="FF0000"/>
                                <w:sz w:val="36"/>
                                <w:szCs w:val="40"/>
                              </w:rPr>
                              <w:t>湖南源涛联合会计师事务所（普通合伙）报告书</w:t>
                            </w:r>
                          </w:p>
                        </w:txbxContent>
                      </wps:txbx>
                      <wps:bodyPr upright="1">
                        <a:spAutoFit/>
                      </wps:bodyPr>
                    </wps:wsp>
                  </a:graphicData>
                </a:graphic>
              </wp:inline>
            </w:drawing>
          </mc:Choice>
          <mc:Fallback>
            <w:pict>
              <v:shape id="文本框 3" o:spid="_x0000_s1026" o:spt="202" type="#_x0000_t202" style="height:32.4pt;width:407.5pt;" filled="f" stroked="f" coordsize="21600,21600" o:gfxdata="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">
                <v:fill on="f" focussize="0,0"/>
                <v:stroke on="f"/>
                <v:imagedata o:title=""/>
                <o:lock v:ext="edit" aspectratio="f"/>
                <v:textbox style="mso-fit-shape-to-text:t;">
                  <w:txbxContent>
                    <w:p>
                      <w:pPr>
                        <w:rPr>
                          <w:b/>
                          <w:bCs/>
                          <w:color w:val="FF0000"/>
                          <w:sz w:val="36"/>
                          <w:szCs w:val="40"/>
                        </w:rPr>
                      </w:pPr>
                      <w:r>
                        <w:rPr>
                          <w:rFonts w:hint="eastAsia"/>
                          <w:b/>
                          <w:bCs/>
                          <w:color w:val="FF0000"/>
                          <w:sz w:val="36"/>
                          <w:szCs w:val="40"/>
                        </w:rPr>
                        <w:t>湖南源涛联合会计师事务所（普通合伙）报告书</w:t>
                      </w:r>
                    </w:p>
                  </w:txbxContent>
                </v:textbox>
                <w10:wrap type="none"/>
                <w10:anchorlock/>
              </v:shape>
            </w:pict>
          </mc:Fallback>
        </mc:AlternateContent>
      </w:r>
    </w:p>
    <w:p>
      <w:pPr>
        <w:rPr>
          <w:rFonts w:eastAsia="等线"/>
          <w:color w:val="0070C0"/>
          <w:sz w:val="28"/>
          <w:szCs w:val="28"/>
          <w:u w:val="single"/>
        </w:rPr>
      </w:pPr>
      <w:r>
        <w:rPr>
          <w:rFonts w:eastAsia="等线"/>
          <w:color w:val="0070C0"/>
          <w:sz w:val="28"/>
          <w:szCs w:val="28"/>
        </w:rPr>
        <w:t>地址：湖南省常德市津市市车胤大道1229号（原科技局办公楼）</w:t>
      </w:r>
    </w:p>
    <w:p>
      <w:pPr>
        <w:rPr>
          <w:sz w:val="44"/>
          <w:szCs w:val="44"/>
        </w:rPr>
      </w:pPr>
      <w:r>
        <w:rPr>
          <w:rFonts w:eastAsia="等线"/>
          <w:color w:val="0070C0"/>
          <w:sz w:val="28"/>
          <w:szCs w:val="28"/>
          <w:u w:val="single"/>
        </w:rPr>
        <w:t xml:space="preserve">电话：0736-4207638                                        </w:t>
      </w:r>
    </w:p>
    <w:p>
      <w:pPr>
        <w:jc w:val="center"/>
        <w:rPr>
          <w:rFonts w:eastAsia="仿宋"/>
          <w:sz w:val="24"/>
        </w:rPr>
      </w:pPr>
      <w:r>
        <w:rPr>
          <w:rFonts w:hint="eastAsia" w:eastAsia="仿宋"/>
          <w:sz w:val="24"/>
        </w:rPr>
        <w:t xml:space="preserve">                                        </w:t>
      </w:r>
      <w:r>
        <w:rPr>
          <w:rFonts w:eastAsia="仿宋"/>
          <w:sz w:val="24"/>
        </w:rPr>
        <w:t>湘源涛绩评字[2022]0</w:t>
      </w:r>
      <w:r>
        <w:rPr>
          <w:rFonts w:hint="eastAsia" w:eastAsia="仿宋"/>
          <w:sz w:val="24"/>
        </w:rPr>
        <w:t>0</w:t>
      </w:r>
      <w:r>
        <w:rPr>
          <w:rFonts w:eastAsia="仿宋"/>
          <w:sz w:val="24"/>
        </w:rPr>
        <w:t>2号</w:t>
      </w:r>
    </w:p>
    <w:p/>
    <w:p/>
    <w:p>
      <w:pPr>
        <w:jc w:val="center"/>
        <w:rPr>
          <w:rFonts w:ascii="宋体" w:hAnsi="宋体"/>
          <w:sz w:val="44"/>
          <w:szCs w:val="44"/>
        </w:rPr>
      </w:pPr>
      <w:r>
        <w:rPr>
          <w:rFonts w:ascii="宋体" w:hAnsi="宋体"/>
          <w:sz w:val="44"/>
          <w:szCs w:val="44"/>
        </w:rPr>
        <w:t>关于</w:t>
      </w:r>
      <w:r>
        <w:rPr>
          <w:rFonts w:hint="eastAsia" w:ascii="宋体" w:hAnsi="宋体"/>
          <w:sz w:val="44"/>
          <w:szCs w:val="44"/>
        </w:rPr>
        <w:t>2</w:t>
      </w:r>
      <w:r>
        <w:rPr>
          <w:rFonts w:ascii="宋体" w:hAnsi="宋体"/>
          <w:sz w:val="44"/>
          <w:szCs w:val="44"/>
        </w:rPr>
        <w:t>021</w:t>
      </w:r>
      <w:r>
        <w:rPr>
          <w:rFonts w:hint="eastAsia" w:ascii="宋体" w:hAnsi="宋体"/>
          <w:sz w:val="44"/>
          <w:szCs w:val="44"/>
        </w:rPr>
        <w:t>年度津市市地方储备粮补贴</w:t>
      </w:r>
    </w:p>
    <w:p>
      <w:pPr>
        <w:jc w:val="center"/>
        <w:rPr>
          <w:rFonts w:ascii="宋体" w:hAnsi="宋体"/>
          <w:sz w:val="44"/>
          <w:szCs w:val="44"/>
        </w:rPr>
      </w:pPr>
      <w:r>
        <w:rPr>
          <w:rFonts w:ascii="宋体" w:hAnsi="宋体"/>
          <w:sz w:val="44"/>
          <w:szCs w:val="44"/>
        </w:rPr>
        <w:t>专项</w:t>
      </w:r>
      <w:r>
        <w:rPr>
          <w:rFonts w:hint="eastAsia" w:ascii="宋体" w:hAnsi="宋体"/>
          <w:sz w:val="44"/>
          <w:szCs w:val="44"/>
        </w:rPr>
        <w:t>资金的</w:t>
      </w:r>
      <w:r>
        <w:rPr>
          <w:rFonts w:ascii="宋体" w:hAnsi="宋体"/>
          <w:sz w:val="44"/>
          <w:szCs w:val="44"/>
        </w:rPr>
        <w:t>绩效评价报告</w:t>
      </w:r>
    </w:p>
    <w:p>
      <w:pPr>
        <w:adjustRightInd w:val="0"/>
        <w:spacing w:line="600" w:lineRule="exact"/>
        <w:ind w:right="641"/>
        <w:jc w:val="center"/>
        <w:rPr>
          <w:rFonts w:ascii="楷体" w:hAnsi="楷体" w:eastAsia="楷体"/>
          <w:sz w:val="30"/>
          <w:szCs w:val="30"/>
        </w:rPr>
      </w:pPr>
      <w:r>
        <w:rPr>
          <w:rFonts w:hint="eastAsia" w:ascii="楷体" w:hAnsi="楷体" w:eastAsia="楷体"/>
          <w:sz w:val="30"/>
          <w:szCs w:val="30"/>
        </w:rPr>
        <w:t xml:space="preserve"> </w:t>
      </w:r>
      <w:r>
        <w:rPr>
          <w:rFonts w:ascii="楷体" w:hAnsi="楷体" w:eastAsia="楷体"/>
          <w:sz w:val="30"/>
          <w:szCs w:val="30"/>
        </w:rPr>
        <w:t xml:space="preserve">       </w:t>
      </w:r>
    </w:p>
    <w:p>
      <w:pPr>
        <w:adjustRightInd w:val="0"/>
        <w:snapToGrid w:val="0"/>
        <w:spacing w:line="360" w:lineRule="auto"/>
        <w:rPr>
          <w:rFonts w:eastAsia="仿宋"/>
          <w:sz w:val="32"/>
          <w:szCs w:val="32"/>
        </w:rPr>
      </w:pPr>
    </w:p>
    <w:p>
      <w:pPr>
        <w:adjustRightInd w:val="0"/>
        <w:snapToGrid w:val="0"/>
        <w:spacing w:line="360" w:lineRule="auto"/>
        <w:ind w:firstLine="640" w:firstLineChars="200"/>
        <w:rPr>
          <w:rFonts w:eastAsia="仿宋"/>
          <w:sz w:val="32"/>
          <w:szCs w:val="32"/>
        </w:rPr>
      </w:pPr>
      <w:r>
        <w:rPr>
          <w:rFonts w:eastAsia="仿宋"/>
          <w:sz w:val="32"/>
          <w:szCs w:val="32"/>
        </w:rPr>
        <w:t>为加强财政支出绩效管理，促进财政资金使用的科学化、合理化和精细化，</w:t>
      </w:r>
      <w:r>
        <w:rPr>
          <w:rFonts w:hint="eastAsia" w:eastAsia="仿宋"/>
          <w:sz w:val="32"/>
          <w:szCs w:val="32"/>
        </w:rPr>
        <w:t>根据财政部《项目支出绩效评价管理办法》（财预〔2020〕10号）、《湖南省预算支出绩效评价管理办法》（湘财绩[2020]7号）、《津市市财政局关于明确202</w:t>
      </w:r>
      <w:r>
        <w:rPr>
          <w:rFonts w:eastAsia="仿宋"/>
          <w:sz w:val="32"/>
          <w:szCs w:val="32"/>
        </w:rPr>
        <w:t>2</w:t>
      </w:r>
      <w:r>
        <w:rPr>
          <w:rFonts w:hint="eastAsia" w:eastAsia="仿宋"/>
          <w:sz w:val="32"/>
          <w:szCs w:val="32"/>
        </w:rPr>
        <w:t>年度预算绩效管理任务的通知》（津财发[202</w:t>
      </w:r>
      <w:r>
        <w:rPr>
          <w:rFonts w:eastAsia="仿宋"/>
          <w:sz w:val="32"/>
          <w:szCs w:val="32"/>
        </w:rPr>
        <w:t>2</w:t>
      </w:r>
      <w:r>
        <w:rPr>
          <w:rFonts w:hint="eastAsia" w:eastAsia="仿宋"/>
          <w:sz w:val="32"/>
          <w:szCs w:val="32"/>
        </w:rPr>
        <w:t>]3号）等文件精神，</w:t>
      </w:r>
      <w:r>
        <w:rPr>
          <w:rFonts w:eastAsia="仿宋"/>
          <w:sz w:val="32"/>
          <w:szCs w:val="32"/>
        </w:rPr>
        <w:t>受津市市财政局委托，湖南源涛联合会计师事务所（以下简称</w:t>
      </w:r>
      <w:r>
        <w:rPr>
          <w:rFonts w:hint="eastAsia" w:eastAsia="仿宋"/>
          <w:sz w:val="32"/>
          <w:szCs w:val="32"/>
        </w:rPr>
        <w:t>“</w:t>
      </w:r>
      <w:r>
        <w:rPr>
          <w:rFonts w:eastAsia="仿宋"/>
          <w:sz w:val="32"/>
          <w:szCs w:val="32"/>
        </w:rPr>
        <w:t>我所</w:t>
      </w:r>
      <w:r>
        <w:rPr>
          <w:rFonts w:hint="eastAsia" w:eastAsia="仿宋"/>
          <w:sz w:val="32"/>
          <w:szCs w:val="32"/>
        </w:rPr>
        <w:t>”</w:t>
      </w:r>
      <w:r>
        <w:rPr>
          <w:rFonts w:eastAsia="仿宋"/>
          <w:sz w:val="32"/>
          <w:szCs w:val="32"/>
        </w:rPr>
        <w:t>）于2022年4月1</w:t>
      </w:r>
      <w:r>
        <w:rPr>
          <w:rFonts w:hint="eastAsia" w:eastAsia="仿宋"/>
          <w:sz w:val="32"/>
          <w:szCs w:val="32"/>
        </w:rPr>
        <w:t>1</w:t>
      </w:r>
      <w:r>
        <w:rPr>
          <w:rFonts w:eastAsia="仿宋"/>
          <w:sz w:val="32"/>
          <w:szCs w:val="32"/>
        </w:rPr>
        <w:t>日至5</w:t>
      </w:r>
      <w:r>
        <w:rPr>
          <w:rFonts w:hint="eastAsia" w:eastAsia="仿宋"/>
          <w:sz w:val="32"/>
          <w:szCs w:val="32"/>
        </w:rPr>
        <w:t>月1</w:t>
      </w:r>
      <w:r>
        <w:rPr>
          <w:rFonts w:eastAsia="仿宋"/>
          <w:sz w:val="32"/>
          <w:szCs w:val="32"/>
        </w:rPr>
        <w:t>0日对</w:t>
      </w:r>
      <w:bookmarkStart w:id="0" w:name="_Hlk83841415"/>
      <w:r>
        <w:rPr>
          <w:rFonts w:hint="eastAsia" w:eastAsia="仿宋"/>
          <w:sz w:val="32"/>
          <w:szCs w:val="32"/>
        </w:rPr>
        <w:t>2</w:t>
      </w:r>
      <w:r>
        <w:rPr>
          <w:rFonts w:eastAsia="仿宋"/>
          <w:sz w:val="32"/>
          <w:szCs w:val="32"/>
        </w:rPr>
        <w:t>021</w:t>
      </w:r>
      <w:r>
        <w:rPr>
          <w:rFonts w:hint="eastAsia" w:eastAsia="仿宋"/>
          <w:sz w:val="32"/>
          <w:szCs w:val="32"/>
        </w:rPr>
        <w:t>年度</w:t>
      </w:r>
      <w:r>
        <w:rPr>
          <w:rFonts w:eastAsia="仿宋"/>
          <w:sz w:val="32"/>
          <w:szCs w:val="32"/>
        </w:rPr>
        <w:t>津市市</w:t>
      </w:r>
      <w:bookmarkEnd w:id="0"/>
      <w:r>
        <w:rPr>
          <w:rFonts w:hint="eastAsia" w:eastAsia="仿宋"/>
          <w:sz w:val="32"/>
          <w:szCs w:val="32"/>
        </w:rPr>
        <w:t>地方储备粮补贴专项资金项目</w:t>
      </w:r>
      <w:r>
        <w:rPr>
          <w:rFonts w:eastAsia="仿宋"/>
          <w:sz w:val="32"/>
          <w:szCs w:val="32"/>
        </w:rPr>
        <w:t>进行</w:t>
      </w:r>
      <w:r>
        <w:rPr>
          <w:rFonts w:hint="eastAsia" w:eastAsia="仿宋"/>
          <w:sz w:val="32"/>
          <w:szCs w:val="32"/>
        </w:rPr>
        <w:t>了</w:t>
      </w:r>
      <w:r>
        <w:rPr>
          <w:rFonts w:eastAsia="仿宋"/>
          <w:sz w:val="32"/>
          <w:szCs w:val="32"/>
        </w:rPr>
        <w:t>绩效评价，现将有关情况报告如下</w:t>
      </w:r>
      <w:r>
        <w:rPr>
          <w:rFonts w:hint="eastAsia" w:eastAsia="仿宋"/>
          <w:sz w:val="32"/>
          <w:szCs w:val="32"/>
        </w:rPr>
        <w:t>。</w:t>
      </w:r>
    </w:p>
    <w:p>
      <w:pPr>
        <w:numPr>
          <w:ilvl w:val="0"/>
          <w:numId w:val="1"/>
        </w:numPr>
        <w:adjustRightInd w:val="0"/>
        <w:snapToGrid w:val="0"/>
        <w:spacing w:line="360" w:lineRule="auto"/>
        <w:ind w:firstLine="640" w:firstLineChars="200"/>
        <w:rPr>
          <w:rFonts w:ascii="楷体" w:hAnsi="楷体" w:eastAsia="楷体"/>
          <w:sz w:val="32"/>
          <w:szCs w:val="32"/>
        </w:rPr>
      </w:pPr>
      <w:r>
        <w:rPr>
          <w:rFonts w:eastAsia="黑体"/>
          <w:sz w:val="32"/>
          <w:szCs w:val="32"/>
        </w:rPr>
        <w:t>项目</w:t>
      </w:r>
      <w:r>
        <w:rPr>
          <w:rFonts w:hint="eastAsia" w:eastAsia="黑体"/>
          <w:sz w:val="32"/>
          <w:szCs w:val="32"/>
        </w:rPr>
        <w:t>基本情况</w:t>
      </w:r>
    </w:p>
    <w:p>
      <w:pPr>
        <w:adjustRightInd w:val="0"/>
        <w:snapToGrid w:val="0"/>
        <w:spacing w:line="360" w:lineRule="auto"/>
        <w:ind w:firstLine="640" w:firstLineChars="200"/>
        <w:rPr>
          <w:rFonts w:ascii="楷体" w:hAnsi="楷体" w:eastAsia="楷体"/>
          <w:sz w:val="32"/>
          <w:szCs w:val="32"/>
        </w:rPr>
      </w:pPr>
      <w:r>
        <w:rPr>
          <w:rFonts w:ascii="楷体" w:hAnsi="楷体" w:eastAsia="楷体"/>
          <w:sz w:val="32"/>
          <w:szCs w:val="32"/>
        </w:rPr>
        <w:t>（一）项目概况</w:t>
      </w:r>
    </w:p>
    <w:p>
      <w:pPr>
        <w:adjustRightInd w:val="0"/>
        <w:snapToGrid w:val="0"/>
        <w:spacing w:line="360" w:lineRule="auto"/>
        <w:ind w:firstLine="640" w:firstLineChars="200"/>
        <w:rPr>
          <w:rFonts w:eastAsia="仿宋"/>
          <w:sz w:val="32"/>
          <w:szCs w:val="32"/>
        </w:rPr>
      </w:pPr>
      <w:r>
        <w:rPr>
          <w:rFonts w:eastAsia="仿宋"/>
          <w:sz w:val="32"/>
          <w:szCs w:val="32"/>
        </w:rPr>
        <w:t>1、</w:t>
      </w:r>
      <w:r>
        <w:rPr>
          <w:rFonts w:hint="eastAsia" w:eastAsia="仿宋"/>
          <w:sz w:val="32"/>
          <w:szCs w:val="32"/>
        </w:rPr>
        <w:t>项目背景</w:t>
      </w:r>
    </w:p>
    <w:p>
      <w:pPr>
        <w:adjustRightInd w:val="0"/>
        <w:snapToGrid w:val="0"/>
        <w:spacing w:line="360" w:lineRule="auto"/>
        <w:ind w:firstLine="640" w:firstLineChars="200"/>
        <w:rPr>
          <w:rFonts w:eastAsia="仿宋"/>
          <w:sz w:val="32"/>
          <w:szCs w:val="32"/>
        </w:rPr>
      </w:pPr>
      <w:r>
        <w:rPr>
          <w:rFonts w:hint="eastAsia" w:eastAsia="仿宋"/>
          <w:sz w:val="32"/>
          <w:szCs w:val="32"/>
        </w:rPr>
        <w:t>地方储备粮是指县级以上人民政府储备的用于调节所辖行政区域内粮食供求总量，稳定粮食市场，以及应对重大自然灾害或者其他突发公共事件等情况的粮食和食用植物油。根据</w:t>
      </w:r>
      <w:bookmarkStart w:id="1" w:name="_Hlk83881818"/>
      <w:r>
        <w:rPr>
          <w:rFonts w:hint="eastAsia" w:eastAsia="仿宋"/>
          <w:sz w:val="32"/>
          <w:szCs w:val="32"/>
        </w:rPr>
        <w:t>津市市人民代表大会常务委员会2</w:t>
      </w:r>
      <w:r>
        <w:rPr>
          <w:rFonts w:eastAsia="仿宋"/>
          <w:sz w:val="32"/>
          <w:szCs w:val="32"/>
        </w:rPr>
        <w:t>016</w:t>
      </w:r>
      <w:r>
        <w:rPr>
          <w:rFonts w:hint="eastAsia" w:eastAsia="仿宋"/>
          <w:sz w:val="32"/>
          <w:szCs w:val="32"/>
        </w:rPr>
        <w:t>年1</w:t>
      </w:r>
      <w:r>
        <w:rPr>
          <w:rFonts w:eastAsia="仿宋"/>
          <w:sz w:val="32"/>
          <w:szCs w:val="32"/>
        </w:rPr>
        <w:t>2</w:t>
      </w:r>
      <w:r>
        <w:rPr>
          <w:rFonts w:hint="eastAsia" w:eastAsia="仿宋"/>
          <w:sz w:val="32"/>
          <w:szCs w:val="32"/>
        </w:rPr>
        <w:t>月2</w:t>
      </w:r>
      <w:r>
        <w:rPr>
          <w:rFonts w:eastAsia="仿宋"/>
          <w:sz w:val="32"/>
          <w:szCs w:val="32"/>
        </w:rPr>
        <w:t>6</w:t>
      </w:r>
      <w:r>
        <w:rPr>
          <w:rFonts w:hint="eastAsia" w:eastAsia="仿宋"/>
          <w:sz w:val="32"/>
          <w:szCs w:val="32"/>
        </w:rPr>
        <w:t>日印发的《津市市人民代表大会常务委员会关于继续实施市级储备粮制度的决定》（津人常[</w:t>
      </w:r>
      <w:r>
        <w:rPr>
          <w:rFonts w:eastAsia="仿宋"/>
          <w:sz w:val="32"/>
          <w:szCs w:val="32"/>
        </w:rPr>
        <w:t>2016]29</w:t>
      </w:r>
      <w:r>
        <w:rPr>
          <w:rFonts w:hint="eastAsia" w:eastAsia="仿宋"/>
          <w:sz w:val="32"/>
          <w:szCs w:val="32"/>
        </w:rPr>
        <w:t>号）文件要求，为贯彻落实好上级精神，确保粮食安全，保障社会稳定，增强政府宏观调控能力，继续实施本级储备粮制度，按6</w:t>
      </w:r>
      <w:r>
        <w:rPr>
          <w:rFonts w:eastAsia="仿宋"/>
          <w:sz w:val="32"/>
          <w:szCs w:val="32"/>
        </w:rPr>
        <w:t>200</w:t>
      </w:r>
      <w:r>
        <w:rPr>
          <w:rFonts w:hint="eastAsia" w:eastAsia="仿宋"/>
          <w:sz w:val="32"/>
          <w:szCs w:val="32"/>
        </w:rPr>
        <w:t>吨储备任务规模落实。</w:t>
      </w:r>
      <w:bookmarkStart w:id="2" w:name="_Hlk102024218"/>
      <w:r>
        <w:rPr>
          <w:rFonts w:hint="eastAsia" w:eastAsia="仿宋"/>
          <w:sz w:val="32"/>
          <w:szCs w:val="32"/>
        </w:rPr>
        <w:t>地方储备粮</w:t>
      </w:r>
      <w:bookmarkEnd w:id="2"/>
      <w:r>
        <w:rPr>
          <w:rFonts w:hint="eastAsia" w:eastAsia="仿宋"/>
          <w:sz w:val="32"/>
          <w:szCs w:val="32"/>
        </w:rPr>
        <w:t>补贴（以下简称“本项目”）专项资金由市财政局据实足额补贴，补贴资金用于储备粮的贷款利息、管理费用、轮换费用及可能形成的价差亏损及损失损耗资金。</w:t>
      </w:r>
    </w:p>
    <w:bookmarkEnd w:id="1"/>
    <w:p>
      <w:pPr>
        <w:adjustRightInd w:val="0"/>
        <w:snapToGrid w:val="0"/>
        <w:spacing w:line="360" w:lineRule="auto"/>
        <w:ind w:firstLine="640" w:firstLineChars="200"/>
        <w:rPr>
          <w:rFonts w:ascii="仿宋" w:hAnsi="仿宋" w:eastAsia="仿宋" w:cs="楷体"/>
          <w:sz w:val="32"/>
          <w:szCs w:val="32"/>
        </w:rPr>
      </w:pPr>
      <w:r>
        <w:rPr>
          <w:rFonts w:eastAsia="仿宋"/>
          <w:sz w:val="32"/>
          <w:szCs w:val="32"/>
        </w:rPr>
        <w:t>2、</w:t>
      </w:r>
      <w:r>
        <w:rPr>
          <w:rFonts w:hint="eastAsia" w:ascii="仿宋" w:hAnsi="仿宋" w:eastAsia="仿宋" w:cs="楷体"/>
          <w:sz w:val="32"/>
          <w:szCs w:val="32"/>
        </w:rPr>
        <w:t>项目主要内容及实施情况</w:t>
      </w:r>
    </w:p>
    <w:p>
      <w:pPr>
        <w:adjustRightInd w:val="0"/>
        <w:snapToGrid w:val="0"/>
        <w:spacing w:line="360" w:lineRule="auto"/>
        <w:ind w:firstLine="640" w:firstLineChars="200"/>
        <w:rPr>
          <w:rFonts w:eastAsia="仿宋"/>
          <w:sz w:val="32"/>
          <w:szCs w:val="32"/>
        </w:rPr>
      </w:pPr>
      <w:r>
        <w:rPr>
          <w:rFonts w:hint="eastAsia" w:ascii="仿宋" w:hAnsi="仿宋" w:eastAsia="仿宋" w:cs="楷体"/>
          <w:sz w:val="32"/>
          <w:szCs w:val="32"/>
        </w:rPr>
        <w:t>本市地方储备粮的承储企业是津市市军粮供应有限公司（以下简称“</w:t>
      </w:r>
      <w:bookmarkStart w:id="3" w:name="_Hlk102024432"/>
      <w:r>
        <w:rPr>
          <w:rFonts w:hint="eastAsia" w:ascii="仿宋" w:hAnsi="仿宋" w:eastAsia="仿宋" w:cs="楷体"/>
          <w:sz w:val="32"/>
          <w:szCs w:val="32"/>
        </w:rPr>
        <w:t>市军粮公司</w:t>
      </w:r>
      <w:bookmarkEnd w:id="3"/>
      <w:r>
        <w:rPr>
          <w:rFonts w:hint="eastAsia" w:ascii="仿宋" w:hAnsi="仿宋" w:eastAsia="仿宋" w:cs="楷体"/>
          <w:sz w:val="32"/>
          <w:szCs w:val="32"/>
        </w:rPr>
        <w:t>”）。市军粮公司根据地方储备粮的收购、销售及年度轮换计划，具体组织和实施地方储备粮的收购、存储管理和轮换工作，并对地方储备粮的数量、质量和储存安全负责。</w:t>
      </w:r>
    </w:p>
    <w:p>
      <w:pPr>
        <w:adjustRightInd w:val="0"/>
        <w:snapToGrid w:val="0"/>
        <w:spacing w:line="360" w:lineRule="auto"/>
        <w:ind w:firstLine="640" w:firstLineChars="200"/>
        <w:rPr>
          <w:rFonts w:eastAsia="仿宋"/>
          <w:sz w:val="32"/>
          <w:szCs w:val="32"/>
        </w:rPr>
      </w:pPr>
      <w:r>
        <w:rPr>
          <w:rFonts w:hint="eastAsia" w:eastAsia="仿宋"/>
          <w:sz w:val="32"/>
          <w:szCs w:val="32"/>
        </w:rPr>
        <w:t>按照《湖南省地方储备粮管理办法》（2010年2月11日湖南省人民政府令第248号）、湖南省粮食和物资储备局《关于进一步规范粮食收购、在库保管与销售出库操作流程的通知》（湘粮办调[2020]17号）、津市市人民政府《关于印发&lt;津市市地方储备粮管理办法&gt;的通知》（津</w:t>
      </w:r>
      <w:r>
        <w:rPr>
          <w:rFonts w:hint="eastAsia" w:ascii="仿宋" w:hAnsi="仿宋" w:eastAsia="仿宋" w:cs="楷体"/>
          <w:sz w:val="32"/>
          <w:szCs w:val="32"/>
        </w:rPr>
        <w:t>政发</w:t>
      </w:r>
      <w:r>
        <w:rPr>
          <w:rFonts w:hint="eastAsia" w:eastAsia="仿宋"/>
          <w:sz w:val="32"/>
          <w:szCs w:val="32"/>
        </w:rPr>
        <w:t>[2016]31号）等相关文件要求，市军粮公司以灵泉粮库、石龟山粮库（P3仓、P4仓、P6-2仓）作为地方储备粮收储库点，建立、健全地方储备粮各项业务管理制度，保证地方储备粮数量真实、质量良好和存储安全，确保地方储备粮储得进、管得好、调得动、用得上，节约成本、费用。</w:t>
      </w:r>
    </w:p>
    <w:p>
      <w:pPr>
        <w:adjustRightInd w:val="0"/>
        <w:snapToGrid w:val="0"/>
        <w:spacing w:line="360" w:lineRule="auto"/>
        <w:ind w:firstLine="640" w:firstLineChars="200"/>
        <w:rPr>
          <w:rFonts w:eastAsia="仿宋"/>
          <w:sz w:val="32"/>
          <w:szCs w:val="32"/>
        </w:rPr>
      </w:pPr>
      <w:r>
        <w:rPr>
          <w:rFonts w:hint="eastAsia" w:eastAsia="仿宋"/>
          <w:sz w:val="32"/>
          <w:szCs w:val="32"/>
        </w:rPr>
        <w:t>本项目专项资金的执行标准，原则上按照《津市市地方储备粮管理办法》的规定，并综合统筹考虑项目执行年度粮食市场行情、其他专项补贴等其他因素后由市财政予以安排。</w:t>
      </w:r>
    </w:p>
    <w:p>
      <w:pPr>
        <w:adjustRightInd w:val="0"/>
        <w:snapToGrid w:val="0"/>
        <w:spacing w:line="360" w:lineRule="auto"/>
        <w:ind w:firstLine="640" w:firstLineChars="200"/>
        <w:rPr>
          <w:rFonts w:eastAsia="仿宋"/>
          <w:sz w:val="32"/>
          <w:szCs w:val="32"/>
        </w:rPr>
      </w:pPr>
      <w:r>
        <w:rPr>
          <w:rFonts w:eastAsia="仿宋"/>
          <w:sz w:val="32"/>
          <w:szCs w:val="32"/>
        </w:rPr>
        <w:t>3、</w:t>
      </w:r>
      <w:r>
        <w:rPr>
          <w:rFonts w:hint="eastAsia" w:eastAsia="仿宋"/>
          <w:sz w:val="32"/>
          <w:szCs w:val="32"/>
        </w:rPr>
        <w:t>项目</w:t>
      </w:r>
      <w:r>
        <w:rPr>
          <w:rFonts w:eastAsia="仿宋"/>
          <w:sz w:val="32"/>
          <w:szCs w:val="32"/>
        </w:rPr>
        <w:t>资金</w:t>
      </w:r>
      <w:r>
        <w:rPr>
          <w:rFonts w:hint="eastAsia" w:eastAsia="仿宋"/>
          <w:sz w:val="32"/>
          <w:szCs w:val="32"/>
        </w:rPr>
        <w:t>投入和使用情况</w:t>
      </w:r>
    </w:p>
    <w:p>
      <w:pPr>
        <w:adjustRightInd w:val="0"/>
        <w:snapToGrid w:val="0"/>
        <w:spacing w:line="360" w:lineRule="auto"/>
        <w:ind w:firstLine="640" w:firstLineChars="200"/>
        <w:rPr>
          <w:rFonts w:eastAsia="仿宋"/>
          <w:sz w:val="32"/>
          <w:szCs w:val="32"/>
        </w:rPr>
      </w:pPr>
      <w:r>
        <w:rPr>
          <w:rFonts w:hint="eastAsia" w:eastAsia="仿宋"/>
          <w:sz w:val="32"/>
          <w:szCs w:val="32"/>
        </w:rPr>
        <w:t>2021年，市财政局预算安排补贴资金</w:t>
      </w:r>
      <w:bookmarkStart w:id="4" w:name="_Hlk101971167"/>
      <w:r>
        <w:rPr>
          <w:rFonts w:hint="eastAsia" w:eastAsia="仿宋"/>
          <w:sz w:val="32"/>
          <w:szCs w:val="32"/>
        </w:rPr>
        <w:t>214.82</w:t>
      </w:r>
      <w:bookmarkEnd w:id="4"/>
      <w:r>
        <w:rPr>
          <w:rFonts w:hint="eastAsia" w:eastAsia="仿宋"/>
          <w:sz w:val="32"/>
          <w:szCs w:val="32"/>
        </w:rPr>
        <w:t>万元，其中：①2</w:t>
      </w:r>
      <w:r>
        <w:rPr>
          <w:rFonts w:eastAsia="仿宋"/>
          <w:sz w:val="32"/>
          <w:szCs w:val="32"/>
        </w:rPr>
        <w:t>021</w:t>
      </w:r>
      <w:r>
        <w:rPr>
          <w:rFonts w:hint="eastAsia" w:eastAsia="仿宋"/>
          <w:sz w:val="32"/>
          <w:szCs w:val="32"/>
        </w:rPr>
        <w:t>年度</w:t>
      </w:r>
      <w:bookmarkStart w:id="5" w:name="_Hlk103888800"/>
      <w:r>
        <w:rPr>
          <w:rFonts w:hint="eastAsia" w:eastAsia="仿宋"/>
          <w:sz w:val="32"/>
          <w:szCs w:val="32"/>
        </w:rPr>
        <w:t>地方储备粮</w:t>
      </w:r>
      <w:bookmarkEnd w:id="5"/>
      <w:r>
        <w:rPr>
          <w:rFonts w:hint="eastAsia" w:eastAsia="仿宋"/>
          <w:sz w:val="32"/>
          <w:szCs w:val="32"/>
        </w:rPr>
        <w:t>贷款利息支出60.37万元，②2</w:t>
      </w:r>
      <w:r>
        <w:rPr>
          <w:rFonts w:eastAsia="仿宋"/>
          <w:sz w:val="32"/>
          <w:szCs w:val="32"/>
        </w:rPr>
        <w:t>021</w:t>
      </w:r>
      <w:r>
        <w:rPr>
          <w:rFonts w:hint="eastAsia" w:eastAsia="仿宋"/>
          <w:sz w:val="32"/>
          <w:szCs w:val="32"/>
        </w:rPr>
        <w:t>年度地方储备粮保管费用包干使用补贴57.45万元，③2</w:t>
      </w:r>
      <w:r>
        <w:rPr>
          <w:rFonts w:eastAsia="仿宋"/>
          <w:sz w:val="32"/>
          <w:szCs w:val="32"/>
        </w:rPr>
        <w:t>020</w:t>
      </w:r>
      <w:r>
        <w:rPr>
          <w:rFonts w:hint="eastAsia" w:eastAsia="仿宋"/>
          <w:sz w:val="32"/>
          <w:szCs w:val="32"/>
        </w:rPr>
        <w:t>年轮换销售2</w:t>
      </w:r>
      <w:r>
        <w:rPr>
          <w:rFonts w:eastAsia="仿宋"/>
          <w:sz w:val="32"/>
          <w:szCs w:val="32"/>
        </w:rPr>
        <w:t>017</w:t>
      </w:r>
      <w:r>
        <w:rPr>
          <w:rFonts w:hint="eastAsia" w:eastAsia="仿宋"/>
          <w:sz w:val="32"/>
          <w:szCs w:val="32"/>
        </w:rPr>
        <w:t>年购进早籼稻差价损失定额补贴97万元。</w:t>
      </w:r>
    </w:p>
    <w:p>
      <w:pPr>
        <w:adjustRightInd w:val="0"/>
        <w:snapToGrid w:val="0"/>
        <w:spacing w:line="360" w:lineRule="auto"/>
        <w:ind w:firstLine="640" w:firstLineChars="200"/>
        <w:rPr>
          <w:rFonts w:eastAsia="仿宋"/>
          <w:sz w:val="32"/>
          <w:szCs w:val="32"/>
        </w:rPr>
      </w:pPr>
      <w:r>
        <w:rPr>
          <w:rFonts w:eastAsia="仿宋"/>
          <w:sz w:val="32"/>
          <w:szCs w:val="32"/>
        </w:rPr>
        <w:t>全年</w:t>
      </w:r>
      <w:r>
        <w:rPr>
          <w:rFonts w:hint="eastAsia" w:eastAsia="仿宋"/>
          <w:sz w:val="32"/>
          <w:szCs w:val="32"/>
        </w:rPr>
        <w:t>实际使用补贴资金213.33万元，其中：①地方储备粮保管费用包干使用57.45万元，②2</w:t>
      </w:r>
      <w:r>
        <w:rPr>
          <w:rFonts w:eastAsia="仿宋"/>
          <w:sz w:val="32"/>
          <w:szCs w:val="32"/>
        </w:rPr>
        <w:t>020</w:t>
      </w:r>
      <w:r>
        <w:rPr>
          <w:rFonts w:hint="eastAsia" w:eastAsia="仿宋"/>
          <w:sz w:val="32"/>
          <w:szCs w:val="32"/>
        </w:rPr>
        <w:t>年轮换销售差价损失定额补贴97万元；③地方储备粮贷款利息实际支出58.88万元（2</w:t>
      </w:r>
      <w:r>
        <w:rPr>
          <w:rFonts w:eastAsia="仿宋"/>
          <w:sz w:val="32"/>
          <w:szCs w:val="32"/>
        </w:rPr>
        <w:t>021</w:t>
      </w:r>
      <w:r>
        <w:rPr>
          <w:rFonts w:hint="eastAsia" w:eastAsia="仿宋"/>
          <w:sz w:val="32"/>
          <w:szCs w:val="32"/>
        </w:rPr>
        <w:t>年度利息支付明细详见附件3）。</w:t>
      </w:r>
    </w:p>
    <w:p>
      <w:pPr>
        <w:adjustRightInd w:val="0"/>
        <w:snapToGrid w:val="0"/>
        <w:spacing w:line="360" w:lineRule="auto"/>
        <w:ind w:firstLine="640" w:firstLineChars="200"/>
        <w:rPr>
          <w:rFonts w:ascii="楷体" w:hAnsi="楷体" w:eastAsia="楷体" w:cs="楷体"/>
          <w:sz w:val="32"/>
          <w:szCs w:val="32"/>
        </w:rPr>
      </w:pPr>
      <w:r>
        <w:rPr>
          <w:rFonts w:hint="eastAsia" w:ascii="楷体" w:hAnsi="楷体" w:eastAsia="楷体" w:cs="楷体"/>
          <w:sz w:val="32"/>
          <w:szCs w:val="32"/>
        </w:rPr>
        <w:t>（二）项目绩效目标</w:t>
      </w:r>
    </w:p>
    <w:p>
      <w:pPr>
        <w:adjustRightInd w:val="0"/>
        <w:snapToGrid w:val="0"/>
        <w:spacing w:line="360" w:lineRule="auto"/>
        <w:ind w:firstLine="640" w:firstLineChars="200"/>
        <w:rPr>
          <w:rFonts w:ascii="仿宋" w:hAnsi="仿宋" w:eastAsia="仿宋"/>
          <w:sz w:val="32"/>
          <w:szCs w:val="32"/>
        </w:rPr>
      </w:pPr>
      <w:r>
        <w:rPr>
          <w:rFonts w:hint="eastAsia" w:eastAsia="仿宋"/>
          <w:sz w:val="32"/>
          <w:szCs w:val="32"/>
        </w:rPr>
        <w:t>1、</w:t>
      </w:r>
      <w:r>
        <w:rPr>
          <w:rFonts w:ascii="仿宋" w:hAnsi="仿宋" w:eastAsia="仿宋"/>
          <w:sz w:val="32"/>
          <w:szCs w:val="32"/>
        </w:rPr>
        <w:t>项目绩效总目标</w:t>
      </w:r>
    </w:p>
    <w:p>
      <w:pPr>
        <w:snapToGrid w:val="0"/>
        <w:spacing w:line="360" w:lineRule="auto"/>
        <w:ind w:firstLine="640" w:firstLineChars="200"/>
        <w:rPr>
          <w:rFonts w:eastAsia="仿宋"/>
          <w:sz w:val="32"/>
          <w:szCs w:val="32"/>
        </w:rPr>
      </w:pPr>
      <w:r>
        <w:rPr>
          <w:rFonts w:hint="eastAsia" w:eastAsia="仿宋"/>
          <w:sz w:val="32"/>
          <w:szCs w:val="32"/>
        </w:rPr>
        <w:t>本项目的绩效总体目标，是</w:t>
      </w:r>
      <w:r>
        <w:rPr>
          <w:rFonts w:eastAsia="仿宋"/>
          <w:sz w:val="32"/>
          <w:szCs w:val="32"/>
        </w:rPr>
        <w:t>按照</w:t>
      </w:r>
      <w:r>
        <w:rPr>
          <w:rFonts w:hint="eastAsia" w:eastAsia="仿宋"/>
          <w:sz w:val="32"/>
          <w:szCs w:val="32"/>
        </w:rPr>
        <w:t>“储得进、管得好、调得动、用得上”的要求，加强对地方储备粮的管理，确保本市地方储备粮数量真实，质量良好，同时发挥宏观调控作用，维护粮食市场稳定，提升自然灾害或其他突发事件的应急保障能力。</w:t>
      </w:r>
    </w:p>
    <w:p>
      <w:pPr>
        <w:adjustRightInd w:val="0"/>
        <w:snapToGrid w:val="0"/>
        <w:spacing w:line="360" w:lineRule="auto"/>
        <w:ind w:firstLine="640" w:firstLineChars="200"/>
        <w:rPr>
          <w:rFonts w:ascii="仿宋" w:hAnsi="仿宋" w:eastAsia="仿宋"/>
          <w:sz w:val="32"/>
          <w:szCs w:val="32"/>
        </w:rPr>
      </w:pPr>
      <w:r>
        <w:rPr>
          <w:rFonts w:hint="eastAsia" w:eastAsia="仿宋"/>
          <w:sz w:val="32"/>
          <w:szCs w:val="32"/>
        </w:rPr>
        <w:t>2、</w:t>
      </w:r>
      <w:r>
        <w:rPr>
          <w:rFonts w:hint="eastAsia" w:ascii="仿宋" w:hAnsi="仿宋" w:eastAsia="仿宋"/>
          <w:sz w:val="32"/>
          <w:szCs w:val="32"/>
        </w:rPr>
        <w:t>项目具体目标</w:t>
      </w:r>
    </w:p>
    <w:p>
      <w:pPr>
        <w:adjustRightInd w:val="0"/>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市军粮公司按照项目总目标要求，计划实现以下具体绩效目标：</w:t>
      </w:r>
    </w:p>
    <w:p>
      <w:pPr>
        <w:adjustRightInd w:val="0"/>
        <w:snapToGrid w:val="0"/>
        <w:spacing w:line="360" w:lineRule="auto"/>
        <w:ind w:firstLine="640" w:firstLineChars="200"/>
        <w:rPr>
          <w:rFonts w:ascii="仿宋" w:hAnsi="仿宋" w:eastAsia="仿宋"/>
          <w:sz w:val="32"/>
          <w:szCs w:val="32"/>
        </w:rPr>
      </w:pPr>
      <w:r>
        <w:rPr>
          <w:rFonts w:ascii="仿宋" w:hAnsi="仿宋" w:eastAsia="仿宋"/>
          <w:sz w:val="32"/>
          <w:szCs w:val="32"/>
        </w:rPr>
        <w:t>（1）</w:t>
      </w:r>
      <w:bookmarkStart w:id="6" w:name="_Hlk83667028"/>
      <w:r>
        <w:rPr>
          <w:rFonts w:hint="eastAsia" w:ascii="仿宋" w:hAnsi="仿宋" w:eastAsia="仿宋"/>
          <w:sz w:val="32"/>
          <w:szCs w:val="32"/>
        </w:rPr>
        <w:t>产出目标</w:t>
      </w:r>
    </w:p>
    <w:p>
      <w:pPr>
        <w:adjustRightInd w:val="0"/>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①</w:t>
      </w:r>
      <w:bookmarkEnd w:id="6"/>
      <w:r>
        <w:rPr>
          <w:rFonts w:hint="eastAsia" w:ascii="仿宋" w:hAnsi="仿宋" w:eastAsia="仿宋"/>
          <w:sz w:val="32"/>
          <w:szCs w:val="32"/>
        </w:rPr>
        <w:t>数量指标</w:t>
      </w:r>
    </w:p>
    <w:p>
      <w:pPr>
        <w:adjustRightInd w:val="0"/>
        <w:snapToGrid w:val="0"/>
        <w:spacing w:line="360" w:lineRule="auto"/>
        <w:ind w:firstLine="640" w:firstLineChars="200"/>
        <w:rPr>
          <w:rFonts w:eastAsia="仿宋"/>
          <w:sz w:val="32"/>
          <w:szCs w:val="32"/>
        </w:rPr>
      </w:pPr>
      <w:r>
        <w:rPr>
          <w:rFonts w:hint="eastAsia" w:eastAsia="仿宋"/>
          <w:sz w:val="32"/>
          <w:szCs w:val="32"/>
        </w:rPr>
        <w:t>根据《津市市人民代表大会常务委员会关于继续实施市级储备粮制度的决定》（津人常[</w:t>
      </w:r>
      <w:r>
        <w:rPr>
          <w:rFonts w:eastAsia="仿宋"/>
          <w:sz w:val="32"/>
          <w:szCs w:val="32"/>
        </w:rPr>
        <w:t>2016]29</w:t>
      </w:r>
      <w:r>
        <w:rPr>
          <w:rFonts w:hint="eastAsia" w:eastAsia="仿宋"/>
          <w:sz w:val="32"/>
          <w:szCs w:val="32"/>
        </w:rPr>
        <w:t>号）要求，本市地方储备粮储备规模为6</w:t>
      </w:r>
      <w:r>
        <w:rPr>
          <w:rFonts w:eastAsia="仿宋"/>
          <w:sz w:val="32"/>
          <w:szCs w:val="32"/>
        </w:rPr>
        <w:t>200</w:t>
      </w:r>
      <w:r>
        <w:rPr>
          <w:rFonts w:hint="eastAsia" w:eastAsia="仿宋"/>
          <w:sz w:val="32"/>
          <w:szCs w:val="32"/>
        </w:rPr>
        <w:t>吨。规范执行地方储备粮均衡轮换制度，按三年一轮换的周期要求，及时完成年度内应轮换2</w:t>
      </w:r>
      <w:r>
        <w:rPr>
          <w:rFonts w:eastAsia="仿宋"/>
          <w:sz w:val="32"/>
          <w:szCs w:val="32"/>
        </w:rPr>
        <w:t>018</w:t>
      </w:r>
      <w:r>
        <w:rPr>
          <w:rFonts w:hint="eastAsia" w:eastAsia="仿宋"/>
          <w:sz w:val="32"/>
          <w:szCs w:val="32"/>
        </w:rPr>
        <w:t>年购进的中晚稻2</w:t>
      </w:r>
      <w:r>
        <w:rPr>
          <w:rFonts w:eastAsia="仿宋"/>
          <w:sz w:val="32"/>
          <w:szCs w:val="32"/>
        </w:rPr>
        <w:t>200</w:t>
      </w:r>
      <w:r>
        <w:rPr>
          <w:rFonts w:hint="eastAsia" w:eastAsia="仿宋"/>
          <w:sz w:val="32"/>
          <w:szCs w:val="32"/>
        </w:rPr>
        <w:t>吨。</w:t>
      </w:r>
    </w:p>
    <w:p>
      <w:pPr>
        <w:adjustRightInd w:val="0"/>
        <w:snapToGrid w:val="0"/>
        <w:spacing w:line="360" w:lineRule="auto"/>
        <w:ind w:firstLine="640" w:firstLineChars="200"/>
        <w:rPr>
          <w:rFonts w:eastAsia="仿宋"/>
          <w:sz w:val="32"/>
          <w:szCs w:val="32"/>
        </w:rPr>
      </w:pPr>
      <w:r>
        <w:rPr>
          <w:rFonts w:hint="eastAsia" w:eastAsia="仿宋"/>
          <w:sz w:val="32"/>
          <w:szCs w:val="32"/>
        </w:rPr>
        <w:t>②质量指标</w:t>
      </w:r>
    </w:p>
    <w:p>
      <w:pPr>
        <w:adjustRightInd w:val="0"/>
        <w:snapToGrid w:val="0"/>
        <w:spacing w:line="360" w:lineRule="auto"/>
        <w:ind w:firstLine="640" w:firstLineChars="200"/>
        <w:rPr>
          <w:rFonts w:eastAsia="仿宋"/>
          <w:sz w:val="32"/>
          <w:szCs w:val="32"/>
        </w:rPr>
      </w:pPr>
      <w:r>
        <w:rPr>
          <w:rFonts w:hint="eastAsia" w:eastAsia="仿宋"/>
          <w:sz w:val="32"/>
          <w:szCs w:val="32"/>
        </w:rPr>
        <w:t>确保地方储备粮食数量真实、质量良好和储存安全；执行地方储备粮收购、销售、轮换计划，保证入库的粮食达到收购、轮换规定的质量等级，符合国家规定的质量标准。</w:t>
      </w:r>
    </w:p>
    <w:p>
      <w:pPr>
        <w:adjustRightInd w:val="0"/>
        <w:snapToGrid w:val="0"/>
        <w:spacing w:line="360" w:lineRule="auto"/>
        <w:ind w:firstLine="640" w:firstLineChars="200"/>
        <w:rPr>
          <w:rFonts w:eastAsia="仿宋"/>
          <w:sz w:val="32"/>
          <w:szCs w:val="32"/>
        </w:rPr>
      </w:pPr>
      <w:r>
        <w:rPr>
          <w:rFonts w:hint="eastAsia" w:eastAsia="仿宋"/>
          <w:sz w:val="32"/>
          <w:szCs w:val="32"/>
        </w:rPr>
        <w:t>③补贴成本</w:t>
      </w:r>
    </w:p>
    <w:p>
      <w:pPr>
        <w:adjustRightInd w:val="0"/>
        <w:snapToGrid w:val="0"/>
        <w:spacing w:line="360" w:lineRule="auto"/>
        <w:ind w:firstLine="640" w:firstLineChars="200"/>
        <w:rPr>
          <w:rFonts w:eastAsia="仿宋"/>
          <w:sz w:val="32"/>
          <w:szCs w:val="32"/>
        </w:rPr>
      </w:pPr>
      <w:r>
        <w:rPr>
          <w:rFonts w:hint="eastAsia" w:eastAsia="仿宋"/>
          <w:sz w:val="32"/>
          <w:szCs w:val="32"/>
        </w:rPr>
        <w:t>《津市市地方储备粮管理办法》规定，地方储备粮的保管费用按每吨9</w:t>
      </w:r>
      <w:r>
        <w:rPr>
          <w:rFonts w:eastAsia="仿宋"/>
          <w:sz w:val="32"/>
          <w:szCs w:val="32"/>
        </w:rPr>
        <w:t>0</w:t>
      </w:r>
      <w:r>
        <w:rPr>
          <w:rFonts w:hint="eastAsia" w:eastAsia="仿宋"/>
          <w:sz w:val="32"/>
          <w:szCs w:val="32"/>
        </w:rPr>
        <w:t>元、轮换费用（三年一轮换）每吨1</w:t>
      </w:r>
      <w:r>
        <w:rPr>
          <w:rFonts w:eastAsia="仿宋"/>
          <w:sz w:val="32"/>
          <w:szCs w:val="32"/>
        </w:rPr>
        <w:t>40</w:t>
      </w:r>
      <w:r>
        <w:rPr>
          <w:rFonts w:hint="eastAsia" w:eastAsia="仿宋"/>
          <w:sz w:val="32"/>
          <w:szCs w:val="32"/>
        </w:rPr>
        <w:t>元标准，正常损耗2.05%，以上各项费用补贴由市财政局拨付；地方储备粮所需贷款利息按人民银行同期同档次贷款利率由市财政局据实按季拨付；地方储备粮轮换亏损（含价差亏损、保管损耗和调运损耗）由市财政局按实际发生核算后拨付；地方储备粮因不可抗力因素等发生的损失，经市财政局现场核定并报市政府批准后予以弥补。年内，经市政府批准，市财政综合考虑其他粮食收储资金补贴计划等因素，预算安排本项目补贴资金总额</w:t>
      </w:r>
      <w:r>
        <w:rPr>
          <w:rFonts w:eastAsia="仿宋"/>
          <w:sz w:val="32"/>
          <w:szCs w:val="32"/>
        </w:rPr>
        <w:t>214.82</w:t>
      </w:r>
      <w:r>
        <w:rPr>
          <w:rFonts w:hint="eastAsia" w:eastAsia="仿宋"/>
          <w:sz w:val="32"/>
          <w:szCs w:val="32"/>
        </w:rPr>
        <w:t>万元。</w:t>
      </w:r>
    </w:p>
    <w:p>
      <w:pPr>
        <w:adjustRightInd w:val="0"/>
        <w:snapToGrid w:val="0"/>
        <w:spacing w:line="360" w:lineRule="auto"/>
        <w:ind w:firstLine="640" w:firstLineChars="200"/>
        <w:rPr>
          <w:rFonts w:ascii="仿宋" w:hAnsi="仿宋" w:eastAsia="仿宋"/>
          <w:sz w:val="32"/>
          <w:szCs w:val="32"/>
        </w:rPr>
      </w:pPr>
      <w:r>
        <w:rPr>
          <w:rFonts w:hint="eastAsia" w:eastAsia="仿宋"/>
          <w:sz w:val="32"/>
          <w:szCs w:val="32"/>
        </w:rPr>
        <w:t>（2）</w:t>
      </w:r>
      <w:r>
        <w:rPr>
          <w:rFonts w:hint="eastAsia" w:ascii="仿宋" w:hAnsi="仿宋" w:eastAsia="仿宋"/>
          <w:sz w:val="32"/>
          <w:szCs w:val="32"/>
        </w:rPr>
        <w:t>社会效益与可持续影响</w:t>
      </w:r>
    </w:p>
    <w:p>
      <w:pPr>
        <w:adjustRightInd w:val="0"/>
        <w:snapToGrid w:val="0"/>
        <w:spacing w:line="360" w:lineRule="auto"/>
        <w:ind w:firstLine="640" w:firstLineChars="200"/>
        <w:rPr>
          <w:rFonts w:ascii="仿宋" w:hAnsi="仿宋" w:eastAsia="仿宋"/>
          <w:sz w:val="32"/>
          <w:szCs w:val="32"/>
        </w:rPr>
      </w:pPr>
      <w:r>
        <w:rPr>
          <w:rFonts w:hint="eastAsia" w:eastAsia="仿宋"/>
          <w:sz w:val="32"/>
          <w:szCs w:val="32"/>
        </w:rPr>
        <w:t>执行国家最低保护价粮食收购政策，敞开收购，保护农民利益，使农民增产增收。稳定粮食市场，保障粮食安全，保证粮食供应总量，提升应对重大自然灾害或其他突发公共事件能力。</w:t>
      </w:r>
    </w:p>
    <w:p>
      <w:pPr>
        <w:adjustRightInd w:val="0"/>
        <w:snapToGrid w:val="0"/>
        <w:spacing w:line="360" w:lineRule="auto"/>
        <w:ind w:firstLine="640" w:firstLineChars="200"/>
        <w:rPr>
          <w:rFonts w:ascii="仿宋" w:hAnsi="仿宋" w:eastAsia="仿宋"/>
          <w:sz w:val="32"/>
          <w:szCs w:val="32"/>
        </w:rPr>
      </w:pPr>
      <w:bookmarkStart w:id="7" w:name="_Hlk36105128"/>
      <w:r>
        <w:rPr>
          <w:rFonts w:hint="eastAsia" w:eastAsia="仿宋"/>
          <w:sz w:val="32"/>
          <w:szCs w:val="32"/>
        </w:rPr>
        <w:t>（</w:t>
      </w:r>
      <w:r>
        <w:rPr>
          <w:rFonts w:eastAsia="仿宋"/>
          <w:sz w:val="32"/>
          <w:szCs w:val="32"/>
        </w:rPr>
        <w:t>3</w:t>
      </w:r>
      <w:r>
        <w:rPr>
          <w:rFonts w:hint="eastAsia" w:eastAsia="仿宋"/>
          <w:sz w:val="32"/>
          <w:szCs w:val="32"/>
        </w:rPr>
        <w:t>）</w:t>
      </w:r>
      <w:r>
        <w:rPr>
          <w:rFonts w:hint="eastAsia" w:ascii="仿宋" w:hAnsi="仿宋" w:eastAsia="仿宋"/>
          <w:sz w:val="32"/>
          <w:szCs w:val="32"/>
        </w:rPr>
        <w:t>满意度指标</w:t>
      </w:r>
    </w:p>
    <w:bookmarkEnd w:id="7"/>
    <w:p>
      <w:pPr>
        <w:adjustRightInd w:val="0"/>
        <w:snapToGrid w:val="0"/>
        <w:spacing w:line="360" w:lineRule="auto"/>
        <w:ind w:firstLine="640" w:firstLineChars="200"/>
        <w:rPr>
          <w:rFonts w:eastAsia="仿宋"/>
          <w:sz w:val="32"/>
          <w:szCs w:val="32"/>
        </w:rPr>
      </w:pPr>
      <w:r>
        <w:rPr>
          <w:rFonts w:hint="eastAsia" w:eastAsia="仿宋"/>
          <w:sz w:val="32"/>
          <w:szCs w:val="32"/>
        </w:rPr>
        <w:t>本市社会公众对本项目的</w:t>
      </w:r>
      <w:r>
        <w:rPr>
          <w:rFonts w:eastAsia="仿宋"/>
          <w:sz w:val="32"/>
          <w:szCs w:val="32"/>
        </w:rPr>
        <w:t>满意度达90%以上。</w:t>
      </w:r>
    </w:p>
    <w:p>
      <w:pPr>
        <w:snapToGrid w:val="0"/>
        <w:spacing w:line="360" w:lineRule="auto"/>
        <w:ind w:firstLine="689" w:firstLineChars="245"/>
        <w:jc w:val="left"/>
        <w:rPr>
          <w:rFonts w:eastAsia="黑体"/>
          <w:sz w:val="32"/>
          <w:szCs w:val="32"/>
        </w:rPr>
      </w:pPr>
      <w:r>
        <w:rPr>
          <w:rFonts w:hint="eastAsia" w:eastAsia="黑体"/>
          <w:b/>
          <w:bCs/>
          <w:color w:val="000000"/>
          <w:kern w:val="0"/>
          <w:sz w:val="28"/>
        </w:rPr>
        <w:t>二</w:t>
      </w:r>
      <w:r>
        <w:rPr>
          <w:rFonts w:eastAsia="黑体"/>
          <w:b/>
          <w:bCs/>
          <w:color w:val="000000"/>
          <w:kern w:val="0"/>
          <w:sz w:val="28"/>
        </w:rPr>
        <w:t>、</w:t>
      </w:r>
      <w:r>
        <w:rPr>
          <w:rFonts w:eastAsia="黑体"/>
          <w:sz w:val="32"/>
          <w:szCs w:val="32"/>
        </w:rPr>
        <w:t>绩效评价工作</w:t>
      </w:r>
      <w:r>
        <w:rPr>
          <w:rFonts w:hint="eastAsia" w:eastAsia="黑体"/>
          <w:sz w:val="32"/>
          <w:szCs w:val="32"/>
        </w:rPr>
        <w:t>开展</w:t>
      </w:r>
      <w:r>
        <w:rPr>
          <w:rFonts w:eastAsia="黑体"/>
          <w:sz w:val="32"/>
          <w:szCs w:val="32"/>
        </w:rPr>
        <w:t>情况</w:t>
      </w:r>
    </w:p>
    <w:p>
      <w:pPr>
        <w:snapToGrid w:val="0"/>
        <w:spacing w:line="360" w:lineRule="auto"/>
        <w:ind w:firstLine="640" w:firstLineChars="200"/>
        <w:jc w:val="left"/>
        <w:rPr>
          <w:rFonts w:ascii="楷体" w:hAnsi="楷体" w:eastAsia="楷体" w:cs="楷体"/>
          <w:sz w:val="32"/>
          <w:szCs w:val="32"/>
        </w:rPr>
      </w:pPr>
      <w:r>
        <w:rPr>
          <w:rFonts w:hint="eastAsia" w:ascii="楷体" w:hAnsi="楷体" w:eastAsia="楷体" w:cs="楷体"/>
          <w:sz w:val="32"/>
          <w:szCs w:val="32"/>
        </w:rPr>
        <w:t>（一）评价目的</w:t>
      </w:r>
    </w:p>
    <w:p>
      <w:pPr>
        <w:adjustRightInd w:val="0"/>
        <w:snapToGrid w:val="0"/>
        <w:spacing w:line="360" w:lineRule="auto"/>
        <w:ind w:firstLine="640" w:firstLineChars="200"/>
        <w:rPr>
          <w:rFonts w:eastAsia="仿宋"/>
          <w:sz w:val="32"/>
          <w:szCs w:val="32"/>
        </w:rPr>
      </w:pPr>
      <w:r>
        <w:rPr>
          <w:rFonts w:hint="eastAsia" w:eastAsia="仿宋"/>
          <w:sz w:val="32"/>
          <w:szCs w:val="32"/>
        </w:rPr>
        <w:t>通过绩效评价，全面了解项目实施及管理过程，评价产出及效益的实现程度，总结经验，发现存在的问题和不足，提出改进完善建议，对项目后续管理和运行提供依据，提高财政资金的使用效益。</w:t>
      </w:r>
    </w:p>
    <w:p>
      <w:pPr>
        <w:snapToGrid w:val="0"/>
        <w:spacing w:line="360" w:lineRule="auto"/>
        <w:ind w:firstLine="640" w:firstLineChars="200"/>
        <w:jc w:val="left"/>
        <w:rPr>
          <w:rFonts w:ascii="楷体" w:hAnsi="楷体" w:eastAsia="楷体" w:cs="楷体"/>
          <w:sz w:val="32"/>
          <w:szCs w:val="32"/>
        </w:rPr>
      </w:pPr>
      <w:r>
        <w:rPr>
          <w:rFonts w:hint="eastAsia" w:ascii="楷体" w:hAnsi="楷体" w:eastAsia="楷体" w:cs="楷体"/>
          <w:sz w:val="32"/>
          <w:szCs w:val="32"/>
        </w:rPr>
        <w:t>（二）评价原则和方法</w:t>
      </w:r>
    </w:p>
    <w:p>
      <w:pPr>
        <w:snapToGrid w:val="0"/>
        <w:spacing w:line="360" w:lineRule="auto"/>
        <w:ind w:firstLine="640" w:firstLineChars="200"/>
        <w:jc w:val="left"/>
        <w:rPr>
          <w:rFonts w:eastAsia="仿宋"/>
          <w:sz w:val="32"/>
          <w:szCs w:val="32"/>
        </w:rPr>
      </w:pPr>
      <w:r>
        <w:rPr>
          <w:rFonts w:eastAsia="仿宋"/>
          <w:sz w:val="32"/>
          <w:szCs w:val="32"/>
        </w:rPr>
        <w:t>1、评价原则</w:t>
      </w:r>
    </w:p>
    <w:p>
      <w:pPr>
        <w:snapToGrid w:val="0"/>
        <w:spacing w:line="360" w:lineRule="auto"/>
        <w:ind w:firstLine="640" w:firstLineChars="200"/>
        <w:jc w:val="left"/>
        <w:rPr>
          <w:rFonts w:eastAsia="仿宋"/>
          <w:sz w:val="32"/>
          <w:szCs w:val="32"/>
        </w:rPr>
      </w:pPr>
      <w:r>
        <w:rPr>
          <w:rFonts w:eastAsia="仿宋"/>
          <w:sz w:val="32"/>
          <w:szCs w:val="32"/>
        </w:rPr>
        <w:t>本次评价主要遵循的原则是，科学公正，统筹兼顾。</w:t>
      </w:r>
    </w:p>
    <w:p>
      <w:pPr>
        <w:snapToGrid w:val="0"/>
        <w:spacing w:line="360" w:lineRule="auto"/>
        <w:ind w:firstLine="640" w:firstLineChars="200"/>
        <w:jc w:val="left"/>
        <w:rPr>
          <w:rFonts w:eastAsia="仿宋"/>
          <w:sz w:val="32"/>
          <w:szCs w:val="32"/>
        </w:rPr>
      </w:pPr>
      <w:r>
        <w:rPr>
          <w:rFonts w:eastAsia="仿宋"/>
          <w:sz w:val="32"/>
          <w:szCs w:val="32"/>
        </w:rPr>
        <w:t>2、评价方法</w:t>
      </w:r>
    </w:p>
    <w:p>
      <w:pPr>
        <w:snapToGrid w:val="0"/>
        <w:spacing w:line="360" w:lineRule="auto"/>
        <w:ind w:right="-105" w:rightChars="-50" w:firstLine="640" w:firstLineChars="200"/>
        <w:jc w:val="left"/>
        <w:rPr>
          <w:rFonts w:eastAsia="仿宋"/>
          <w:sz w:val="32"/>
          <w:szCs w:val="32"/>
        </w:rPr>
      </w:pPr>
      <w:r>
        <w:rPr>
          <w:rFonts w:hint="eastAsia" w:ascii="仿宋" w:hAnsi="仿宋" w:eastAsia="仿宋"/>
          <w:sz w:val="32"/>
          <w:szCs w:val="32"/>
        </w:rPr>
        <w:t>根据本项目的特点，</w:t>
      </w:r>
      <w:r>
        <w:rPr>
          <w:rFonts w:eastAsia="仿宋"/>
          <w:sz w:val="32"/>
          <w:szCs w:val="32"/>
        </w:rPr>
        <w:t>本次评价主要采用比较法</w:t>
      </w:r>
      <w:r>
        <w:rPr>
          <w:rFonts w:hint="eastAsia" w:eastAsia="仿宋"/>
          <w:sz w:val="32"/>
          <w:szCs w:val="32"/>
        </w:rPr>
        <w:t>：根据地方储备粮的存储期限到期时，比较市场粮食价格，执行国家最低价粮食收购政策。</w:t>
      </w:r>
    </w:p>
    <w:p>
      <w:pPr>
        <w:snapToGrid w:val="0"/>
        <w:spacing w:line="360" w:lineRule="auto"/>
        <w:ind w:firstLine="640" w:firstLineChars="200"/>
        <w:jc w:val="left"/>
        <w:rPr>
          <w:rFonts w:ascii="楷体" w:hAnsi="楷体" w:eastAsia="楷体" w:cs="楷体"/>
          <w:sz w:val="32"/>
          <w:szCs w:val="32"/>
        </w:rPr>
      </w:pPr>
      <w:r>
        <w:rPr>
          <w:rFonts w:hint="eastAsia" w:ascii="楷体" w:hAnsi="楷体" w:eastAsia="楷体" w:cs="楷体"/>
          <w:sz w:val="32"/>
          <w:szCs w:val="32"/>
        </w:rPr>
        <w:t>（三）评价标准</w:t>
      </w:r>
    </w:p>
    <w:p>
      <w:pPr>
        <w:adjustRightInd w:val="0"/>
        <w:snapToGrid w:val="0"/>
        <w:spacing w:line="360" w:lineRule="auto"/>
        <w:ind w:right="-105" w:rightChars="-50" w:firstLine="640" w:firstLineChars="200"/>
        <w:jc w:val="left"/>
        <w:rPr>
          <w:rFonts w:eastAsia="仿宋"/>
          <w:sz w:val="32"/>
          <w:szCs w:val="32"/>
        </w:rPr>
      </w:pPr>
      <w:r>
        <w:rPr>
          <w:rFonts w:hint="eastAsia" w:eastAsia="仿宋"/>
          <w:sz w:val="32"/>
          <w:szCs w:val="32"/>
        </w:rPr>
        <w:t>对本项目的绩效评价，其标准主要是计划指标，</w:t>
      </w:r>
      <w:r>
        <w:rPr>
          <w:rFonts w:eastAsia="仿宋"/>
          <w:sz w:val="32"/>
          <w:szCs w:val="32"/>
        </w:rPr>
        <w:t>包括项目批复、</w:t>
      </w:r>
      <w:r>
        <w:rPr>
          <w:rFonts w:hint="eastAsia" w:eastAsia="仿宋"/>
          <w:sz w:val="32"/>
          <w:szCs w:val="32"/>
        </w:rPr>
        <w:t>项目实施</w:t>
      </w:r>
      <w:r>
        <w:rPr>
          <w:rFonts w:eastAsia="仿宋"/>
          <w:sz w:val="32"/>
          <w:szCs w:val="32"/>
        </w:rPr>
        <w:t>方案等规定的相关产出标准</w:t>
      </w:r>
      <w:r>
        <w:rPr>
          <w:rFonts w:hint="eastAsia" w:eastAsia="仿宋"/>
          <w:sz w:val="32"/>
          <w:szCs w:val="32"/>
        </w:rPr>
        <w:t>、效益和满意度指标。</w:t>
      </w:r>
    </w:p>
    <w:p>
      <w:pPr>
        <w:snapToGrid w:val="0"/>
        <w:spacing w:line="360" w:lineRule="auto"/>
        <w:ind w:firstLine="640" w:firstLineChars="200"/>
        <w:jc w:val="left"/>
        <w:rPr>
          <w:rFonts w:ascii="楷体" w:hAnsi="楷体" w:eastAsia="楷体" w:cs="楷体"/>
          <w:sz w:val="32"/>
          <w:szCs w:val="32"/>
        </w:rPr>
      </w:pPr>
      <w:r>
        <w:rPr>
          <w:rFonts w:hint="eastAsia" w:ascii="楷体" w:hAnsi="楷体" w:eastAsia="楷体" w:cs="楷体"/>
          <w:sz w:val="32"/>
          <w:szCs w:val="32"/>
        </w:rPr>
        <w:t>（四）</w:t>
      </w:r>
      <w:bookmarkStart w:id="8" w:name="_Hlk101962296"/>
      <w:r>
        <w:rPr>
          <w:rFonts w:hint="eastAsia" w:ascii="楷体" w:hAnsi="楷体" w:eastAsia="楷体" w:cs="楷体"/>
          <w:sz w:val="32"/>
          <w:szCs w:val="32"/>
        </w:rPr>
        <w:t>评价指标</w:t>
      </w:r>
      <w:bookmarkEnd w:id="8"/>
      <w:r>
        <w:rPr>
          <w:rFonts w:hint="eastAsia" w:ascii="楷体" w:hAnsi="楷体" w:eastAsia="楷体" w:cs="楷体"/>
          <w:sz w:val="32"/>
          <w:szCs w:val="32"/>
        </w:rPr>
        <w:t>体系</w:t>
      </w:r>
    </w:p>
    <w:p>
      <w:pPr>
        <w:snapToGrid w:val="0"/>
        <w:spacing w:line="360" w:lineRule="auto"/>
        <w:ind w:firstLine="640" w:firstLineChars="200"/>
        <w:jc w:val="left"/>
        <w:rPr>
          <w:rFonts w:eastAsia="仿宋"/>
          <w:sz w:val="32"/>
          <w:szCs w:val="32"/>
        </w:rPr>
      </w:pPr>
      <w:r>
        <w:rPr>
          <w:rFonts w:hint="eastAsia" w:eastAsia="仿宋"/>
          <w:sz w:val="32"/>
          <w:szCs w:val="32"/>
        </w:rPr>
        <w:t>本项目评价指标以财政部《项目支出绩效评价管理办法》（财预[</w:t>
      </w:r>
      <w:r>
        <w:rPr>
          <w:rFonts w:eastAsia="仿宋"/>
          <w:sz w:val="32"/>
          <w:szCs w:val="32"/>
        </w:rPr>
        <w:t>20</w:t>
      </w:r>
      <w:r>
        <w:rPr>
          <w:rFonts w:hint="eastAsia" w:eastAsia="仿宋"/>
          <w:sz w:val="32"/>
          <w:szCs w:val="32"/>
        </w:rPr>
        <w:t>20</w:t>
      </w:r>
      <w:r>
        <w:rPr>
          <w:rFonts w:eastAsia="仿宋"/>
          <w:sz w:val="32"/>
          <w:szCs w:val="32"/>
        </w:rPr>
        <w:t>]</w:t>
      </w:r>
      <w:r>
        <w:rPr>
          <w:rFonts w:hint="eastAsia" w:eastAsia="仿宋"/>
          <w:sz w:val="32"/>
          <w:szCs w:val="32"/>
        </w:rPr>
        <w:t>10号）为基准</w:t>
      </w:r>
      <w:r>
        <w:rPr>
          <w:rFonts w:eastAsia="仿宋"/>
          <w:sz w:val="32"/>
          <w:szCs w:val="32"/>
        </w:rPr>
        <w:t>进行设置。</w:t>
      </w:r>
    </w:p>
    <w:p>
      <w:pPr>
        <w:adjustRightInd w:val="0"/>
        <w:snapToGrid w:val="0"/>
        <w:spacing w:line="360" w:lineRule="auto"/>
        <w:ind w:firstLine="640" w:firstLineChars="200"/>
        <w:jc w:val="left"/>
        <w:rPr>
          <w:rFonts w:ascii="楷体" w:hAnsi="楷体" w:eastAsia="楷体"/>
          <w:sz w:val="32"/>
          <w:szCs w:val="32"/>
        </w:rPr>
      </w:pPr>
      <w:r>
        <w:rPr>
          <w:rFonts w:hint="eastAsia" w:ascii="楷体" w:hAnsi="楷体" w:eastAsia="楷体"/>
          <w:sz w:val="32"/>
          <w:szCs w:val="32"/>
        </w:rPr>
        <w:t>（五）评价工作过程</w:t>
      </w:r>
    </w:p>
    <w:p>
      <w:pPr>
        <w:adjustRightInd w:val="0"/>
        <w:snapToGrid w:val="0"/>
        <w:spacing w:line="360" w:lineRule="auto"/>
        <w:ind w:right="-105" w:rightChars="-50" w:firstLine="640" w:firstLineChars="200"/>
        <w:jc w:val="left"/>
        <w:rPr>
          <w:rFonts w:eastAsia="仿宋"/>
          <w:sz w:val="32"/>
          <w:szCs w:val="32"/>
        </w:rPr>
      </w:pPr>
      <w:r>
        <w:rPr>
          <w:rFonts w:eastAsia="仿宋"/>
          <w:sz w:val="32"/>
          <w:szCs w:val="32"/>
        </w:rPr>
        <w:t>我所根据市财政局的委托要求，结合项目实际情况制定了绩效评价实施方案，成立了绩效评价小组，到市</w:t>
      </w:r>
      <w:r>
        <w:rPr>
          <w:rFonts w:hint="eastAsia" w:eastAsia="仿宋"/>
          <w:sz w:val="32"/>
          <w:szCs w:val="32"/>
        </w:rPr>
        <w:t>军粮公司、</w:t>
      </w:r>
      <w:r>
        <w:rPr>
          <w:rFonts w:eastAsia="仿宋"/>
          <w:sz w:val="32"/>
          <w:szCs w:val="32"/>
        </w:rPr>
        <w:t>和</w:t>
      </w:r>
      <w:r>
        <w:rPr>
          <w:rFonts w:hint="eastAsia" w:eastAsia="仿宋"/>
          <w:sz w:val="32"/>
          <w:szCs w:val="32"/>
        </w:rPr>
        <w:t>灵泉、石龟山粮库</w:t>
      </w:r>
      <w:r>
        <w:rPr>
          <w:rFonts w:eastAsia="仿宋"/>
          <w:sz w:val="32"/>
          <w:szCs w:val="32"/>
        </w:rPr>
        <w:t>进行了现场评价。采取听取情况介绍、查阅收集相关资料、审查</w:t>
      </w:r>
      <w:r>
        <w:rPr>
          <w:rFonts w:hint="eastAsia" w:eastAsia="仿宋"/>
          <w:sz w:val="32"/>
          <w:szCs w:val="32"/>
        </w:rPr>
        <w:t>账簿凭证</w:t>
      </w:r>
      <w:r>
        <w:rPr>
          <w:rFonts w:eastAsia="仿宋"/>
          <w:sz w:val="32"/>
          <w:szCs w:val="32"/>
        </w:rPr>
        <w:t>，对社会公众</w:t>
      </w:r>
      <w:r>
        <w:rPr>
          <w:rFonts w:hint="eastAsia" w:eastAsia="仿宋"/>
          <w:sz w:val="32"/>
          <w:szCs w:val="32"/>
        </w:rPr>
        <w:t>等</w:t>
      </w:r>
      <w:r>
        <w:rPr>
          <w:rFonts w:eastAsia="仿宋"/>
          <w:sz w:val="32"/>
          <w:szCs w:val="32"/>
        </w:rPr>
        <w:t>通过</w:t>
      </w:r>
      <w:r>
        <w:rPr>
          <w:rFonts w:hint="eastAsia" w:eastAsia="仿宋"/>
          <w:sz w:val="32"/>
          <w:szCs w:val="32"/>
        </w:rPr>
        <w:t>发送满意度调查问卷进行调查等方式</w:t>
      </w:r>
      <w:r>
        <w:rPr>
          <w:rFonts w:eastAsia="仿宋"/>
          <w:sz w:val="32"/>
          <w:szCs w:val="32"/>
        </w:rPr>
        <w:t>，对本专项进行了分析和评价，并与市</w:t>
      </w:r>
      <w:r>
        <w:rPr>
          <w:rFonts w:hint="eastAsia" w:eastAsia="仿宋"/>
          <w:sz w:val="32"/>
          <w:szCs w:val="32"/>
        </w:rPr>
        <w:t>军粮公司</w:t>
      </w:r>
      <w:r>
        <w:rPr>
          <w:rFonts w:eastAsia="仿宋"/>
          <w:sz w:val="32"/>
          <w:szCs w:val="32"/>
        </w:rPr>
        <w:t>沟通交流，形成本项目绩效评价报告。</w:t>
      </w:r>
    </w:p>
    <w:p>
      <w:pPr>
        <w:adjustRightInd w:val="0"/>
        <w:snapToGrid w:val="0"/>
        <w:spacing w:line="360" w:lineRule="auto"/>
        <w:ind w:right="-105" w:rightChars="-50" w:firstLine="640" w:firstLineChars="200"/>
        <w:jc w:val="left"/>
        <w:rPr>
          <w:rFonts w:ascii="黑体" w:hAnsi="黑体" w:eastAsia="黑体"/>
          <w:sz w:val="32"/>
          <w:szCs w:val="32"/>
        </w:rPr>
      </w:pPr>
      <w:r>
        <w:rPr>
          <w:rFonts w:hint="eastAsia" w:ascii="黑体" w:hAnsi="黑体" w:eastAsia="黑体"/>
          <w:sz w:val="32"/>
          <w:szCs w:val="32"/>
        </w:rPr>
        <w:t>三、综合评价情况及评价结论</w:t>
      </w:r>
    </w:p>
    <w:p>
      <w:pPr>
        <w:adjustRightInd w:val="0"/>
        <w:snapToGrid w:val="0"/>
        <w:spacing w:line="360" w:lineRule="auto"/>
        <w:ind w:right="-105" w:rightChars="-50" w:firstLine="640" w:firstLineChars="200"/>
        <w:jc w:val="left"/>
        <w:rPr>
          <w:rFonts w:eastAsia="仿宋"/>
          <w:sz w:val="32"/>
          <w:szCs w:val="32"/>
        </w:rPr>
      </w:pPr>
      <w:r>
        <w:rPr>
          <w:rFonts w:hint="eastAsia" w:eastAsia="仿宋"/>
          <w:sz w:val="32"/>
          <w:szCs w:val="32"/>
        </w:rPr>
        <w:t>经综合评价，本项目绩效评价得分90分，绩效评价结果为“优”。</w:t>
      </w:r>
    </w:p>
    <w:p>
      <w:pPr>
        <w:adjustRightInd w:val="0"/>
        <w:snapToGrid w:val="0"/>
        <w:spacing w:line="360" w:lineRule="auto"/>
        <w:ind w:right="-105" w:rightChars="-50" w:firstLine="640" w:firstLineChars="200"/>
        <w:jc w:val="left"/>
        <w:rPr>
          <w:rFonts w:eastAsia="仿宋"/>
          <w:sz w:val="32"/>
          <w:szCs w:val="32"/>
        </w:rPr>
      </w:pPr>
      <w:r>
        <w:rPr>
          <w:rFonts w:hint="eastAsia" w:eastAsia="仿宋"/>
          <w:sz w:val="32"/>
          <w:szCs w:val="32"/>
        </w:rPr>
        <w:t>评分说明详细情况见附件1：</w:t>
      </w:r>
      <w:bookmarkStart w:id="9" w:name="_Hlk81639262"/>
      <w:r>
        <w:rPr>
          <w:rFonts w:eastAsia="仿宋"/>
          <w:sz w:val="32"/>
          <w:szCs w:val="32"/>
        </w:rPr>
        <w:t>《</w:t>
      </w:r>
      <w:r>
        <w:rPr>
          <w:rFonts w:hint="eastAsia" w:eastAsia="仿宋"/>
          <w:sz w:val="32"/>
          <w:szCs w:val="32"/>
        </w:rPr>
        <w:t>202</w:t>
      </w:r>
      <w:r>
        <w:rPr>
          <w:rFonts w:eastAsia="仿宋"/>
          <w:sz w:val="32"/>
          <w:szCs w:val="32"/>
        </w:rPr>
        <w:t>1</w:t>
      </w:r>
      <w:r>
        <w:rPr>
          <w:rFonts w:hint="eastAsia" w:eastAsia="仿宋"/>
          <w:sz w:val="32"/>
          <w:szCs w:val="32"/>
        </w:rPr>
        <w:t>年度津市市地方储备粮补贴专项资金绩效评价指标评分表</w:t>
      </w:r>
      <w:r>
        <w:rPr>
          <w:rFonts w:eastAsia="仿宋"/>
          <w:sz w:val="32"/>
          <w:szCs w:val="32"/>
        </w:rPr>
        <w:t>》</w:t>
      </w:r>
      <w:bookmarkEnd w:id="9"/>
      <w:r>
        <w:rPr>
          <w:rFonts w:hint="eastAsia" w:eastAsia="仿宋"/>
          <w:sz w:val="32"/>
          <w:szCs w:val="32"/>
        </w:rPr>
        <w:t>。</w:t>
      </w:r>
    </w:p>
    <w:p>
      <w:pPr>
        <w:snapToGrid w:val="0"/>
        <w:spacing w:line="360" w:lineRule="auto"/>
        <w:ind w:firstLine="627" w:firstLineChars="196"/>
        <w:jc w:val="left"/>
        <w:rPr>
          <w:rFonts w:eastAsia="黑体"/>
          <w:sz w:val="32"/>
          <w:szCs w:val="32"/>
        </w:rPr>
      </w:pPr>
      <w:r>
        <w:rPr>
          <w:rFonts w:eastAsia="黑体"/>
          <w:sz w:val="32"/>
          <w:szCs w:val="32"/>
        </w:rPr>
        <w:t>四、绩效评价指标</w:t>
      </w:r>
      <w:r>
        <w:rPr>
          <w:rFonts w:hint="eastAsia" w:eastAsia="黑体"/>
          <w:sz w:val="32"/>
          <w:szCs w:val="32"/>
        </w:rPr>
        <w:t>分析</w:t>
      </w:r>
    </w:p>
    <w:p>
      <w:pPr>
        <w:adjustRightInd w:val="0"/>
        <w:snapToGrid w:val="0"/>
        <w:spacing w:line="360" w:lineRule="auto"/>
        <w:ind w:firstLine="640" w:firstLineChars="200"/>
        <w:rPr>
          <w:rFonts w:eastAsia="楷体"/>
          <w:sz w:val="32"/>
          <w:szCs w:val="32"/>
        </w:rPr>
      </w:pPr>
      <w:r>
        <w:rPr>
          <w:rFonts w:hint="eastAsia" w:eastAsia="楷体"/>
          <w:sz w:val="32"/>
          <w:szCs w:val="32"/>
        </w:rPr>
        <w:t>（一）项目决策情况</w:t>
      </w:r>
    </w:p>
    <w:p>
      <w:pPr>
        <w:adjustRightInd w:val="0"/>
        <w:snapToGrid w:val="0"/>
        <w:spacing w:line="360" w:lineRule="auto"/>
        <w:ind w:firstLine="640" w:firstLineChars="200"/>
        <w:rPr>
          <w:rFonts w:ascii="仿宋" w:hAnsi="仿宋" w:eastAsia="仿宋" w:cs="仿宋"/>
          <w:sz w:val="32"/>
          <w:szCs w:val="32"/>
        </w:rPr>
      </w:pPr>
      <w:r>
        <w:rPr>
          <w:rFonts w:hint="eastAsia" w:eastAsia="仿宋"/>
          <w:sz w:val="32"/>
          <w:szCs w:val="32"/>
        </w:rPr>
        <w:t>1、</w:t>
      </w:r>
      <w:r>
        <w:rPr>
          <w:rFonts w:hint="eastAsia" w:ascii="仿宋" w:hAnsi="仿宋" w:eastAsia="仿宋" w:cs="仿宋"/>
          <w:sz w:val="32"/>
          <w:szCs w:val="32"/>
        </w:rPr>
        <w:t>项目立项依据</w:t>
      </w:r>
    </w:p>
    <w:p>
      <w:pPr>
        <w:adjustRightInd w:val="0"/>
        <w:snapToGrid w:val="0"/>
        <w:spacing w:line="360" w:lineRule="auto"/>
        <w:ind w:firstLine="640" w:firstLineChars="200"/>
        <w:rPr>
          <w:rFonts w:eastAsia="仿宋"/>
          <w:sz w:val="32"/>
          <w:szCs w:val="32"/>
        </w:rPr>
      </w:pPr>
      <w:r>
        <w:rPr>
          <w:rFonts w:eastAsia="仿宋"/>
          <w:sz w:val="32"/>
          <w:szCs w:val="32"/>
        </w:rPr>
        <w:t>本项目立项的主要依据包括：</w:t>
      </w:r>
    </w:p>
    <w:p>
      <w:pPr>
        <w:adjustRightInd w:val="0"/>
        <w:snapToGrid w:val="0"/>
        <w:spacing w:line="360" w:lineRule="auto"/>
        <w:ind w:firstLine="640" w:firstLineChars="200"/>
        <w:rPr>
          <w:rFonts w:eastAsia="仿宋"/>
          <w:sz w:val="32"/>
          <w:szCs w:val="32"/>
        </w:rPr>
      </w:pPr>
      <w:r>
        <w:rPr>
          <w:rFonts w:hint="eastAsia" w:eastAsia="仿宋"/>
          <w:sz w:val="32"/>
          <w:szCs w:val="32"/>
        </w:rPr>
        <w:t>（</w:t>
      </w:r>
      <w:r>
        <w:rPr>
          <w:rFonts w:eastAsia="仿宋"/>
          <w:sz w:val="32"/>
          <w:szCs w:val="32"/>
        </w:rPr>
        <w:t>1</w:t>
      </w:r>
      <w:r>
        <w:rPr>
          <w:rFonts w:hint="eastAsia" w:eastAsia="仿宋"/>
          <w:sz w:val="32"/>
          <w:szCs w:val="32"/>
        </w:rPr>
        <w:t>）</w:t>
      </w:r>
      <w:bookmarkStart w:id="10" w:name="_Hlk101963991"/>
      <w:r>
        <w:rPr>
          <w:rFonts w:hint="eastAsia" w:eastAsia="仿宋"/>
          <w:sz w:val="32"/>
          <w:szCs w:val="32"/>
        </w:rPr>
        <w:t>《湖南省地方储备粮管理办法》</w:t>
      </w:r>
      <w:bookmarkEnd w:id="10"/>
      <w:r>
        <w:rPr>
          <w:rFonts w:hint="eastAsia" w:eastAsia="仿宋"/>
          <w:sz w:val="32"/>
          <w:szCs w:val="32"/>
        </w:rPr>
        <w:t>（2010年2月11日湖南省人民政府令第248号）；</w:t>
      </w:r>
    </w:p>
    <w:p>
      <w:pPr>
        <w:snapToGrid w:val="0"/>
        <w:spacing w:line="360" w:lineRule="auto"/>
        <w:ind w:firstLine="640" w:firstLineChars="200"/>
        <w:jc w:val="left"/>
        <w:rPr>
          <w:rFonts w:eastAsia="仿宋"/>
          <w:sz w:val="32"/>
          <w:szCs w:val="32"/>
        </w:rPr>
      </w:pPr>
      <w:r>
        <w:rPr>
          <w:rFonts w:hint="eastAsia" w:ascii="仿宋" w:hAnsi="仿宋" w:eastAsia="仿宋"/>
          <w:sz w:val="32"/>
          <w:szCs w:val="32"/>
        </w:rPr>
        <w:t>（2）</w:t>
      </w:r>
      <w:r>
        <w:rPr>
          <w:rFonts w:hint="eastAsia" w:eastAsia="仿宋"/>
          <w:sz w:val="32"/>
          <w:szCs w:val="32"/>
        </w:rPr>
        <w:t>《津市市人民代表大会常务委员会关于继续实施市级储备粮制度的决定》（津人常[</w:t>
      </w:r>
      <w:r>
        <w:rPr>
          <w:rFonts w:eastAsia="仿宋"/>
          <w:sz w:val="32"/>
          <w:szCs w:val="32"/>
        </w:rPr>
        <w:t>2016]29</w:t>
      </w:r>
      <w:r>
        <w:rPr>
          <w:rFonts w:hint="eastAsia" w:eastAsia="仿宋"/>
          <w:sz w:val="32"/>
          <w:szCs w:val="32"/>
        </w:rPr>
        <w:t>号）；</w:t>
      </w:r>
    </w:p>
    <w:p>
      <w:pPr>
        <w:snapToGrid w:val="0"/>
        <w:spacing w:line="360" w:lineRule="auto"/>
        <w:ind w:firstLine="640" w:firstLineChars="200"/>
        <w:jc w:val="left"/>
        <w:rPr>
          <w:rFonts w:ascii="仿宋" w:hAnsi="仿宋" w:eastAsia="仿宋"/>
          <w:sz w:val="32"/>
          <w:szCs w:val="32"/>
        </w:rPr>
      </w:pPr>
      <w:r>
        <w:rPr>
          <w:rFonts w:hint="eastAsia" w:eastAsia="仿宋"/>
          <w:sz w:val="32"/>
          <w:szCs w:val="32"/>
        </w:rPr>
        <w:t>（3）</w:t>
      </w:r>
      <w:r>
        <w:rPr>
          <w:rFonts w:hint="eastAsia" w:ascii="仿宋" w:hAnsi="仿宋" w:eastAsia="仿宋" w:cs="楷体"/>
          <w:sz w:val="32"/>
          <w:szCs w:val="32"/>
        </w:rPr>
        <w:t>《津市市人民政府关于印发&lt;津市市</w:t>
      </w:r>
      <w:bookmarkStart w:id="11" w:name="_Hlk101963428"/>
      <w:r>
        <w:rPr>
          <w:rFonts w:hint="eastAsia" w:ascii="仿宋" w:hAnsi="仿宋" w:eastAsia="仿宋" w:cs="楷体"/>
          <w:sz w:val="32"/>
          <w:szCs w:val="32"/>
        </w:rPr>
        <w:t>地方储备粮管理办法</w:t>
      </w:r>
      <w:bookmarkEnd w:id="11"/>
      <w:r>
        <w:rPr>
          <w:rFonts w:hint="eastAsia" w:ascii="仿宋" w:hAnsi="仿宋" w:eastAsia="仿宋" w:cs="楷体"/>
          <w:sz w:val="32"/>
          <w:szCs w:val="32"/>
        </w:rPr>
        <w:t>&gt;的通知》</w:t>
      </w:r>
      <w:r>
        <w:rPr>
          <w:rFonts w:hint="eastAsia" w:eastAsia="仿宋"/>
          <w:sz w:val="32"/>
          <w:szCs w:val="32"/>
        </w:rPr>
        <w:t>（津政发[2016]31号）</w:t>
      </w:r>
      <w:r>
        <w:rPr>
          <w:rFonts w:hint="eastAsia" w:ascii="仿宋" w:hAnsi="仿宋" w:eastAsia="仿宋" w:cs="楷体"/>
          <w:sz w:val="32"/>
          <w:szCs w:val="32"/>
        </w:rPr>
        <w:t>。</w:t>
      </w:r>
    </w:p>
    <w:p>
      <w:pPr>
        <w:snapToGrid w:val="0"/>
        <w:spacing w:line="360" w:lineRule="auto"/>
        <w:ind w:firstLine="784" w:firstLineChars="245"/>
        <w:jc w:val="left"/>
        <w:rPr>
          <w:rFonts w:eastAsia="仿宋"/>
          <w:sz w:val="32"/>
          <w:szCs w:val="32"/>
        </w:rPr>
      </w:pPr>
      <w:r>
        <w:rPr>
          <w:rFonts w:hint="eastAsia" w:eastAsia="仿宋"/>
          <w:sz w:val="32"/>
          <w:szCs w:val="32"/>
        </w:rPr>
        <w:t>2、项目绩效目标情况</w:t>
      </w:r>
    </w:p>
    <w:p>
      <w:pPr>
        <w:snapToGrid w:val="0"/>
        <w:spacing w:line="360" w:lineRule="auto"/>
        <w:ind w:firstLine="640" w:firstLineChars="200"/>
        <w:jc w:val="left"/>
        <w:rPr>
          <w:rFonts w:ascii="仿宋" w:hAnsi="仿宋" w:eastAsia="仿宋"/>
          <w:sz w:val="32"/>
          <w:szCs w:val="32"/>
        </w:rPr>
      </w:pPr>
      <w:r>
        <w:rPr>
          <w:rFonts w:hint="eastAsia" w:ascii="仿宋" w:hAnsi="仿宋" w:eastAsia="仿宋"/>
          <w:sz w:val="32"/>
          <w:szCs w:val="32"/>
        </w:rPr>
        <w:t>截至本次评价进点时止</w:t>
      </w:r>
      <w:r>
        <w:rPr>
          <w:rFonts w:hint="eastAsia" w:eastAsia="仿宋"/>
          <w:sz w:val="32"/>
          <w:szCs w:val="32"/>
        </w:rPr>
        <w:t>，市军粮公司未进行规范完整的绩效目标申报，</w:t>
      </w:r>
      <w:r>
        <w:rPr>
          <w:rFonts w:hint="eastAsia" w:ascii="仿宋" w:hAnsi="仿宋" w:eastAsia="仿宋"/>
          <w:sz w:val="32"/>
          <w:szCs w:val="32"/>
        </w:rPr>
        <w:t>为做好此次评价工作，评价小组根据收集的本项目资料，梳理</w:t>
      </w:r>
      <w:bookmarkStart w:id="12" w:name="_Hlk80688915"/>
      <w:r>
        <w:rPr>
          <w:rFonts w:hint="eastAsia" w:ascii="仿宋" w:hAnsi="仿宋" w:eastAsia="仿宋"/>
          <w:sz w:val="32"/>
          <w:szCs w:val="32"/>
        </w:rPr>
        <w:t>、归纳了前述项目绩效目标。</w:t>
      </w:r>
      <w:bookmarkEnd w:id="12"/>
    </w:p>
    <w:p>
      <w:pPr>
        <w:snapToGrid w:val="0"/>
        <w:spacing w:line="360" w:lineRule="auto"/>
        <w:ind w:firstLine="784" w:firstLineChars="245"/>
        <w:jc w:val="left"/>
        <w:rPr>
          <w:rFonts w:eastAsia="仿宋"/>
          <w:sz w:val="32"/>
          <w:szCs w:val="32"/>
        </w:rPr>
      </w:pPr>
      <w:r>
        <w:rPr>
          <w:rFonts w:hint="eastAsia" w:eastAsia="仿宋"/>
          <w:sz w:val="32"/>
          <w:szCs w:val="32"/>
        </w:rPr>
        <w:t>3、资金投入情况</w:t>
      </w:r>
    </w:p>
    <w:p>
      <w:pPr>
        <w:snapToGrid w:val="0"/>
        <w:spacing w:line="360" w:lineRule="auto"/>
        <w:ind w:firstLine="784" w:firstLineChars="245"/>
        <w:jc w:val="left"/>
        <w:rPr>
          <w:rFonts w:eastAsia="仿宋"/>
          <w:sz w:val="32"/>
          <w:szCs w:val="32"/>
        </w:rPr>
      </w:pPr>
      <w:r>
        <w:rPr>
          <w:rFonts w:hint="eastAsia" w:eastAsia="仿宋"/>
          <w:sz w:val="32"/>
          <w:szCs w:val="32"/>
        </w:rPr>
        <w:t>本项目产生的贷款利息、保管维护费用、轮换亏损及因灾害损失费用由市财政核实，纳入地方财政预算，并通过津市农业发展银行粮食风险基金专户，直接拨付到市军粮公司。2</w:t>
      </w:r>
      <w:r>
        <w:rPr>
          <w:rFonts w:eastAsia="仿宋"/>
          <w:sz w:val="32"/>
          <w:szCs w:val="32"/>
        </w:rPr>
        <w:t>021</w:t>
      </w:r>
      <w:r>
        <w:rPr>
          <w:rFonts w:hint="eastAsia" w:eastAsia="仿宋"/>
          <w:sz w:val="32"/>
          <w:szCs w:val="32"/>
        </w:rPr>
        <w:t>年度，市财政安排补贴资金</w:t>
      </w:r>
      <w:bookmarkStart w:id="13" w:name="_Hlk102026484"/>
      <w:r>
        <w:rPr>
          <w:rFonts w:hint="eastAsia" w:eastAsia="仿宋"/>
          <w:sz w:val="32"/>
          <w:szCs w:val="32"/>
        </w:rPr>
        <w:t>2</w:t>
      </w:r>
      <w:r>
        <w:rPr>
          <w:rFonts w:eastAsia="仿宋"/>
          <w:sz w:val="32"/>
          <w:szCs w:val="32"/>
        </w:rPr>
        <w:t>14.82</w:t>
      </w:r>
      <w:r>
        <w:rPr>
          <w:rFonts w:hint="eastAsia" w:eastAsia="仿宋"/>
          <w:sz w:val="32"/>
          <w:szCs w:val="32"/>
        </w:rPr>
        <w:t>万元</w:t>
      </w:r>
      <w:bookmarkEnd w:id="13"/>
      <w:r>
        <w:rPr>
          <w:rFonts w:hint="eastAsia" w:eastAsia="仿宋"/>
          <w:sz w:val="32"/>
          <w:szCs w:val="32"/>
        </w:rPr>
        <w:t>，并全部拨付至市军粮公司。</w:t>
      </w:r>
    </w:p>
    <w:p>
      <w:pPr>
        <w:snapToGrid w:val="0"/>
        <w:spacing w:line="360" w:lineRule="auto"/>
        <w:ind w:firstLine="640" w:firstLineChars="200"/>
        <w:jc w:val="left"/>
        <w:rPr>
          <w:rFonts w:ascii="楷体" w:hAnsi="楷体" w:eastAsia="楷体" w:cs="黑体"/>
          <w:sz w:val="32"/>
          <w:szCs w:val="32"/>
        </w:rPr>
      </w:pPr>
      <w:r>
        <w:rPr>
          <w:rFonts w:hint="eastAsia" w:ascii="楷体" w:hAnsi="楷体" w:eastAsia="楷体" w:cs="黑体"/>
          <w:sz w:val="32"/>
          <w:szCs w:val="32"/>
        </w:rPr>
        <w:t>（二）项目执行过程情况</w:t>
      </w:r>
    </w:p>
    <w:p>
      <w:pPr>
        <w:pStyle w:val="2"/>
        <w:snapToGrid w:val="0"/>
        <w:spacing w:after="0" w:line="360" w:lineRule="auto"/>
        <w:ind w:firstLine="640" w:firstLineChars="200"/>
        <w:rPr>
          <w:rFonts w:ascii="仿宋" w:hAnsi="仿宋" w:eastAsia="仿宋"/>
          <w:sz w:val="32"/>
          <w:szCs w:val="32"/>
          <w:lang w:eastAsia="zh-CN"/>
        </w:rPr>
      </w:pPr>
      <w:r>
        <w:rPr>
          <w:rFonts w:hint="eastAsia" w:ascii="仿宋" w:hAnsi="仿宋" w:eastAsia="仿宋"/>
          <w:sz w:val="32"/>
          <w:szCs w:val="32"/>
          <w:lang w:eastAsia="zh-CN"/>
        </w:rPr>
        <w:t>1、项目资金使用情况</w:t>
      </w:r>
    </w:p>
    <w:p>
      <w:pPr>
        <w:snapToGrid w:val="0"/>
        <w:spacing w:line="360" w:lineRule="auto"/>
        <w:ind w:firstLine="640" w:firstLineChars="200"/>
        <w:jc w:val="left"/>
        <w:rPr>
          <w:rFonts w:ascii="仿宋" w:hAnsi="仿宋" w:eastAsia="仿宋" w:cs="黑体"/>
          <w:sz w:val="32"/>
          <w:szCs w:val="32"/>
        </w:rPr>
      </w:pPr>
      <w:r>
        <w:rPr>
          <w:rFonts w:hint="eastAsia" w:ascii="仿宋" w:hAnsi="仿宋" w:eastAsia="仿宋" w:cs="黑体"/>
          <w:sz w:val="32"/>
          <w:szCs w:val="32"/>
        </w:rPr>
        <w:t>（1）项目资金到位率</w:t>
      </w:r>
    </w:p>
    <w:p>
      <w:pPr>
        <w:snapToGrid w:val="0"/>
        <w:spacing w:line="360" w:lineRule="auto"/>
        <w:ind w:firstLine="640" w:firstLineChars="200"/>
        <w:jc w:val="left"/>
        <w:rPr>
          <w:rFonts w:ascii="仿宋" w:hAnsi="仿宋" w:eastAsia="仿宋" w:cs="黑体"/>
          <w:sz w:val="32"/>
          <w:szCs w:val="32"/>
        </w:rPr>
      </w:pPr>
      <w:r>
        <w:rPr>
          <w:rFonts w:eastAsia="仿宋"/>
          <w:sz w:val="32"/>
          <w:szCs w:val="32"/>
        </w:rPr>
        <w:t>202</w:t>
      </w:r>
      <w:r>
        <w:rPr>
          <w:rFonts w:hint="eastAsia" w:eastAsia="仿宋"/>
          <w:sz w:val="32"/>
          <w:szCs w:val="32"/>
        </w:rPr>
        <w:t>1</w:t>
      </w:r>
      <w:r>
        <w:rPr>
          <w:rFonts w:eastAsia="仿宋"/>
          <w:sz w:val="32"/>
          <w:szCs w:val="32"/>
        </w:rPr>
        <w:t>年，市财政应下达</w:t>
      </w:r>
      <w:r>
        <w:rPr>
          <w:rFonts w:hint="eastAsia" w:eastAsia="仿宋"/>
          <w:sz w:val="32"/>
          <w:szCs w:val="32"/>
        </w:rPr>
        <w:t>补贴</w:t>
      </w:r>
      <w:r>
        <w:rPr>
          <w:rFonts w:eastAsia="仿宋"/>
          <w:sz w:val="32"/>
          <w:szCs w:val="32"/>
        </w:rPr>
        <w:t>预算指标</w:t>
      </w:r>
      <w:r>
        <w:rPr>
          <w:rFonts w:hint="eastAsia" w:eastAsia="仿宋"/>
          <w:sz w:val="32"/>
          <w:szCs w:val="32"/>
        </w:rPr>
        <w:t>214.82</w:t>
      </w:r>
      <w:r>
        <w:rPr>
          <w:rFonts w:eastAsia="仿宋"/>
          <w:sz w:val="32"/>
          <w:szCs w:val="32"/>
        </w:rPr>
        <w:t>万元，实际下达</w:t>
      </w:r>
      <w:r>
        <w:rPr>
          <w:rFonts w:hint="eastAsia" w:eastAsia="仿宋"/>
          <w:sz w:val="32"/>
          <w:szCs w:val="32"/>
        </w:rPr>
        <w:t>拨付到位214.82</w:t>
      </w:r>
      <w:r>
        <w:rPr>
          <w:rFonts w:eastAsia="仿宋"/>
          <w:sz w:val="32"/>
          <w:szCs w:val="32"/>
        </w:rPr>
        <w:t>万元，当年预算到位率100%</w:t>
      </w:r>
      <w:r>
        <w:rPr>
          <w:rFonts w:hint="eastAsia" w:eastAsia="仿宋"/>
          <w:sz w:val="32"/>
          <w:szCs w:val="32"/>
        </w:rPr>
        <w:t>。</w:t>
      </w:r>
    </w:p>
    <w:p>
      <w:pPr>
        <w:snapToGrid w:val="0"/>
        <w:spacing w:line="360" w:lineRule="auto"/>
        <w:ind w:firstLine="640" w:firstLineChars="200"/>
        <w:jc w:val="left"/>
        <w:rPr>
          <w:rFonts w:eastAsia="仿宋"/>
          <w:sz w:val="32"/>
          <w:szCs w:val="32"/>
        </w:rPr>
      </w:pPr>
      <w:r>
        <w:rPr>
          <w:rFonts w:hint="eastAsia" w:eastAsia="仿宋"/>
          <w:bCs/>
          <w:sz w:val="32"/>
          <w:szCs w:val="32"/>
        </w:rPr>
        <w:t>（2）</w:t>
      </w:r>
      <w:r>
        <w:rPr>
          <w:rFonts w:hint="eastAsia" w:eastAsia="仿宋"/>
          <w:sz w:val="32"/>
          <w:szCs w:val="32"/>
        </w:rPr>
        <w:t>预算执行率</w:t>
      </w:r>
    </w:p>
    <w:p>
      <w:pPr>
        <w:snapToGrid w:val="0"/>
        <w:spacing w:line="360" w:lineRule="auto"/>
        <w:ind w:firstLine="640" w:firstLineChars="200"/>
        <w:jc w:val="left"/>
        <w:rPr>
          <w:rFonts w:eastAsia="仿宋"/>
          <w:sz w:val="32"/>
          <w:szCs w:val="32"/>
        </w:rPr>
      </w:pPr>
      <w:r>
        <w:rPr>
          <w:rFonts w:eastAsia="仿宋"/>
          <w:sz w:val="32"/>
          <w:szCs w:val="32"/>
        </w:rPr>
        <w:t>202</w:t>
      </w:r>
      <w:r>
        <w:rPr>
          <w:rFonts w:hint="eastAsia" w:eastAsia="仿宋"/>
          <w:sz w:val="32"/>
          <w:szCs w:val="32"/>
        </w:rPr>
        <w:t>1</w:t>
      </w:r>
      <w:r>
        <w:rPr>
          <w:rFonts w:eastAsia="仿宋"/>
          <w:sz w:val="32"/>
          <w:szCs w:val="32"/>
        </w:rPr>
        <w:t>年，</w:t>
      </w:r>
      <w:r>
        <w:rPr>
          <w:rFonts w:hint="eastAsia" w:eastAsia="仿宋"/>
          <w:sz w:val="32"/>
          <w:szCs w:val="32"/>
        </w:rPr>
        <w:t>市军粮公司实际支付贷款利息5</w:t>
      </w:r>
      <w:r>
        <w:rPr>
          <w:rFonts w:eastAsia="仿宋"/>
          <w:sz w:val="32"/>
          <w:szCs w:val="32"/>
        </w:rPr>
        <w:t>8.88</w:t>
      </w:r>
      <w:r>
        <w:rPr>
          <w:rFonts w:hint="eastAsia" w:eastAsia="仿宋"/>
          <w:sz w:val="32"/>
          <w:szCs w:val="32"/>
        </w:rPr>
        <w:t>万元，包干使用储备粮保管费补贴5</w:t>
      </w:r>
      <w:r>
        <w:rPr>
          <w:rFonts w:eastAsia="仿宋"/>
          <w:sz w:val="32"/>
          <w:szCs w:val="32"/>
        </w:rPr>
        <w:t>7.45</w:t>
      </w:r>
      <w:r>
        <w:rPr>
          <w:rFonts w:hint="eastAsia" w:eastAsia="仿宋"/>
          <w:sz w:val="32"/>
          <w:szCs w:val="32"/>
        </w:rPr>
        <w:t>万元，使用轮换差价损失定额补助资金9</w:t>
      </w:r>
      <w:r>
        <w:rPr>
          <w:rFonts w:eastAsia="仿宋"/>
          <w:sz w:val="32"/>
          <w:szCs w:val="32"/>
        </w:rPr>
        <w:t>7</w:t>
      </w:r>
      <w:r>
        <w:rPr>
          <w:rFonts w:hint="eastAsia" w:eastAsia="仿宋"/>
          <w:sz w:val="32"/>
          <w:szCs w:val="32"/>
        </w:rPr>
        <w:t>万元，合计使用财政补贴资金 213.33万元，</w:t>
      </w:r>
      <w:r>
        <w:rPr>
          <w:rFonts w:eastAsia="仿宋"/>
          <w:sz w:val="32"/>
          <w:szCs w:val="32"/>
        </w:rPr>
        <w:t>预算</w:t>
      </w:r>
      <w:r>
        <w:rPr>
          <w:rFonts w:hint="eastAsia" w:eastAsia="仿宋"/>
          <w:sz w:val="32"/>
          <w:szCs w:val="32"/>
        </w:rPr>
        <w:t>执行率为99.31%。</w:t>
      </w:r>
    </w:p>
    <w:p>
      <w:pPr>
        <w:snapToGrid w:val="0"/>
        <w:spacing w:line="360" w:lineRule="auto"/>
        <w:ind w:firstLine="640" w:firstLineChars="200"/>
        <w:jc w:val="left"/>
        <w:rPr>
          <w:rFonts w:eastAsia="仿宋"/>
          <w:sz w:val="32"/>
          <w:szCs w:val="32"/>
        </w:rPr>
      </w:pPr>
      <w:r>
        <w:rPr>
          <w:rFonts w:hint="eastAsia" w:eastAsia="仿宋"/>
          <w:sz w:val="32"/>
          <w:szCs w:val="32"/>
        </w:rPr>
        <w:t>（3）项目资金使用合规性</w:t>
      </w:r>
    </w:p>
    <w:p>
      <w:pPr>
        <w:snapToGrid w:val="0"/>
        <w:spacing w:line="360" w:lineRule="auto"/>
        <w:ind w:firstLine="640" w:firstLineChars="200"/>
        <w:jc w:val="left"/>
        <w:rPr>
          <w:rFonts w:ascii="仿宋" w:hAnsi="仿宋" w:eastAsia="仿宋" w:cs="黑体"/>
          <w:sz w:val="32"/>
          <w:szCs w:val="32"/>
        </w:rPr>
      </w:pPr>
      <w:r>
        <w:rPr>
          <w:rFonts w:hint="eastAsia" w:eastAsia="仿宋"/>
          <w:sz w:val="32"/>
          <w:szCs w:val="32"/>
        </w:rPr>
        <w:t>经审查补贴专项资金</w:t>
      </w:r>
      <w:r>
        <w:rPr>
          <w:rFonts w:eastAsia="仿宋"/>
          <w:sz w:val="32"/>
          <w:szCs w:val="32"/>
        </w:rPr>
        <w:t>使用凭证</w:t>
      </w:r>
      <w:r>
        <w:rPr>
          <w:rFonts w:hint="eastAsia" w:eastAsia="仿宋"/>
          <w:sz w:val="32"/>
          <w:szCs w:val="32"/>
        </w:rPr>
        <w:t>及相关资料，</w:t>
      </w:r>
      <w:r>
        <w:rPr>
          <w:rFonts w:eastAsia="仿宋"/>
          <w:sz w:val="32"/>
          <w:szCs w:val="32"/>
        </w:rPr>
        <w:t>我们认为</w:t>
      </w:r>
      <w:r>
        <w:rPr>
          <w:rFonts w:hint="eastAsia" w:eastAsia="仿宋"/>
          <w:sz w:val="32"/>
          <w:szCs w:val="32"/>
        </w:rPr>
        <w:t>市军粮公司</w:t>
      </w:r>
      <w:r>
        <w:rPr>
          <w:rFonts w:eastAsia="仿宋"/>
          <w:sz w:val="32"/>
          <w:szCs w:val="32"/>
        </w:rPr>
        <w:t>对本项目的</w:t>
      </w:r>
      <w:r>
        <w:rPr>
          <w:rFonts w:hint="eastAsia" w:eastAsia="仿宋"/>
          <w:sz w:val="32"/>
          <w:szCs w:val="32"/>
        </w:rPr>
        <w:t>资金</w:t>
      </w:r>
      <w:r>
        <w:rPr>
          <w:rFonts w:eastAsia="仿宋"/>
          <w:sz w:val="32"/>
          <w:szCs w:val="32"/>
        </w:rPr>
        <w:t>使用，基本遵循了</w:t>
      </w:r>
      <w:r>
        <w:rPr>
          <w:rFonts w:hint="eastAsia" w:eastAsia="仿宋"/>
          <w:sz w:val="32"/>
          <w:szCs w:val="32"/>
        </w:rPr>
        <w:t>《津市市地方储备粮管理办法》要求，以</w:t>
      </w:r>
      <w:r>
        <w:rPr>
          <w:rFonts w:eastAsia="仿宋"/>
          <w:sz w:val="32"/>
          <w:szCs w:val="32"/>
        </w:rPr>
        <w:t>及本单位</w:t>
      </w:r>
      <w:r>
        <w:rPr>
          <w:rFonts w:hint="eastAsia" w:eastAsia="仿宋"/>
          <w:sz w:val="32"/>
          <w:szCs w:val="32"/>
        </w:rPr>
        <w:t>《财务</w:t>
      </w:r>
      <w:r>
        <w:rPr>
          <w:rFonts w:eastAsia="仿宋"/>
          <w:sz w:val="32"/>
          <w:szCs w:val="32"/>
        </w:rPr>
        <w:t>管理制度</w:t>
      </w:r>
      <w:r>
        <w:rPr>
          <w:rFonts w:hint="eastAsia" w:eastAsia="仿宋"/>
          <w:sz w:val="32"/>
          <w:szCs w:val="32"/>
        </w:rPr>
        <w:t>》</w:t>
      </w:r>
      <w:r>
        <w:rPr>
          <w:rFonts w:eastAsia="仿宋"/>
          <w:sz w:val="32"/>
          <w:szCs w:val="32"/>
        </w:rPr>
        <w:t>的规定，</w:t>
      </w:r>
      <w:r>
        <w:rPr>
          <w:rFonts w:hint="eastAsia" w:eastAsia="仿宋"/>
          <w:sz w:val="32"/>
          <w:szCs w:val="32"/>
        </w:rPr>
        <w:t>基本做到了</w:t>
      </w:r>
      <w:r>
        <w:rPr>
          <w:rFonts w:eastAsia="仿宋"/>
          <w:sz w:val="32"/>
          <w:szCs w:val="32"/>
        </w:rPr>
        <w:t>资料齐全、手续完备</w:t>
      </w:r>
      <w:r>
        <w:rPr>
          <w:rFonts w:hint="eastAsia" w:eastAsia="仿宋"/>
          <w:sz w:val="32"/>
          <w:szCs w:val="32"/>
        </w:rPr>
        <w:t>。</w:t>
      </w:r>
    </w:p>
    <w:p>
      <w:pPr>
        <w:snapToGrid w:val="0"/>
        <w:spacing w:line="360" w:lineRule="auto"/>
        <w:ind w:firstLine="784" w:firstLineChars="245"/>
        <w:jc w:val="left"/>
        <w:rPr>
          <w:rFonts w:eastAsia="仿宋"/>
          <w:sz w:val="32"/>
          <w:szCs w:val="32"/>
        </w:rPr>
      </w:pPr>
      <w:r>
        <w:rPr>
          <w:rFonts w:hint="eastAsia" w:eastAsia="仿宋"/>
          <w:sz w:val="32"/>
          <w:szCs w:val="32"/>
        </w:rPr>
        <w:t>2、项目组织实施情况</w:t>
      </w:r>
    </w:p>
    <w:p>
      <w:pPr>
        <w:snapToGrid w:val="0"/>
        <w:spacing w:line="360" w:lineRule="auto"/>
        <w:ind w:firstLine="784" w:firstLineChars="245"/>
        <w:jc w:val="left"/>
        <w:rPr>
          <w:rFonts w:eastAsia="仿宋"/>
          <w:sz w:val="32"/>
          <w:szCs w:val="32"/>
        </w:rPr>
      </w:pPr>
      <w:r>
        <w:rPr>
          <w:rFonts w:hint="eastAsia" w:eastAsia="仿宋"/>
          <w:sz w:val="32"/>
          <w:szCs w:val="32"/>
        </w:rPr>
        <w:t>（1）项目管理制度建设</w:t>
      </w:r>
    </w:p>
    <w:p>
      <w:pPr>
        <w:snapToGrid w:val="0"/>
        <w:spacing w:line="360" w:lineRule="auto"/>
        <w:ind w:firstLine="640" w:firstLineChars="200"/>
        <w:jc w:val="left"/>
        <w:rPr>
          <w:rFonts w:eastAsia="仿宋"/>
          <w:sz w:val="32"/>
          <w:szCs w:val="32"/>
        </w:rPr>
      </w:pPr>
      <w:r>
        <w:rPr>
          <w:rFonts w:hint="eastAsia" w:ascii="仿宋" w:hAnsi="仿宋" w:eastAsia="仿宋" w:cs="楷体"/>
          <w:sz w:val="32"/>
          <w:szCs w:val="32"/>
        </w:rPr>
        <w:t>市军粮公司</w:t>
      </w:r>
      <w:r>
        <w:rPr>
          <w:rFonts w:hint="eastAsia" w:eastAsia="仿宋"/>
          <w:sz w:val="32"/>
          <w:szCs w:val="32"/>
        </w:rPr>
        <w:t>以《湖南省地方储备粮管理办法》、《湖南省粮食和物资储备局关于进一步加强地方储备粮管理的通知》（湘粮调[</w:t>
      </w:r>
      <w:r>
        <w:rPr>
          <w:rFonts w:eastAsia="仿宋"/>
          <w:sz w:val="32"/>
          <w:szCs w:val="32"/>
        </w:rPr>
        <w:t>2020]53</w:t>
      </w:r>
      <w:r>
        <w:rPr>
          <w:rFonts w:hint="eastAsia" w:eastAsia="仿宋"/>
          <w:sz w:val="32"/>
          <w:szCs w:val="32"/>
        </w:rPr>
        <w:t>号）、</w:t>
      </w:r>
      <w:r>
        <w:rPr>
          <w:rFonts w:hint="eastAsia" w:ascii="仿宋" w:hAnsi="仿宋" w:eastAsia="仿宋" w:cs="楷体"/>
          <w:sz w:val="32"/>
          <w:szCs w:val="32"/>
        </w:rPr>
        <w:t>《</w:t>
      </w:r>
      <w:bookmarkStart w:id="14" w:name="_Hlk101969042"/>
      <w:r>
        <w:rPr>
          <w:rFonts w:hint="eastAsia" w:ascii="仿宋" w:hAnsi="仿宋" w:eastAsia="仿宋" w:cs="楷体"/>
          <w:sz w:val="32"/>
          <w:szCs w:val="32"/>
        </w:rPr>
        <w:t>津市市地方储备粮管理办法</w:t>
      </w:r>
      <w:bookmarkEnd w:id="14"/>
      <w:r>
        <w:rPr>
          <w:rFonts w:hint="eastAsia" w:ascii="仿宋" w:hAnsi="仿宋" w:eastAsia="仿宋" w:cs="楷体"/>
          <w:sz w:val="32"/>
          <w:szCs w:val="32"/>
        </w:rPr>
        <w:t>》等文件为依据，制定了《粮食出入库管理制度》、《粮食质量安全管理制度》、《粮食质量安全追溯制度》、《粮食熏蒸安全操作规程》等管理制度，项目</w:t>
      </w:r>
      <w:r>
        <w:rPr>
          <w:rFonts w:hint="eastAsia" w:eastAsia="仿宋"/>
          <w:sz w:val="32"/>
          <w:szCs w:val="32"/>
        </w:rPr>
        <w:t>管理制度较为健全。</w:t>
      </w:r>
    </w:p>
    <w:p>
      <w:pPr>
        <w:snapToGrid w:val="0"/>
        <w:spacing w:line="360" w:lineRule="auto"/>
        <w:ind w:firstLine="640" w:firstLineChars="200"/>
        <w:jc w:val="left"/>
        <w:rPr>
          <w:rFonts w:eastAsia="仿宋"/>
          <w:sz w:val="32"/>
          <w:szCs w:val="32"/>
        </w:rPr>
      </w:pPr>
      <w:r>
        <w:rPr>
          <w:rFonts w:hint="eastAsia" w:eastAsia="仿宋"/>
          <w:sz w:val="32"/>
          <w:szCs w:val="32"/>
        </w:rPr>
        <w:t>（2）项目组织管理</w:t>
      </w:r>
    </w:p>
    <w:p>
      <w:pPr>
        <w:snapToGrid w:val="0"/>
        <w:spacing w:line="360" w:lineRule="auto"/>
        <w:ind w:firstLine="640" w:firstLineChars="200"/>
        <w:jc w:val="left"/>
        <w:rPr>
          <w:rFonts w:eastAsia="仿宋"/>
          <w:sz w:val="32"/>
          <w:szCs w:val="32"/>
        </w:rPr>
      </w:pPr>
      <w:r>
        <w:rPr>
          <w:rFonts w:hint="eastAsia" w:eastAsia="仿宋"/>
          <w:sz w:val="32"/>
          <w:szCs w:val="32"/>
        </w:rPr>
        <w:t>①收购工作组织积极主动。为执行好国家收购政策和地方储备粮轮换任务，</w:t>
      </w:r>
      <w:bookmarkStart w:id="15" w:name="_Hlk101965736"/>
      <w:r>
        <w:rPr>
          <w:rFonts w:hint="eastAsia" w:eastAsia="仿宋"/>
          <w:sz w:val="32"/>
          <w:szCs w:val="32"/>
        </w:rPr>
        <w:t>市军粮公司</w:t>
      </w:r>
      <w:bookmarkEnd w:id="15"/>
      <w:r>
        <w:rPr>
          <w:rFonts w:hint="eastAsia" w:eastAsia="仿宋"/>
          <w:sz w:val="32"/>
          <w:szCs w:val="32"/>
        </w:rPr>
        <w:t>根据中晚稻销售的市场价格行情，调整制定了“先购后销”轮换工作方案（注：2</w:t>
      </w:r>
      <w:r>
        <w:rPr>
          <w:rFonts w:eastAsia="仿宋"/>
          <w:sz w:val="32"/>
          <w:szCs w:val="32"/>
        </w:rPr>
        <w:t>018</w:t>
      </w:r>
      <w:r>
        <w:rPr>
          <w:rFonts w:hint="eastAsia" w:eastAsia="仿宋"/>
          <w:sz w:val="32"/>
          <w:szCs w:val="32"/>
        </w:rPr>
        <w:t>年收购的中晚稻2</w:t>
      </w:r>
      <w:r>
        <w:rPr>
          <w:rFonts w:eastAsia="仿宋"/>
          <w:sz w:val="32"/>
          <w:szCs w:val="32"/>
        </w:rPr>
        <w:t>200</w:t>
      </w:r>
      <w:r>
        <w:rPr>
          <w:rFonts w:hint="eastAsia" w:eastAsia="仿宋"/>
          <w:sz w:val="32"/>
          <w:szCs w:val="32"/>
        </w:rPr>
        <w:t>吨应在2</w:t>
      </w:r>
      <w:r>
        <w:rPr>
          <w:rFonts w:eastAsia="仿宋"/>
          <w:sz w:val="32"/>
          <w:szCs w:val="32"/>
        </w:rPr>
        <w:t>021</w:t>
      </w:r>
      <w:r>
        <w:rPr>
          <w:rFonts w:hint="eastAsia" w:eastAsia="仿宋"/>
          <w:sz w:val="32"/>
          <w:szCs w:val="32"/>
        </w:rPr>
        <w:t>年底前轮换，按《津市市地方储备粮管理办法》规定，轮换方式应为“先销后购”），根据收购进度情况进行市场调研和分析，及时调整收购方案，积极主动对接种粮大户，较好的把握了收购时间节点，确保了本市地方储备粮本年度收购2</w:t>
      </w:r>
      <w:r>
        <w:rPr>
          <w:rFonts w:eastAsia="仿宋"/>
          <w:sz w:val="32"/>
          <w:szCs w:val="32"/>
        </w:rPr>
        <w:t>200</w:t>
      </w:r>
      <w:r>
        <w:rPr>
          <w:rFonts w:hint="eastAsia" w:eastAsia="仿宋"/>
          <w:sz w:val="32"/>
          <w:szCs w:val="32"/>
        </w:rPr>
        <w:t>吨规模任务的顺利完成。</w:t>
      </w:r>
    </w:p>
    <w:p>
      <w:pPr>
        <w:snapToGrid w:val="0"/>
        <w:spacing w:line="360" w:lineRule="auto"/>
        <w:ind w:firstLine="640" w:firstLineChars="200"/>
        <w:jc w:val="left"/>
        <w:rPr>
          <w:rFonts w:eastAsia="仿宋"/>
          <w:sz w:val="32"/>
          <w:szCs w:val="32"/>
        </w:rPr>
      </w:pPr>
      <w:r>
        <w:rPr>
          <w:rFonts w:hint="eastAsia" w:eastAsia="仿宋"/>
          <w:sz w:val="32"/>
          <w:szCs w:val="32"/>
        </w:rPr>
        <w:t>②仓储保管工作较为规范。经现场查看，市军粮公司能按照《粮油储藏技术规范》的要求，采用了现代化、科学化的保管办法，规范实施仓储管理，通过落实每周一进仓检查、定时杀虫测温等制度，确保了储备粮品质，增强了粮食质量竞争优势。</w:t>
      </w:r>
    </w:p>
    <w:p>
      <w:pPr>
        <w:snapToGrid w:val="0"/>
        <w:spacing w:line="360" w:lineRule="auto"/>
        <w:ind w:firstLine="640" w:firstLineChars="200"/>
        <w:jc w:val="left"/>
        <w:rPr>
          <w:rFonts w:eastAsia="仿宋"/>
          <w:sz w:val="32"/>
          <w:szCs w:val="32"/>
        </w:rPr>
      </w:pPr>
      <w:r>
        <w:rPr>
          <w:rFonts w:hint="eastAsia" w:eastAsia="仿宋"/>
          <w:sz w:val="32"/>
          <w:szCs w:val="32"/>
        </w:rPr>
        <w:t>③粮食轮换销售程序合规。对于2</w:t>
      </w:r>
      <w:r>
        <w:rPr>
          <w:rFonts w:eastAsia="仿宋"/>
          <w:sz w:val="32"/>
          <w:szCs w:val="32"/>
        </w:rPr>
        <w:t>017</w:t>
      </w:r>
      <w:r>
        <w:rPr>
          <w:rFonts w:hint="eastAsia" w:eastAsia="仿宋"/>
          <w:sz w:val="32"/>
          <w:szCs w:val="32"/>
        </w:rPr>
        <w:t>年收购的4</w:t>
      </w:r>
      <w:r>
        <w:rPr>
          <w:rFonts w:eastAsia="仿宋"/>
          <w:sz w:val="32"/>
          <w:szCs w:val="32"/>
        </w:rPr>
        <w:t>000</w:t>
      </w:r>
      <w:r>
        <w:rPr>
          <w:rFonts w:hint="eastAsia" w:eastAsia="仿宋"/>
          <w:sz w:val="32"/>
          <w:szCs w:val="32"/>
        </w:rPr>
        <w:t>吨早籼稻，按规定于2</w:t>
      </w:r>
      <w:r>
        <w:rPr>
          <w:rFonts w:eastAsia="仿宋"/>
          <w:sz w:val="32"/>
          <w:szCs w:val="32"/>
        </w:rPr>
        <w:t>020</w:t>
      </w:r>
      <w:r>
        <w:rPr>
          <w:rFonts w:hint="eastAsia" w:eastAsia="仿宋"/>
          <w:sz w:val="32"/>
          <w:szCs w:val="32"/>
        </w:rPr>
        <w:t>年8月进行了</w:t>
      </w:r>
      <w:bookmarkStart w:id="16" w:name="_Hlk101968018"/>
      <w:r>
        <w:rPr>
          <w:rFonts w:hint="eastAsia" w:eastAsia="仿宋"/>
          <w:sz w:val="32"/>
          <w:szCs w:val="32"/>
        </w:rPr>
        <w:t>轮换</w:t>
      </w:r>
      <w:bookmarkEnd w:id="16"/>
      <w:r>
        <w:rPr>
          <w:rFonts w:hint="eastAsia" w:eastAsia="仿宋"/>
          <w:sz w:val="32"/>
          <w:szCs w:val="32"/>
        </w:rPr>
        <w:t>销售，实际上轮换数量为</w:t>
      </w:r>
      <w:bookmarkStart w:id="17" w:name="_Hlk101970917"/>
      <w:r>
        <w:rPr>
          <w:rFonts w:hint="eastAsia" w:eastAsia="仿宋"/>
          <w:sz w:val="32"/>
          <w:szCs w:val="32"/>
        </w:rPr>
        <w:t>3</w:t>
      </w:r>
      <w:r>
        <w:rPr>
          <w:rFonts w:eastAsia="仿宋"/>
          <w:sz w:val="32"/>
          <w:szCs w:val="32"/>
        </w:rPr>
        <w:t>954.49</w:t>
      </w:r>
      <w:r>
        <w:rPr>
          <w:rFonts w:hint="eastAsia" w:eastAsia="仿宋"/>
          <w:sz w:val="32"/>
          <w:szCs w:val="32"/>
        </w:rPr>
        <w:t>吨</w:t>
      </w:r>
      <w:bookmarkEnd w:id="17"/>
      <w:r>
        <w:rPr>
          <w:rFonts w:hint="eastAsia" w:eastAsia="仿宋"/>
          <w:sz w:val="32"/>
          <w:szCs w:val="32"/>
        </w:rPr>
        <w:t>。</w:t>
      </w:r>
      <w:r>
        <w:rPr>
          <w:rFonts w:eastAsia="仿宋"/>
          <w:sz w:val="32"/>
          <w:szCs w:val="32"/>
        </w:rPr>
        <w:t>2017</w:t>
      </w:r>
      <w:r>
        <w:rPr>
          <w:rFonts w:hint="eastAsia" w:eastAsia="仿宋"/>
          <w:sz w:val="32"/>
          <w:szCs w:val="32"/>
        </w:rPr>
        <w:t>年收购价格为0.26万元/吨，轮换销售价格为0.2</w:t>
      </w:r>
      <w:r>
        <w:rPr>
          <w:rFonts w:eastAsia="仿宋"/>
          <w:sz w:val="32"/>
          <w:szCs w:val="32"/>
        </w:rPr>
        <w:t>32</w:t>
      </w:r>
      <w:r>
        <w:rPr>
          <w:rFonts w:hint="eastAsia" w:eastAsia="仿宋"/>
          <w:sz w:val="32"/>
          <w:szCs w:val="32"/>
        </w:rPr>
        <w:t>万元/吨，价差0.02</w:t>
      </w:r>
      <w:r>
        <w:rPr>
          <w:rFonts w:eastAsia="仿宋"/>
          <w:sz w:val="32"/>
          <w:szCs w:val="32"/>
        </w:rPr>
        <w:t>8</w:t>
      </w:r>
      <w:r>
        <w:rPr>
          <w:rFonts w:hint="eastAsia" w:eastAsia="仿宋"/>
          <w:sz w:val="32"/>
          <w:szCs w:val="32"/>
        </w:rPr>
        <w:t>万元/吨，轮换销售差价总额1</w:t>
      </w:r>
      <w:r>
        <w:rPr>
          <w:rFonts w:eastAsia="仿宋"/>
          <w:sz w:val="32"/>
          <w:szCs w:val="32"/>
        </w:rPr>
        <w:t>10.73</w:t>
      </w:r>
      <w:r>
        <w:rPr>
          <w:rFonts w:hint="eastAsia" w:eastAsia="仿宋"/>
          <w:sz w:val="32"/>
          <w:szCs w:val="32"/>
        </w:rPr>
        <w:t>万元。粮食轮换方案已按规定报市发展和改革局、市财政局和农发行津市支行批准。粮食销售出库，严格执行了质量安全检验制度，对出库粮食品质指标和食品安全卫生指标等，按国家有关规定进行了检验，并出具了检验报告。</w:t>
      </w:r>
    </w:p>
    <w:p>
      <w:pPr>
        <w:snapToGrid w:val="0"/>
        <w:spacing w:line="360" w:lineRule="auto"/>
        <w:ind w:firstLine="640" w:firstLineChars="200"/>
        <w:jc w:val="left"/>
        <w:rPr>
          <w:rFonts w:eastAsia="仿宋"/>
          <w:sz w:val="32"/>
          <w:szCs w:val="32"/>
        </w:rPr>
      </w:pPr>
      <w:bookmarkStart w:id="18" w:name="_Hlk101970093"/>
      <w:r>
        <w:rPr>
          <w:rFonts w:hint="eastAsia" w:eastAsia="仿宋"/>
          <w:sz w:val="32"/>
          <w:szCs w:val="32"/>
        </w:rPr>
        <w:t>对于2</w:t>
      </w:r>
      <w:r>
        <w:rPr>
          <w:rFonts w:eastAsia="仿宋"/>
          <w:sz w:val="32"/>
          <w:szCs w:val="32"/>
        </w:rPr>
        <w:t>018</w:t>
      </w:r>
      <w:r>
        <w:rPr>
          <w:rFonts w:hint="eastAsia" w:eastAsia="仿宋"/>
          <w:sz w:val="32"/>
          <w:szCs w:val="32"/>
        </w:rPr>
        <w:t>年收购的中晚稻2</w:t>
      </w:r>
      <w:r>
        <w:rPr>
          <w:rFonts w:eastAsia="仿宋"/>
          <w:sz w:val="32"/>
          <w:szCs w:val="32"/>
        </w:rPr>
        <w:t>200</w:t>
      </w:r>
      <w:r>
        <w:rPr>
          <w:rFonts w:hint="eastAsia" w:eastAsia="仿宋"/>
          <w:sz w:val="32"/>
          <w:szCs w:val="32"/>
        </w:rPr>
        <w:t>吨，因年内市场价格过低原因，经报请上级批准同意后，延迟至2</w:t>
      </w:r>
      <w:r>
        <w:rPr>
          <w:rFonts w:eastAsia="仿宋"/>
          <w:sz w:val="32"/>
          <w:szCs w:val="32"/>
        </w:rPr>
        <w:t>022</w:t>
      </w:r>
      <w:r>
        <w:rPr>
          <w:rFonts w:hint="eastAsia" w:eastAsia="仿宋"/>
          <w:sz w:val="32"/>
          <w:szCs w:val="32"/>
        </w:rPr>
        <w:t>年2月完成轮换销售。</w:t>
      </w:r>
      <w:bookmarkEnd w:id="18"/>
      <w:r>
        <w:rPr>
          <w:rFonts w:hint="eastAsia" w:eastAsia="仿宋"/>
          <w:sz w:val="32"/>
          <w:szCs w:val="32"/>
        </w:rPr>
        <w:t>因此，截至2</w:t>
      </w:r>
      <w:r>
        <w:rPr>
          <w:rFonts w:eastAsia="仿宋"/>
          <w:sz w:val="32"/>
          <w:szCs w:val="32"/>
        </w:rPr>
        <w:t>021</w:t>
      </w:r>
      <w:r>
        <w:rPr>
          <w:rFonts w:hint="eastAsia" w:eastAsia="仿宋"/>
          <w:sz w:val="32"/>
          <w:szCs w:val="32"/>
        </w:rPr>
        <w:t>年底止，本市地方储备粮库存数量为8</w:t>
      </w:r>
      <w:r>
        <w:rPr>
          <w:rFonts w:eastAsia="仿宋"/>
          <w:sz w:val="32"/>
          <w:szCs w:val="32"/>
        </w:rPr>
        <w:t>400</w:t>
      </w:r>
      <w:r>
        <w:rPr>
          <w:rFonts w:hint="eastAsia" w:eastAsia="仿宋"/>
          <w:sz w:val="32"/>
          <w:szCs w:val="32"/>
        </w:rPr>
        <w:t>吨。</w:t>
      </w:r>
    </w:p>
    <w:p>
      <w:pPr>
        <w:snapToGrid w:val="0"/>
        <w:spacing w:line="360" w:lineRule="auto"/>
        <w:ind w:firstLine="640" w:firstLineChars="200"/>
        <w:jc w:val="left"/>
        <w:rPr>
          <w:rFonts w:ascii="楷体" w:hAnsi="楷体" w:eastAsia="楷体" w:cs="楷体"/>
          <w:sz w:val="32"/>
          <w:szCs w:val="32"/>
        </w:rPr>
      </w:pPr>
      <w:r>
        <w:rPr>
          <w:rFonts w:hint="eastAsia" w:ascii="楷体" w:hAnsi="楷体" w:eastAsia="楷体" w:cs="楷体"/>
          <w:sz w:val="32"/>
          <w:szCs w:val="32"/>
        </w:rPr>
        <w:t>（三）项目主要绩效</w:t>
      </w:r>
    </w:p>
    <w:p>
      <w:pPr>
        <w:snapToGrid w:val="0"/>
        <w:spacing w:line="360" w:lineRule="auto"/>
        <w:ind w:firstLine="640" w:firstLineChars="200"/>
        <w:jc w:val="left"/>
        <w:rPr>
          <w:rFonts w:ascii="仿宋" w:hAnsi="仿宋" w:eastAsia="仿宋" w:cs="仿宋_GB2312"/>
          <w:color w:val="000000"/>
          <w:sz w:val="32"/>
          <w:szCs w:val="32"/>
        </w:rPr>
      </w:pPr>
      <w:r>
        <w:rPr>
          <w:rFonts w:hint="eastAsia" w:eastAsia="仿宋"/>
          <w:kern w:val="0"/>
          <w:sz w:val="32"/>
          <w:szCs w:val="32"/>
        </w:rPr>
        <w:t>1</w:t>
      </w:r>
      <w:r>
        <w:rPr>
          <w:rFonts w:hint="eastAsia" w:ascii="仿宋" w:hAnsi="仿宋" w:eastAsia="仿宋" w:cs="仿宋_GB2312"/>
          <w:color w:val="000000"/>
          <w:sz w:val="32"/>
          <w:szCs w:val="32"/>
        </w:rPr>
        <w:t>、项目产出情况</w:t>
      </w:r>
    </w:p>
    <w:p>
      <w:pPr>
        <w:snapToGrid w:val="0"/>
        <w:spacing w:line="360" w:lineRule="auto"/>
        <w:ind w:firstLine="640" w:firstLineChars="200"/>
        <w:jc w:val="left"/>
        <w:rPr>
          <w:rFonts w:ascii="仿宋" w:hAnsi="仿宋" w:eastAsia="仿宋" w:cs="仿宋_GB2312"/>
          <w:color w:val="000000"/>
          <w:sz w:val="32"/>
          <w:szCs w:val="32"/>
        </w:rPr>
      </w:pPr>
      <w:r>
        <w:rPr>
          <w:rFonts w:hint="eastAsia" w:eastAsia="仿宋"/>
          <w:sz w:val="32"/>
          <w:szCs w:val="32"/>
        </w:rPr>
        <w:t>（1）</w:t>
      </w:r>
      <w:r>
        <w:rPr>
          <w:rFonts w:hint="eastAsia" w:ascii="仿宋" w:hAnsi="仿宋" w:eastAsia="仿宋" w:cs="仿宋_GB2312"/>
          <w:color w:val="000000"/>
          <w:sz w:val="32"/>
          <w:szCs w:val="32"/>
        </w:rPr>
        <w:t>项目产出数量、时效及质量</w:t>
      </w:r>
    </w:p>
    <w:p>
      <w:pPr>
        <w:adjustRightInd w:val="0"/>
        <w:snapToGrid w:val="0"/>
        <w:spacing w:line="360" w:lineRule="auto"/>
        <w:ind w:firstLine="640" w:firstLineChars="200"/>
        <w:rPr>
          <w:rFonts w:eastAsia="仿宋"/>
          <w:sz w:val="32"/>
          <w:szCs w:val="32"/>
        </w:rPr>
      </w:pPr>
      <w:bookmarkStart w:id="19" w:name="_Hlk101970063"/>
      <w:r>
        <w:rPr>
          <w:rFonts w:hint="eastAsia" w:eastAsia="仿宋"/>
          <w:sz w:val="32"/>
          <w:szCs w:val="32"/>
        </w:rPr>
        <w:t>本项目本年度的产出数量为地方储备粮</w:t>
      </w:r>
      <w:bookmarkEnd w:id="19"/>
      <w:r>
        <w:rPr>
          <w:rFonts w:hint="eastAsia" w:eastAsia="仿宋"/>
          <w:sz w:val="32"/>
          <w:szCs w:val="32"/>
        </w:rPr>
        <w:t>轮换任务2</w:t>
      </w:r>
      <w:r>
        <w:rPr>
          <w:rFonts w:eastAsia="仿宋"/>
          <w:sz w:val="32"/>
          <w:szCs w:val="32"/>
        </w:rPr>
        <w:t>200</w:t>
      </w:r>
      <w:r>
        <w:rPr>
          <w:rFonts w:hint="eastAsia" w:eastAsia="仿宋"/>
          <w:sz w:val="32"/>
          <w:szCs w:val="32"/>
        </w:rPr>
        <w:t>吨。</w:t>
      </w:r>
      <w:bookmarkStart w:id="20" w:name="_Hlk101970394"/>
      <w:r>
        <w:rPr>
          <w:rFonts w:hint="eastAsia" w:eastAsia="仿宋"/>
          <w:sz w:val="32"/>
          <w:szCs w:val="32"/>
        </w:rPr>
        <w:t>对于2018年收购的中晚稻2200吨</w:t>
      </w:r>
      <w:bookmarkEnd w:id="20"/>
      <w:r>
        <w:rPr>
          <w:rFonts w:hint="eastAsia" w:eastAsia="仿宋"/>
          <w:sz w:val="32"/>
          <w:szCs w:val="32"/>
        </w:rPr>
        <w:t>，因市场价格过低原因，经报请上级批准同意后，市军粮公司制定了“先购后销”轮换工作方案。</w:t>
      </w:r>
    </w:p>
    <w:p>
      <w:pPr>
        <w:adjustRightInd w:val="0"/>
        <w:snapToGrid w:val="0"/>
        <w:spacing w:line="360" w:lineRule="auto"/>
        <w:ind w:firstLine="640" w:firstLineChars="200"/>
        <w:rPr>
          <w:rFonts w:eastAsia="仿宋"/>
          <w:sz w:val="32"/>
          <w:szCs w:val="32"/>
        </w:rPr>
      </w:pPr>
      <w:r>
        <w:rPr>
          <w:rFonts w:hint="eastAsia" w:eastAsia="仿宋"/>
          <w:sz w:val="32"/>
          <w:szCs w:val="32"/>
        </w:rPr>
        <w:t>①地方储备粮轮换收购：2021年11月15日启动了收购工作，2021年12月10日完成2200吨</w:t>
      </w:r>
      <w:bookmarkStart w:id="21" w:name="_Hlk101970034"/>
      <w:r>
        <w:rPr>
          <w:rFonts w:hint="eastAsia" w:eastAsia="仿宋"/>
          <w:sz w:val="32"/>
          <w:szCs w:val="32"/>
        </w:rPr>
        <w:t>地方储备粮收购</w:t>
      </w:r>
      <w:bookmarkEnd w:id="21"/>
      <w:r>
        <w:rPr>
          <w:rFonts w:hint="eastAsia" w:eastAsia="仿宋"/>
          <w:sz w:val="32"/>
          <w:szCs w:val="32"/>
        </w:rPr>
        <w:t>任务，收购价格为0.26万元/吨（2</w:t>
      </w:r>
      <w:r>
        <w:rPr>
          <w:rFonts w:eastAsia="仿宋"/>
          <w:sz w:val="32"/>
          <w:szCs w:val="32"/>
        </w:rPr>
        <w:t>021</w:t>
      </w:r>
      <w:r>
        <w:rPr>
          <w:rFonts w:hint="eastAsia" w:eastAsia="仿宋"/>
          <w:sz w:val="32"/>
          <w:szCs w:val="32"/>
        </w:rPr>
        <w:t>年轮换收购明细详见附件</w:t>
      </w:r>
      <w:r>
        <w:rPr>
          <w:rFonts w:eastAsia="仿宋"/>
          <w:sz w:val="32"/>
          <w:szCs w:val="32"/>
        </w:rPr>
        <w:t>4</w:t>
      </w:r>
      <w:r>
        <w:rPr>
          <w:rFonts w:hint="eastAsia" w:eastAsia="仿宋"/>
          <w:sz w:val="32"/>
          <w:szCs w:val="32"/>
        </w:rPr>
        <w:t>）。</w:t>
      </w:r>
    </w:p>
    <w:p>
      <w:pPr>
        <w:adjustRightInd w:val="0"/>
        <w:snapToGrid w:val="0"/>
        <w:spacing w:line="360" w:lineRule="auto"/>
        <w:ind w:firstLine="640" w:firstLineChars="200"/>
        <w:rPr>
          <w:rFonts w:eastAsia="仿宋"/>
          <w:sz w:val="32"/>
          <w:szCs w:val="32"/>
        </w:rPr>
      </w:pPr>
      <w:r>
        <w:rPr>
          <w:rFonts w:hint="eastAsia" w:eastAsia="仿宋"/>
          <w:sz w:val="32"/>
          <w:szCs w:val="32"/>
        </w:rPr>
        <w:t>②地方储备粮三年一次轮换情况：2018年10—11月收购的2200吨中晚稻，收购价格为0.244万元/吨，收购金额536.86万元。2022年2月11—19日，经批准后的销售价格为0.224万元/吨，价差0.02万元/吨。实际销售数量2158.25吨，自然损耗4</w:t>
      </w:r>
      <w:r>
        <w:rPr>
          <w:rFonts w:eastAsia="仿宋"/>
          <w:sz w:val="32"/>
          <w:szCs w:val="32"/>
        </w:rPr>
        <w:t>1.75</w:t>
      </w:r>
      <w:r>
        <w:rPr>
          <w:rFonts w:hint="eastAsia" w:eastAsia="仿宋"/>
          <w:sz w:val="32"/>
          <w:szCs w:val="32"/>
        </w:rPr>
        <w:t>吨，自然损耗率1</w:t>
      </w:r>
      <w:r>
        <w:rPr>
          <w:rFonts w:eastAsia="仿宋"/>
          <w:sz w:val="32"/>
          <w:szCs w:val="32"/>
        </w:rPr>
        <w:t>.9</w:t>
      </w:r>
      <w:r>
        <w:rPr>
          <w:rFonts w:hint="eastAsia" w:eastAsia="仿宋"/>
          <w:sz w:val="32"/>
          <w:szCs w:val="32"/>
        </w:rPr>
        <w:t>%，损耗金额1</w:t>
      </w:r>
      <w:r>
        <w:rPr>
          <w:rFonts w:eastAsia="仿宋"/>
          <w:sz w:val="32"/>
          <w:szCs w:val="32"/>
        </w:rPr>
        <w:t>0.187</w:t>
      </w:r>
      <w:r>
        <w:rPr>
          <w:rFonts w:hint="eastAsia" w:eastAsia="仿宋"/>
          <w:sz w:val="32"/>
          <w:szCs w:val="32"/>
        </w:rPr>
        <w:t>万元。轮流换销售收入483.45万元，轮换销售发生差价损失</w:t>
      </w:r>
      <w:r>
        <w:rPr>
          <w:rFonts w:eastAsia="仿宋"/>
          <w:sz w:val="32"/>
          <w:szCs w:val="32"/>
        </w:rPr>
        <w:t>4</w:t>
      </w:r>
      <w:r>
        <w:rPr>
          <w:rFonts w:hint="eastAsia" w:eastAsia="仿宋"/>
          <w:sz w:val="32"/>
          <w:szCs w:val="32"/>
        </w:rPr>
        <w:t>3.</w:t>
      </w:r>
      <w:r>
        <w:rPr>
          <w:rFonts w:eastAsia="仿宋"/>
          <w:sz w:val="32"/>
          <w:szCs w:val="32"/>
        </w:rPr>
        <w:t>165</w:t>
      </w:r>
      <w:r>
        <w:rPr>
          <w:rFonts w:hint="eastAsia" w:eastAsia="仿宋"/>
          <w:sz w:val="32"/>
          <w:szCs w:val="32"/>
        </w:rPr>
        <w:t>万元（2</w:t>
      </w:r>
      <w:r>
        <w:rPr>
          <w:rFonts w:eastAsia="仿宋"/>
          <w:sz w:val="32"/>
          <w:szCs w:val="32"/>
        </w:rPr>
        <w:t>018</w:t>
      </w:r>
      <w:r>
        <w:rPr>
          <w:rFonts w:hint="eastAsia" w:eastAsia="仿宋"/>
          <w:sz w:val="32"/>
          <w:szCs w:val="32"/>
        </w:rPr>
        <w:t>年轮换收购明细详见附件</w:t>
      </w:r>
      <w:r>
        <w:rPr>
          <w:rFonts w:eastAsia="仿宋"/>
          <w:sz w:val="32"/>
          <w:szCs w:val="32"/>
        </w:rPr>
        <w:t>5</w:t>
      </w:r>
      <w:r>
        <w:rPr>
          <w:rFonts w:hint="eastAsia" w:eastAsia="仿宋"/>
          <w:sz w:val="32"/>
          <w:szCs w:val="32"/>
        </w:rPr>
        <w:t>）。</w:t>
      </w:r>
    </w:p>
    <w:p>
      <w:pPr>
        <w:adjustRightInd w:val="0"/>
        <w:snapToGrid w:val="0"/>
        <w:spacing w:line="360" w:lineRule="auto"/>
        <w:ind w:firstLine="640" w:firstLineChars="200"/>
        <w:rPr>
          <w:rFonts w:eastAsia="仿宋"/>
          <w:sz w:val="32"/>
          <w:szCs w:val="32"/>
        </w:rPr>
      </w:pPr>
      <w:r>
        <w:rPr>
          <w:rFonts w:hint="eastAsia" w:eastAsia="仿宋"/>
          <w:sz w:val="32"/>
          <w:szCs w:val="32"/>
        </w:rPr>
        <w:t>轮换销售完毕后，本市地方储备粮储备规模由8</w:t>
      </w:r>
      <w:r>
        <w:rPr>
          <w:rFonts w:eastAsia="仿宋"/>
          <w:sz w:val="32"/>
          <w:szCs w:val="32"/>
        </w:rPr>
        <w:t>400</w:t>
      </w:r>
      <w:r>
        <w:rPr>
          <w:rFonts w:hint="eastAsia" w:eastAsia="仿宋"/>
          <w:sz w:val="32"/>
          <w:szCs w:val="32"/>
        </w:rPr>
        <w:t>吨下降到6200吨计划水平。</w:t>
      </w:r>
    </w:p>
    <w:p>
      <w:pPr>
        <w:adjustRightInd w:val="0"/>
        <w:snapToGrid w:val="0"/>
        <w:spacing w:line="360" w:lineRule="auto"/>
        <w:ind w:firstLine="640" w:firstLineChars="200"/>
        <w:rPr>
          <w:rFonts w:eastAsia="仿宋"/>
          <w:sz w:val="32"/>
          <w:szCs w:val="32"/>
        </w:rPr>
      </w:pPr>
      <w:r>
        <w:rPr>
          <w:rFonts w:hint="eastAsia" w:eastAsia="仿宋"/>
          <w:sz w:val="32"/>
          <w:szCs w:val="32"/>
        </w:rPr>
        <w:t>从市军粮公司提供的收储台账等资料情况来看，未发现质量不达标和不符合食品安全要求的问题。</w:t>
      </w:r>
    </w:p>
    <w:p>
      <w:pPr>
        <w:adjustRightInd w:val="0"/>
        <w:snapToGrid w:val="0"/>
        <w:spacing w:line="360" w:lineRule="auto"/>
        <w:ind w:firstLine="640" w:firstLineChars="200"/>
        <w:rPr>
          <w:rFonts w:eastAsia="仿宋"/>
          <w:sz w:val="32"/>
          <w:szCs w:val="32"/>
        </w:rPr>
      </w:pPr>
      <w:r>
        <w:rPr>
          <w:rFonts w:hint="eastAsia" w:eastAsia="仿宋"/>
          <w:sz w:val="32"/>
          <w:szCs w:val="32"/>
        </w:rPr>
        <w:t>（2）产出成本</w:t>
      </w:r>
    </w:p>
    <w:p>
      <w:pPr>
        <w:adjustRightInd w:val="0"/>
        <w:snapToGrid w:val="0"/>
        <w:spacing w:line="360" w:lineRule="auto"/>
        <w:ind w:firstLine="640" w:firstLineChars="200"/>
        <w:rPr>
          <w:rFonts w:eastAsia="仿宋"/>
          <w:sz w:val="32"/>
          <w:szCs w:val="32"/>
        </w:rPr>
      </w:pPr>
      <w:r>
        <w:rPr>
          <w:rFonts w:hint="eastAsia" w:eastAsia="仿宋"/>
          <w:sz w:val="32"/>
          <w:szCs w:val="32"/>
        </w:rPr>
        <w:t>2</w:t>
      </w:r>
      <w:r>
        <w:rPr>
          <w:rFonts w:eastAsia="仿宋"/>
          <w:sz w:val="32"/>
          <w:szCs w:val="32"/>
        </w:rPr>
        <w:t>021</w:t>
      </w:r>
      <w:r>
        <w:rPr>
          <w:rFonts w:hint="eastAsia" w:eastAsia="仿宋"/>
          <w:sz w:val="32"/>
          <w:szCs w:val="32"/>
        </w:rPr>
        <w:t>年，本项目预算到位资金214.82万元，实际成本支出总额213.33万元：</w:t>
      </w:r>
      <w:bookmarkStart w:id="38" w:name="_GoBack"/>
      <w:bookmarkEnd w:id="38"/>
    </w:p>
    <w:p>
      <w:pPr>
        <w:adjustRightInd w:val="0"/>
        <w:snapToGrid w:val="0"/>
        <w:spacing w:line="360" w:lineRule="auto"/>
        <w:ind w:firstLine="640" w:firstLineChars="200"/>
        <w:rPr>
          <w:rFonts w:eastAsia="仿宋"/>
          <w:sz w:val="32"/>
          <w:szCs w:val="32"/>
        </w:rPr>
      </w:pPr>
      <w:r>
        <w:rPr>
          <w:rFonts w:hint="eastAsia" w:eastAsia="仿宋"/>
          <w:sz w:val="32"/>
          <w:szCs w:val="32"/>
        </w:rPr>
        <w:t>①2017年8月收购的4000吨早籼稻，收购价格为0.26万元/吨。2020年8月，经批准后的销售价格为0.232万元/吨，价差0.028万元/吨。实际销售数量3954.49吨，自然损耗4</w:t>
      </w:r>
      <w:r>
        <w:rPr>
          <w:rFonts w:eastAsia="仿宋"/>
          <w:sz w:val="32"/>
          <w:szCs w:val="32"/>
        </w:rPr>
        <w:t>5.51</w:t>
      </w:r>
      <w:r>
        <w:rPr>
          <w:rFonts w:hint="eastAsia" w:eastAsia="仿宋"/>
          <w:sz w:val="32"/>
          <w:szCs w:val="32"/>
        </w:rPr>
        <w:t>吨，自然损耗率1</w:t>
      </w:r>
      <w:r>
        <w:rPr>
          <w:rFonts w:eastAsia="仿宋"/>
          <w:sz w:val="32"/>
          <w:szCs w:val="32"/>
        </w:rPr>
        <w:t>.14</w:t>
      </w:r>
      <w:r>
        <w:rPr>
          <w:rFonts w:hint="eastAsia" w:eastAsia="仿宋"/>
          <w:sz w:val="32"/>
          <w:szCs w:val="32"/>
        </w:rPr>
        <w:t>%，损耗金额1</w:t>
      </w:r>
      <w:r>
        <w:rPr>
          <w:rFonts w:eastAsia="仿宋"/>
          <w:sz w:val="32"/>
          <w:szCs w:val="32"/>
        </w:rPr>
        <w:t>1.833</w:t>
      </w:r>
      <w:r>
        <w:rPr>
          <w:rFonts w:hint="eastAsia" w:eastAsia="仿宋"/>
          <w:sz w:val="32"/>
          <w:szCs w:val="32"/>
        </w:rPr>
        <w:t>万元。轮换销售发生差价损失110.73万元。对此，市财政予以定额补助，金额</w:t>
      </w:r>
      <w:r>
        <w:rPr>
          <w:rFonts w:eastAsia="仿宋"/>
          <w:sz w:val="32"/>
          <w:szCs w:val="32"/>
        </w:rPr>
        <w:t>97</w:t>
      </w:r>
      <w:r>
        <w:rPr>
          <w:rFonts w:hint="eastAsia" w:eastAsia="仿宋"/>
          <w:sz w:val="32"/>
          <w:szCs w:val="32"/>
        </w:rPr>
        <w:t>万元。</w:t>
      </w:r>
    </w:p>
    <w:p>
      <w:pPr>
        <w:adjustRightInd w:val="0"/>
        <w:snapToGrid w:val="0"/>
        <w:spacing w:line="360" w:lineRule="auto"/>
        <w:ind w:firstLine="640" w:firstLineChars="200"/>
        <w:rPr>
          <w:rFonts w:eastAsia="仿宋"/>
          <w:sz w:val="32"/>
          <w:szCs w:val="32"/>
        </w:rPr>
      </w:pPr>
      <w:r>
        <w:rPr>
          <w:rFonts w:hint="eastAsia" w:eastAsia="仿宋"/>
          <w:sz w:val="32"/>
          <w:szCs w:val="32"/>
        </w:rPr>
        <w:t>②2</w:t>
      </w:r>
      <w:r>
        <w:rPr>
          <w:rFonts w:eastAsia="仿宋"/>
          <w:sz w:val="32"/>
          <w:szCs w:val="32"/>
        </w:rPr>
        <w:t>021</w:t>
      </w:r>
      <w:r>
        <w:rPr>
          <w:rFonts w:hint="eastAsia" w:eastAsia="仿宋"/>
          <w:sz w:val="32"/>
          <w:szCs w:val="32"/>
        </w:rPr>
        <w:t>年度地方储备粮保管费用包干使用补贴57.45万元。</w:t>
      </w:r>
    </w:p>
    <w:p>
      <w:pPr>
        <w:adjustRightInd w:val="0"/>
        <w:snapToGrid w:val="0"/>
        <w:spacing w:line="360" w:lineRule="auto"/>
        <w:ind w:firstLine="640" w:firstLineChars="200"/>
        <w:rPr>
          <w:rFonts w:ascii="仿宋" w:hAnsi="仿宋" w:eastAsia="仿宋" w:cs="仿宋_GB2312"/>
          <w:color w:val="000000"/>
          <w:sz w:val="32"/>
          <w:szCs w:val="32"/>
        </w:rPr>
      </w:pPr>
      <w:r>
        <w:rPr>
          <w:rFonts w:hint="eastAsia" w:eastAsia="仿宋"/>
          <w:sz w:val="32"/>
          <w:szCs w:val="32"/>
        </w:rPr>
        <w:t>③2</w:t>
      </w:r>
      <w:r>
        <w:rPr>
          <w:rFonts w:eastAsia="仿宋"/>
          <w:sz w:val="32"/>
          <w:szCs w:val="32"/>
        </w:rPr>
        <w:t>021</w:t>
      </w:r>
      <w:r>
        <w:rPr>
          <w:rFonts w:hint="eastAsia" w:eastAsia="仿宋"/>
          <w:sz w:val="32"/>
          <w:szCs w:val="32"/>
        </w:rPr>
        <w:t>年地方储备粮贷款</w:t>
      </w:r>
      <w:bookmarkStart w:id="22" w:name="_Hlk106093335"/>
      <w:r>
        <w:rPr>
          <w:rFonts w:hint="eastAsia" w:eastAsia="仿宋"/>
          <w:sz w:val="32"/>
          <w:szCs w:val="32"/>
        </w:rPr>
        <w:t>利息补贴</w:t>
      </w:r>
      <w:bookmarkEnd w:id="22"/>
      <w:bookmarkStart w:id="23" w:name="_Hlk106093266"/>
      <w:r>
        <w:rPr>
          <w:rFonts w:hint="eastAsia" w:eastAsia="仿宋"/>
          <w:sz w:val="32"/>
          <w:szCs w:val="32"/>
        </w:rPr>
        <w:t>6</w:t>
      </w:r>
      <w:r>
        <w:rPr>
          <w:rFonts w:eastAsia="仿宋"/>
          <w:sz w:val="32"/>
          <w:szCs w:val="32"/>
        </w:rPr>
        <w:t>0.37</w:t>
      </w:r>
      <w:bookmarkEnd w:id="23"/>
      <w:r>
        <w:rPr>
          <w:rFonts w:hint="eastAsia" w:eastAsia="仿宋"/>
          <w:sz w:val="32"/>
          <w:szCs w:val="32"/>
        </w:rPr>
        <w:t>万元，市军粮公司支付利息支出</w:t>
      </w:r>
      <w:r>
        <w:rPr>
          <w:rFonts w:eastAsia="仿宋"/>
          <w:sz w:val="32"/>
          <w:szCs w:val="32"/>
        </w:rPr>
        <w:t>60.37</w:t>
      </w:r>
      <w:r>
        <w:rPr>
          <w:rFonts w:hint="eastAsia" w:eastAsia="仿宋"/>
          <w:sz w:val="32"/>
          <w:szCs w:val="32"/>
        </w:rPr>
        <w:t>万元，</w:t>
      </w:r>
      <w:bookmarkStart w:id="24" w:name="_Hlk106093428"/>
      <w:r>
        <w:rPr>
          <w:rFonts w:hint="eastAsia" w:eastAsia="仿宋"/>
          <w:sz w:val="32"/>
          <w:szCs w:val="32"/>
        </w:rPr>
        <w:t>津市农业发展银行按政策退回已收利息1</w:t>
      </w:r>
      <w:r>
        <w:rPr>
          <w:rFonts w:eastAsia="仿宋"/>
          <w:sz w:val="32"/>
          <w:szCs w:val="32"/>
        </w:rPr>
        <w:t>.49</w:t>
      </w:r>
      <w:r>
        <w:rPr>
          <w:rFonts w:hint="eastAsia" w:eastAsia="仿宋"/>
          <w:sz w:val="32"/>
          <w:szCs w:val="32"/>
        </w:rPr>
        <w:t>万元</w:t>
      </w:r>
      <w:bookmarkEnd w:id="24"/>
      <w:r>
        <w:rPr>
          <w:rFonts w:hint="eastAsia" w:eastAsia="仿宋"/>
          <w:sz w:val="32"/>
          <w:szCs w:val="32"/>
        </w:rPr>
        <w:t>，实际利息支出5</w:t>
      </w:r>
      <w:r>
        <w:rPr>
          <w:rFonts w:eastAsia="仿宋"/>
          <w:sz w:val="32"/>
          <w:szCs w:val="32"/>
        </w:rPr>
        <w:t>8.88</w:t>
      </w:r>
      <w:r>
        <w:rPr>
          <w:rFonts w:hint="eastAsia" w:eastAsia="仿宋"/>
          <w:sz w:val="32"/>
          <w:szCs w:val="32"/>
        </w:rPr>
        <w:t>万元。</w:t>
      </w:r>
    </w:p>
    <w:p>
      <w:pPr>
        <w:snapToGrid w:val="0"/>
        <w:spacing w:line="360" w:lineRule="auto"/>
        <w:ind w:firstLine="784" w:firstLineChars="245"/>
        <w:jc w:val="left"/>
        <w:rPr>
          <w:rFonts w:ascii="仿宋" w:hAnsi="仿宋" w:eastAsia="仿宋"/>
          <w:sz w:val="32"/>
          <w:szCs w:val="32"/>
        </w:rPr>
      </w:pPr>
      <w:r>
        <w:rPr>
          <w:rFonts w:hint="eastAsia" w:eastAsia="仿宋"/>
          <w:kern w:val="0"/>
          <w:sz w:val="32"/>
          <w:szCs w:val="32"/>
        </w:rPr>
        <w:t>2、</w:t>
      </w:r>
      <w:r>
        <w:rPr>
          <w:rFonts w:hint="eastAsia" w:ascii="仿宋" w:hAnsi="仿宋" w:eastAsia="仿宋"/>
          <w:sz w:val="32"/>
          <w:szCs w:val="32"/>
        </w:rPr>
        <w:t>项目效益情况资金</w:t>
      </w:r>
    </w:p>
    <w:p>
      <w:pPr>
        <w:snapToGrid w:val="0"/>
        <w:spacing w:line="360" w:lineRule="auto"/>
        <w:ind w:firstLine="640" w:firstLineChars="200"/>
        <w:jc w:val="left"/>
        <w:rPr>
          <w:rFonts w:ascii="仿宋" w:hAnsi="仿宋" w:eastAsia="仿宋" w:cs="仿宋_GB2312"/>
          <w:color w:val="000000"/>
          <w:sz w:val="32"/>
          <w:szCs w:val="32"/>
        </w:rPr>
      </w:pPr>
      <w:r>
        <w:rPr>
          <w:rFonts w:hint="eastAsia" w:ascii="仿宋" w:hAnsi="仿宋" w:eastAsia="仿宋"/>
          <w:sz w:val="32"/>
          <w:szCs w:val="32"/>
        </w:rPr>
        <w:t>通过本</w:t>
      </w:r>
      <w:r>
        <w:rPr>
          <w:rFonts w:hint="eastAsia" w:ascii="仿宋" w:hAnsi="仿宋" w:eastAsia="仿宋" w:cs="仿宋_GB2312"/>
          <w:color w:val="000000"/>
          <w:sz w:val="32"/>
          <w:szCs w:val="32"/>
        </w:rPr>
        <w:t>项目的实施，</w:t>
      </w:r>
      <w:r>
        <w:rPr>
          <w:rFonts w:ascii="仿宋" w:hAnsi="仿宋" w:eastAsia="仿宋" w:cs="仿宋_GB2312"/>
          <w:color w:val="000000"/>
          <w:sz w:val="32"/>
          <w:szCs w:val="32"/>
        </w:rPr>
        <w:t>调节</w:t>
      </w:r>
      <w:r>
        <w:rPr>
          <w:rFonts w:hint="eastAsia" w:ascii="仿宋" w:hAnsi="仿宋" w:eastAsia="仿宋" w:cs="仿宋_GB2312"/>
          <w:color w:val="000000"/>
          <w:sz w:val="32"/>
          <w:szCs w:val="32"/>
        </w:rPr>
        <w:t>了</w:t>
      </w:r>
      <w:r>
        <w:rPr>
          <w:rFonts w:ascii="仿宋" w:hAnsi="仿宋" w:eastAsia="仿宋" w:cs="仿宋_GB2312"/>
          <w:color w:val="000000"/>
          <w:sz w:val="32"/>
          <w:szCs w:val="32"/>
        </w:rPr>
        <w:t>粮食市场</w:t>
      </w:r>
      <w:r>
        <w:rPr>
          <w:rFonts w:hint="eastAsia" w:ascii="仿宋" w:hAnsi="仿宋" w:eastAsia="仿宋" w:cs="仿宋_GB2312"/>
          <w:color w:val="000000"/>
          <w:sz w:val="32"/>
          <w:szCs w:val="32"/>
        </w:rPr>
        <w:t>，保障了粮食储备企业的平稳运行，确保了地方应对重大自然灾害、重大公共卫生事件或者其他突发事件等情况的能力；同时通过地方储备粮轮换，解决了农民卖粮难的问题，带动了农民增收，提高了农民种粮的积极性，对维护粮食市场价格稳定也起到了积极的作用。</w:t>
      </w:r>
    </w:p>
    <w:p>
      <w:pPr>
        <w:snapToGrid w:val="0"/>
        <w:spacing w:line="360" w:lineRule="auto"/>
        <w:ind w:firstLine="640" w:firstLineChars="200"/>
        <w:jc w:val="left"/>
        <w:rPr>
          <w:rFonts w:ascii="仿宋" w:hAnsi="仿宋" w:eastAsia="仿宋" w:cs="仿宋_GB2312"/>
          <w:color w:val="000000"/>
          <w:sz w:val="32"/>
          <w:szCs w:val="32"/>
        </w:rPr>
      </w:pPr>
      <w:r>
        <w:rPr>
          <w:rFonts w:hint="eastAsia" w:eastAsia="仿宋"/>
          <w:kern w:val="0"/>
          <w:sz w:val="32"/>
          <w:szCs w:val="32"/>
        </w:rPr>
        <w:t>3、</w:t>
      </w:r>
      <w:r>
        <w:rPr>
          <w:rFonts w:hint="eastAsia" w:ascii="仿宋" w:hAnsi="仿宋" w:eastAsia="仿宋" w:cs="仿宋_GB2312"/>
          <w:color w:val="000000"/>
          <w:sz w:val="32"/>
          <w:szCs w:val="32"/>
        </w:rPr>
        <w:t>社会满意度</w:t>
      </w:r>
    </w:p>
    <w:p>
      <w:pPr>
        <w:snapToGrid w:val="0"/>
        <w:spacing w:line="360" w:lineRule="auto"/>
        <w:ind w:firstLine="640" w:firstLineChars="200"/>
        <w:jc w:val="left"/>
        <w:rPr>
          <w:rFonts w:ascii="仿宋" w:hAnsi="仿宋" w:eastAsia="仿宋" w:cs="仿宋_GB2312"/>
          <w:color w:val="000000"/>
          <w:sz w:val="32"/>
          <w:szCs w:val="32"/>
        </w:rPr>
      </w:pPr>
      <w:r>
        <w:rPr>
          <w:rFonts w:hint="eastAsia" w:ascii="仿宋" w:hAnsi="仿宋" w:eastAsia="仿宋" w:cs="仿宋_GB2312"/>
          <w:color w:val="000000"/>
          <w:sz w:val="32"/>
          <w:szCs w:val="32"/>
        </w:rPr>
        <w:t>本次评价，发送</w:t>
      </w:r>
      <w:bookmarkStart w:id="25" w:name="_Hlk102026823"/>
      <w:r>
        <w:rPr>
          <w:rFonts w:hint="eastAsia" w:ascii="仿宋" w:hAnsi="仿宋" w:eastAsia="仿宋" w:cs="仿宋_GB2312"/>
          <w:color w:val="000000"/>
          <w:sz w:val="32"/>
          <w:szCs w:val="32"/>
        </w:rPr>
        <w:t>《</w:t>
      </w:r>
      <w:r>
        <w:rPr>
          <w:rFonts w:hint="eastAsia" w:eastAsia="仿宋"/>
          <w:sz w:val="32"/>
          <w:szCs w:val="32"/>
        </w:rPr>
        <w:t>2021</w:t>
      </w:r>
      <w:r>
        <w:rPr>
          <w:rFonts w:hint="eastAsia" w:ascii="仿宋" w:hAnsi="仿宋" w:eastAsia="仿宋" w:cs="仿宋_GB2312"/>
          <w:color w:val="000000"/>
          <w:sz w:val="32"/>
          <w:szCs w:val="32"/>
        </w:rPr>
        <w:t>年津市市地方储备粮补贴专项资金绩效评价满意度社会调查问卷》</w:t>
      </w:r>
      <w:bookmarkEnd w:id="25"/>
      <w:r>
        <w:rPr>
          <w:rFonts w:hint="eastAsia" w:ascii="仿宋" w:hAnsi="仿宋" w:eastAsia="仿宋" w:cs="仿宋_GB2312"/>
          <w:color w:val="000000"/>
          <w:sz w:val="32"/>
          <w:szCs w:val="32"/>
        </w:rPr>
        <w:t>，对本项目实施及资金使用等情况进行了满意度调查</w:t>
      </w:r>
      <w:r>
        <w:rPr>
          <w:rFonts w:hint="eastAsia" w:eastAsia="仿宋"/>
          <w:sz w:val="32"/>
          <w:szCs w:val="32"/>
        </w:rPr>
        <w:t>。截止2022年4月30日，服务对象等社会公众提交问卷共计45份，总体满意度为9</w:t>
      </w:r>
      <w:r>
        <w:rPr>
          <w:rFonts w:eastAsia="仿宋"/>
          <w:sz w:val="32"/>
          <w:szCs w:val="32"/>
        </w:rPr>
        <w:t>1.11</w:t>
      </w:r>
      <w:r>
        <w:rPr>
          <w:rFonts w:hint="eastAsia" w:eastAsia="仿宋"/>
          <w:sz w:val="32"/>
          <w:szCs w:val="32"/>
        </w:rPr>
        <w:t>%，</w:t>
      </w:r>
      <w:r>
        <w:rPr>
          <w:rFonts w:hint="eastAsia" w:ascii="仿宋" w:hAnsi="仿宋" w:eastAsia="仿宋" w:cs="仿宋_GB2312"/>
          <w:color w:val="000000"/>
          <w:sz w:val="32"/>
          <w:szCs w:val="32"/>
        </w:rPr>
        <w:t>实现</w:t>
      </w:r>
      <w:r>
        <w:rPr>
          <w:rFonts w:hint="eastAsia" w:eastAsia="仿宋"/>
          <w:sz w:val="32"/>
          <w:szCs w:val="32"/>
        </w:rPr>
        <w:t>了≥90%的</w:t>
      </w:r>
      <w:r>
        <w:rPr>
          <w:rFonts w:hint="eastAsia" w:ascii="仿宋" w:hAnsi="仿宋" w:eastAsia="仿宋" w:cs="仿宋_GB2312"/>
          <w:color w:val="000000"/>
          <w:sz w:val="32"/>
          <w:szCs w:val="32"/>
        </w:rPr>
        <w:t>年度预定目标。</w:t>
      </w:r>
    </w:p>
    <w:p>
      <w:pPr>
        <w:snapToGrid w:val="0"/>
        <w:spacing w:line="360" w:lineRule="auto"/>
        <w:ind w:firstLine="640" w:firstLineChars="200"/>
        <w:jc w:val="left"/>
        <w:rPr>
          <w:rFonts w:eastAsia="黑体"/>
          <w:sz w:val="32"/>
          <w:szCs w:val="32"/>
        </w:rPr>
      </w:pPr>
      <w:r>
        <w:rPr>
          <w:rFonts w:eastAsia="黑体"/>
          <w:sz w:val="32"/>
          <w:szCs w:val="32"/>
        </w:rPr>
        <w:t>五、</w:t>
      </w:r>
      <w:bookmarkStart w:id="26" w:name="_Hlk80856969"/>
      <w:r>
        <w:rPr>
          <w:rFonts w:eastAsia="黑体"/>
          <w:sz w:val="32"/>
          <w:szCs w:val="32"/>
        </w:rPr>
        <w:t>主要经验做法</w:t>
      </w:r>
      <w:bookmarkEnd w:id="26"/>
      <w:r>
        <w:rPr>
          <w:rFonts w:eastAsia="黑体"/>
          <w:sz w:val="32"/>
          <w:szCs w:val="32"/>
        </w:rPr>
        <w:t>、存在的问题及原因分析</w:t>
      </w:r>
    </w:p>
    <w:p>
      <w:pPr>
        <w:snapToGrid w:val="0"/>
        <w:spacing w:line="360" w:lineRule="auto"/>
        <w:ind w:firstLine="640" w:firstLineChars="200"/>
        <w:rPr>
          <w:rFonts w:eastAsia="楷体"/>
          <w:sz w:val="32"/>
          <w:szCs w:val="32"/>
        </w:rPr>
      </w:pPr>
      <w:r>
        <w:rPr>
          <w:rFonts w:eastAsia="楷体"/>
          <w:sz w:val="32"/>
          <w:szCs w:val="32"/>
        </w:rPr>
        <w:t>（一）主要经验做法</w:t>
      </w:r>
    </w:p>
    <w:p>
      <w:pPr>
        <w:snapToGrid w:val="0"/>
        <w:spacing w:line="360" w:lineRule="auto"/>
        <w:ind w:firstLine="640" w:firstLineChars="200"/>
        <w:rPr>
          <w:rFonts w:ascii="仿宋" w:hAnsi="仿宋" w:eastAsia="仿宋" w:cs="仿宋_GB2312"/>
          <w:color w:val="000000"/>
          <w:sz w:val="32"/>
          <w:szCs w:val="32"/>
        </w:rPr>
      </w:pPr>
      <w:r>
        <w:rPr>
          <w:rFonts w:hint="eastAsia" w:eastAsia="仿宋"/>
          <w:kern w:val="0"/>
          <w:sz w:val="32"/>
          <w:szCs w:val="32"/>
        </w:rPr>
        <w:t>1、</w:t>
      </w:r>
      <w:r>
        <w:rPr>
          <w:rFonts w:hint="eastAsia" w:ascii="仿宋" w:hAnsi="仿宋" w:eastAsia="仿宋" w:cs="仿宋_GB2312"/>
          <w:color w:val="000000"/>
          <w:sz w:val="32"/>
          <w:szCs w:val="32"/>
        </w:rPr>
        <w:t>根据当年粮食购销的行情，结合本年的实际，制定了先购后销的轮换工作方案，准确把握时间节点，确保了收储任务的及时完成。严格执行国家收购政策标准，严把质量关，确保了收储入库粮食的品质达标。</w:t>
      </w:r>
    </w:p>
    <w:p>
      <w:pPr>
        <w:snapToGrid w:val="0"/>
        <w:spacing w:line="360" w:lineRule="auto"/>
        <w:ind w:firstLine="640" w:firstLineChars="200"/>
        <w:rPr>
          <w:rFonts w:ascii="仿宋" w:hAnsi="仿宋" w:eastAsia="仿宋" w:cs="仿宋_GB2312"/>
          <w:color w:val="000000"/>
          <w:sz w:val="32"/>
          <w:szCs w:val="32"/>
        </w:rPr>
      </w:pPr>
      <w:r>
        <w:rPr>
          <w:rFonts w:hint="eastAsia" w:eastAsia="仿宋"/>
          <w:kern w:val="0"/>
          <w:sz w:val="32"/>
          <w:szCs w:val="32"/>
        </w:rPr>
        <w:t>2、</w:t>
      </w:r>
      <w:r>
        <w:rPr>
          <w:rFonts w:hint="eastAsia" w:ascii="仿宋" w:hAnsi="仿宋" w:eastAsia="仿宋" w:cs="仿宋_GB2312"/>
          <w:color w:val="000000"/>
          <w:sz w:val="32"/>
          <w:szCs w:val="32"/>
        </w:rPr>
        <w:t>建立了规范的储粮台账，确保账、卡数量相符，会计核算、统计报表、保管台账的数量相符。同时，确保与津市</w:t>
      </w:r>
      <w:r>
        <w:rPr>
          <w:rFonts w:hint="eastAsia" w:ascii="仿宋" w:hAnsi="仿宋" w:eastAsia="仿宋" w:cs="仿宋_GB2312"/>
          <w:sz w:val="32"/>
          <w:szCs w:val="32"/>
        </w:rPr>
        <w:t>农业发展银行贷款</w:t>
      </w:r>
      <w:r>
        <w:rPr>
          <w:rFonts w:hint="eastAsia" w:ascii="仿宋" w:hAnsi="仿宋" w:eastAsia="仿宋" w:cs="仿宋_GB2312"/>
          <w:color w:val="000000"/>
          <w:sz w:val="32"/>
          <w:szCs w:val="32"/>
        </w:rPr>
        <w:t>挂钩相符。并通过主管部门的监督检查，确保了所有储粮的安全完整。</w:t>
      </w:r>
    </w:p>
    <w:p>
      <w:pPr>
        <w:snapToGrid w:val="0"/>
        <w:spacing w:line="360" w:lineRule="auto"/>
        <w:ind w:firstLine="640" w:firstLineChars="200"/>
        <w:rPr>
          <w:rFonts w:ascii="仿宋" w:hAnsi="仿宋" w:eastAsia="仿宋" w:cs="仿宋_GB2312"/>
          <w:color w:val="000000"/>
          <w:sz w:val="32"/>
          <w:szCs w:val="32"/>
        </w:rPr>
      </w:pPr>
      <w:r>
        <w:rPr>
          <w:rFonts w:hint="eastAsia" w:eastAsia="仿宋"/>
          <w:kern w:val="0"/>
          <w:sz w:val="32"/>
          <w:szCs w:val="32"/>
        </w:rPr>
        <w:t>3、</w:t>
      </w:r>
      <w:r>
        <w:rPr>
          <w:rFonts w:hint="eastAsia" w:ascii="仿宋" w:hAnsi="仿宋" w:eastAsia="仿宋" w:cs="仿宋_GB2312"/>
          <w:color w:val="000000"/>
          <w:sz w:val="32"/>
          <w:szCs w:val="32"/>
        </w:rPr>
        <w:t>积极应用现代化、科学化的保</w:t>
      </w:r>
      <w:r>
        <w:rPr>
          <w:rFonts w:ascii="仿宋" w:hAnsi="仿宋" w:eastAsia="仿宋" w:cs="仿宋_GB2312"/>
          <w:color w:val="000000"/>
          <w:sz w:val="32"/>
          <w:szCs w:val="32"/>
        </w:rPr>
        <w:t>粮方</w:t>
      </w:r>
      <w:r>
        <w:rPr>
          <w:rFonts w:hint="eastAsia" w:ascii="仿宋" w:hAnsi="仿宋" w:eastAsia="仿宋" w:cs="仿宋_GB2312"/>
          <w:color w:val="000000"/>
          <w:sz w:val="32"/>
          <w:szCs w:val="32"/>
        </w:rPr>
        <w:t>法，执行规范的仓储保管工作。</w:t>
      </w:r>
      <w:r>
        <w:rPr>
          <w:rFonts w:ascii="仿宋" w:hAnsi="仿宋" w:eastAsia="仿宋" w:cs="仿宋_GB2312"/>
          <w:color w:val="000000"/>
          <w:sz w:val="32"/>
          <w:szCs w:val="32"/>
        </w:rPr>
        <w:t>如</w:t>
      </w:r>
      <w:r>
        <w:rPr>
          <w:rFonts w:hint="eastAsia" w:ascii="仿宋" w:hAnsi="仿宋" w:eastAsia="仿宋" w:cs="仿宋_GB2312"/>
          <w:color w:val="000000"/>
          <w:sz w:val="32"/>
          <w:szCs w:val="32"/>
        </w:rPr>
        <w:t>通过采用</w:t>
      </w:r>
      <w:r>
        <w:rPr>
          <w:rFonts w:ascii="仿宋" w:hAnsi="仿宋" w:eastAsia="仿宋" w:cs="仿宋_GB2312"/>
          <w:color w:val="000000"/>
          <w:sz w:val="32"/>
          <w:szCs w:val="32"/>
        </w:rPr>
        <w:t>机械通风、</w:t>
      </w:r>
      <w:r>
        <w:rPr>
          <w:rFonts w:hint="eastAsia" w:ascii="仿宋" w:hAnsi="仿宋" w:eastAsia="仿宋" w:cs="仿宋_GB2312"/>
          <w:color w:val="000000"/>
          <w:sz w:val="32"/>
          <w:szCs w:val="32"/>
        </w:rPr>
        <w:t>熏</w:t>
      </w:r>
      <w:r>
        <w:rPr>
          <w:rFonts w:ascii="仿宋" w:hAnsi="仿宋" w:eastAsia="仿宋" w:cs="仿宋_GB2312"/>
          <w:color w:val="000000"/>
          <w:sz w:val="32"/>
          <w:szCs w:val="32"/>
        </w:rPr>
        <w:t>蒸杀虫</w:t>
      </w:r>
      <w:r>
        <w:rPr>
          <w:rFonts w:hint="eastAsia" w:ascii="仿宋" w:hAnsi="仿宋" w:eastAsia="仿宋" w:cs="仿宋_GB2312"/>
          <w:color w:val="000000"/>
          <w:sz w:val="32"/>
          <w:szCs w:val="32"/>
        </w:rPr>
        <w:t>、定时测温</w:t>
      </w:r>
      <w:r>
        <w:rPr>
          <w:rFonts w:ascii="仿宋" w:hAnsi="仿宋" w:eastAsia="仿宋" w:cs="仿宋_GB2312"/>
          <w:color w:val="000000"/>
          <w:sz w:val="32"/>
          <w:szCs w:val="32"/>
        </w:rPr>
        <w:t>等</w:t>
      </w:r>
      <w:r>
        <w:rPr>
          <w:rFonts w:hint="eastAsia" w:ascii="仿宋" w:hAnsi="仿宋" w:eastAsia="仿宋" w:cs="仿宋_GB2312"/>
          <w:color w:val="000000"/>
          <w:sz w:val="32"/>
          <w:szCs w:val="32"/>
        </w:rPr>
        <w:t>措施</w:t>
      </w:r>
      <w:r>
        <w:rPr>
          <w:rFonts w:ascii="仿宋" w:hAnsi="仿宋" w:eastAsia="仿宋" w:cs="仿宋_GB2312"/>
          <w:color w:val="000000"/>
          <w:sz w:val="32"/>
          <w:szCs w:val="32"/>
        </w:rPr>
        <w:t>，</w:t>
      </w:r>
      <w:r>
        <w:rPr>
          <w:rFonts w:hint="eastAsia" w:ascii="仿宋" w:hAnsi="仿宋" w:eastAsia="仿宋" w:cs="仿宋_GB2312"/>
          <w:color w:val="000000"/>
          <w:sz w:val="32"/>
          <w:szCs w:val="32"/>
        </w:rPr>
        <w:t>使地方储备</w:t>
      </w:r>
      <w:r>
        <w:rPr>
          <w:rFonts w:ascii="仿宋" w:hAnsi="仿宋" w:eastAsia="仿宋" w:cs="仿宋_GB2312"/>
          <w:color w:val="000000"/>
          <w:sz w:val="32"/>
          <w:szCs w:val="32"/>
        </w:rPr>
        <w:t>粮</w:t>
      </w:r>
      <w:r>
        <w:rPr>
          <w:rFonts w:hint="eastAsia" w:ascii="仿宋" w:hAnsi="仿宋" w:eastAsia="仿宋" w:cs="仿宋_GB2312"/>
          <w:color w:val="000000"/>
          <w:sz w:val="32"/>
          <w:szCs w:val="32"/>
        </w:rPr>
        <w:t>库存的品质得到了有效保障，减少了毁损浪费</w:t>
      </w:r>
      <w:r>
        <w:rPr>
          <w:rFonts w:ascii="仿宋" w:hAnsi="仿宋" w:eastAsia="仿宋" w:cs="仿宋_GB2312"/>
          <w:color w:val="000000"/>
          <w:sz w:val="32"/>
          <w:szCs w:val="32"/>
        </w:rPr>
        <w:t>。</w:t>
      </w:r>
    </w:p>
    <w:p>
      <w:pPr>
        <w:snapToGrid w:val="0"/>
        <w:spacing w:line="360" w:lineRule="auto"/>
        <w:ind w:firstLine="640" w:firstLineChars="200"/>
        <w:rPr>
          <w:rFonts w:eastAsia="楷体"/>
          <w:sz w:val="32"/>
          <w:szCs w:val="32"/>
        </w:rPr>
      </w:pPr>
      <w:r>
        <w:rPr>
          <w:rFonts w:eastAsia="楷体"/>
          <w:sz w:val="32"/>
          <w:szCs w:val="32"/>
        </w:rPr>
        <w:t>（二）存在的问题及原因</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评价发现，本项目的实施，存在以下问题：</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1、绩效目标管理不规范</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本项目立项和预算资金申报，市军粮公司未进行规范完整的绩效目标申报，提交的自评报告也没有归纳、整理的绩效目标结果，不符合《湖南省预算绩效目标管理办法》第八条“</w:t>
      </w:r>
      <w:r>
        <w:rPr>
          <w:rFonts w:ascii="仿宋" w:hAnsi="仿宋" w:eastAsia="仿宋"/>
          <w:sz w:val="32"/>
          <w:szCs w:val="32"/>
        </w:rPr>
        <w:t>按照</w:t>
      </w:r>
      <w:r>
        <w:rPr>
          <w:rFonts w:hint="eastAsia" w:ascii="仿宋" w:hAnsi="仿宋" w:eastAsia="仿宋"/>
          <w:sz w:val="32"/>
          <w:szCs w:val="32"/>
        </w:rPr>
        <w:t>‘</w:t>
      </w:r>
      <w:r>
        <w:rPr>
          <w:rFonts w:ascii="仿宋" w:hAnsi="仿宋" w:eastAsia="仿宋"/>
          <w:sz w:val="32"/>
          <w:szCs w:val="32"/>
        </w:rPr>
        <w:t>谁申请资金，谁编制目标</w:t>
      </w:r>
      <w:r>
        <w:rPr>
          <w:rFonts w:hint="eastAsia" w:ascii="仿宋" w:hAnsi="仿宋" w:eastAsia="仿宋"/>
          <w:sz w:val="32"/>
          <w:szCs w:val="32"/>
        </w:rPr>
        <w:t>’</w:t>
      </w:r>
      <w:r>
        <w:rPr>
          <w:rFonts w:ascii="仿宋" w:hAnsi="仿宋" w:eastAsia="仿宋"/>
          <w:sz w:val="32"/>
          <w:szCs w:val="32"/>
        </w:rPr>
        <w:t>的原则，绩效目标由预算部门申报预算和项目实施单位申请预算资金时填报</w:t>
      </w:r>
      <w:r>
        <w:rPr>
          <w:rFonts w:hint="eastAsia" w:ascii="仿宋" w:hAnsi="仿宋" w:eastAsia="仿宋"/>
          <w:sz w:val="32"/>
          <w:szCs w:val="32"/>
        </w:rPr>
        <w:t>”的规定，即本项目“增强预算编制的科学性、合理性、规范性，强化预算支出责任”的资金预算申报原则未能得到体现</w:t>
      </w:r>
      <w:r>
        <w:rPr>
          <w:rFonts w:ascii="仿宋" w:hAnsi="仿宋" w:eastAsia="仿宋"/>
          <w:sz w:val="32"/>
          <w:szCs w:val="32"/>
        </w:rPr>
        <w:t>。</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此问题产生的原因是，项目实施单位对预算资金绩效目标管理政策掌握不到位，事前绩效目标规划意识不强。</w:t>
      </w:r>
    </w:p>
    <w:p>
      <w:pPr>
        <w:snapToGrid w:val="0"/>
        <w:spacing w:line="360" w:lineRule="auto"/>
        <w:ind w:firstLine="640" w:firstLineChars="200"/>
        <w:rPr>
          <w:rFonts w:ascii="仿宋" w:hAnsi="仿宋" w:eastAsia="仿宋"/>
          <w:sz w:val="32"/>
          <w:szCs w:val="32"/>
        </w:rPr>
      </w:pPr>
      <w:r>
        <w:rPr>
          <w:rFonts w:hint="eastAsia" w:eastAsia="仿宋"/>
          <w:kern w:val="0"/>
          <w:sz w:val="32"/>
          <w:szCs w:val="32"/>
        </w:rPr>
        <w:t>2、</w:t>
      </w:r>
      <w:r>
        <w:rPr>
          <w:rFonts w:hint="eastAsia" w:ascii="仿宋" w:hAnsi="仿宋" w:eastAsia="仿宋"/>
          <w:sz w:val="32"/>
          <w:szCs w:val="32"/>
        </w:rPr>
        <w:t>专项费用支出核算不明晰</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市军粮公司对本项目专项补贴资金支出的核算，未设置专门的科目进行归集核算，没有将本项目应由专项补贴资金列支的支出（尤其是仓储保管费用）与公司其他业务的费用支出进行分开反映，项目实际支出结果完整性、准确性、可靠性不明晰，不便于对专项资金使用情况的分析、监督和管理。</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此问题产生的原因是，项目实施单位对专项资金支出有关专户专账核算的要求理解不透彻，财务核算管理制度执行不到位。</w:t>
      </w:r>
    </w:p>
    <w:p>
      <w:pPr>
        <w:snapToGrid w:val="0"/>
        <w:spacing w:line="360" w:lineRule="auto"/>
        <w:ind w:firstLine="630"/>
        <w:jc w:val="left"/>
        <w:rPr>
          <w:rFonts w:eastAsia="黑体"/>
          <w:color w:val="313131"/>
          <w:kern w:val="0"/>
          <w:sz w:val="32"/>
          <w:szCs w:val="32"/>
        </w:rPr>
      </w:pPr>
      <w:r>
        <w:rPr>
          <w:rFonts w:eastAsia="黑体"/>
          <w:bCs/>
          <w:color w:val="000000"/>
          <w:kern w:val="0"/>
          <w:sz w:val="32"/>
          <w:szCs w:val="32"/>
        </w:rPr>
        <w:t>六、建议</w:t>
      </w:r>
    </w:p>
    <w:p>
      <w:pPr>
        <w:pStyle w:val="2"/>
        <w:snapToGrid w:val="0"/>
        <w:spacing w:line="360" w:lineRule="auto"/>
        <w:ind w:firstLine="640" w:firstLineChars="200"/>
        <w:contextualSpacing/>
        <w:rPr>
          <w:rFonts w:ascii="Times New Roman" w:hAnsi="Times New Roman" w:eastAsia="仿宋" w:cs="Times New Roman"/>
          <w:sz w:val="32"/>
          <w:szCs w:val="32"/>
          <w:lang w:eastAsia="zh-CN"/>
        </w:rPr>
      </w:pPr>
      <w:r>
        <w:rPr>
          <w:rFonts w:ascii="仿宋" w:hAnsi="仿宋" w:eastAsia="仿宋" w:cs="Times New Roman"/>
          <w:sz w:val="32"/>
          <w:szCs w:val="32"/>
          <w:lang w:eastAsia="zh-CN"/>
        </w:rPr>
        <w:t>1、</w:t>
      </w:r>
      <w:r>
        <w:rPr>
          <w:rFonts w:hint="eastAsia" w:ascii="仿宋" w:hAnsi="仿宋" w:eastAsia="仿宋" w:cs="Times New Roman"/>
          <w:sz w:val="32"/>
          <w:szCs w:val="32"/>
          <w:lang w:eastAsia="zh-CN"/>
        </w:rPr>
        <w:t>完善</w:t>
      </w:r>
      <w:r>
        <w:rPr>
          <w:rFonts w:ascii="Times New Roman" w:hAnsi="Times New Roman" w:eastAsia="仿宋" w:cs="Times New Roman"/>
          <w:sz w:val="32"/>
          <w:szCs w:val="32"/>
          <w:lang w:eastAsia="zh-CN"/>
        </w:rPr>
        <w:t>项目绩效管理</w:t>
      </w:r>
      <w:r>
        <w:rPr>
          <w:rFonts w:hint="eastAsia" w:ascii="Times New Roman" w:hAnsi="Times New Roman" w:eastAsia="仿宋" w:cs="Times New Roman"/>
          <w:sz w:val="32"/>
          <w:szCs w:val="32"/>
          <w:lang w:eastAsia="zh-CN"/>
        </w:rPr>
        <w:t>工作，强化绩效目标责任</w:t>
      </w:r>
      <w:r>
        <w:rPr>
          <w:rFonts w:ascii="Times New Roman" w:hAnsi="Times New Roman" w:eastAsia="仿宋" w:cs="Times New Roman"/>
          <w:sz w:val="32"/>
          <w:szCs w:val="32"/>
          <w:lang w:eastAsia="zh-CN"/>
        </w:rPr>
        <w:t>。制定指向明确、具体细化和合理可行的总体绩效目标和具体绩效目标。</w:t>
      </w:r>
      <w:r>
        <w:rPr>
          <w:rFonts w:hint="eastAsia" w:ascii="Times New Roman" w:hAnsi="Times New Roman" w:eastAsia="仿宋" w:cs="Times New Roman"/>
          <w:sz w:val="32"/>
          <w:szCs w:val="32"/>
          <w:lang w:eastAsia="zh-CN"/>
        </w:rPr>
        <w:t>如申报项目资金预算时，应明确本年度轮换规模、轮换收购价格标准、轮换销售价差损失和正常损耗控制目标、仓储保管与轮换费用预算、以及粮食储备品质保障水平等绩效目标，</w:t>
      </w:r>
      <w:r>
        <w:rPr>
          <w:rFonts w:ascii="Times New Roman" w:hAnsi="Times New Roman" w:eastAsia="仿宋" w:cs="Times New Roman"/>
          <w:sz w:val="32"/>
          <w:szCs w:val="32"/>
          <w:lang w:eastAsia="zh-CN"/>
        </w:rPr>
        <w:t>增强预算编制的科学性、合理性、规范性，强化预算支出责任，提高财政资源配置效率和资金使用效益的目标。</w:t>
      </w:r>
    </w:p>
    <w:p>
      <w:pPr>
        <w:pStyle w:val="2"/>
        <w:snapToGrid w:val="0"/>
        <w:spacing w:line="360" w:lineRule="auto"/>
        <w:ind w:firstLine="640" w:firstLineChars="200"/>
        <w:contextualSpacing/>
        <w:rPr>
          <w:rFonts w:ascii="Times New Roman" w:hAnsi="Times New Roman" w:eastAsia="仿宋" w:cs="Times New Roman"/>
          <w:sz w:val="32"/>
          <w:szCs w:val="32"/>
          <w:lang w:eastAsia="zh-CN"/>
        </w:rPr>
      </w:pPr>
      <w:r>
        <w:rPr>
          <w:rFonts w:hint="eastAsia" w:ascii="Times New Roman" w:hAnsi="Times New Roman" w:eastAsia="仿宋" w:cs="Times New Roman"/>
          <w:sz w:val="32"/>
          <w:szCs w:val="32"/>
          <w:lang w:eastAsia="zh-CN"/>
        </w:rPr>
        <w:t>2、严格遵守专项资金核算管理的相关规定，建立健全规范的专户核算制度体系，确保及时、完整、准确反映专项资金支出结果。</w:t>
      </w:r>
    </w:p>
    <w:p>
      <w:pPr>
        <w:pStyle w:val="2"/>
        <w:snapToGrid w:val="0"/>
        <w:spacing w:line="360" w:lineRule="auto"/>
        <w:ind w:firstLine="640" w:firstLineChars="200"/>
        <w:contextualSpacing/>
        <w:rPr>
          <w:rFonts w:ascii="仿宋" w:hAnsi="仿宋" w:eastAsia="仿宋" w:cs="Times New Roman"/>
          <w:sz w:val="32"/>
          <w:szCs w:val="32"/>
          <w:lang w:eastAsia="zh-CN"/>
        </w:rPr>
      </w:pPr>
      <w:r>
        <w:rPr>
          <w:rFonts w:hint="eastAsia" w:ascii="Times New Roman" w:hAnsi="Times New Roman" w:eastAsia="仿宋" w:cs="Times New Roman"/>
          <w:sz w:val="32"/>
          <w:szCs w:val="32"/>
          <w:lang w:eastAsia="zh-CN"/>
        </w:rPr>
        <w:t>3、</w:t>
      </w:r>
      <w:r>
        <w:rPr>
          <w:rFonts w:hint="eastAsia" w:ascii="仿宋" w:hAnsi="仿宋" w:eastAsia="仿宋"/>
          <w:sz w:val="32"/>
          <w:szCs w:val="32"/>
          <w:lang w:eastAsia="zh-CN"/>
        </w:rPr>
        <w:t>对于</w:t>
      </w:r>
      <w:r>
        <w:rPr>
          <w:rFonts w:hint="eastAsia" w:ascii="Times New Roman" w:hAnsi="Times New Roman" w:eastAsia="仿宋" w:cs="Times New Roman"/>
          <w:kern w:val="2"/>
          <w:sz w:val="32"/>
          <w:szCs w:val="32"/>
          <w:lang w:eastAsia="zh-CN"/>
        </w:rPr>
        <w:t>津市农业发展银行按政策退回的已收利息1.49万元，</w:t>
      </w:r>
      <w:r>
        <w:rPr>
          <w:rFonts w:hint="eastAsia" w:ascii="仿宋" w:hAnsi="仿宋" w:eastAsia="仿宋"/>
          <w:sz w:val="32"/>
          <w:szCs w:val="32"/>
          <w:lang w:eastAsia="zh-CN"/>
        </w:rPr>
        <w:t>建议市财政责成市军粮公司缴回市财政粮食风险基金专户。</w:t>
      </w:r>
    </w:p>
    <w:p>
      <w:pPr>
        <w:spacing w:line="360" w:lineRule="auto"/>
        <w:ind w:firstLine="640" w:firstLineChars="200"/>
        <w:rPr>
          <w:rFonts w:eastAsia="仿宋"/>
          <w:sz w:val="32"/>
          <w:szCs w:val="32"/>
        </w:rPr>
      </w:pPr>
    </w:p>
    <w:p>
      <w:pPr>
        <w:spacing w:line="360" w:lineRule="auto"/>
        <w:ind w:firstLine="640" w:firstLineChars="200"/>
        <w:rPr>
          <w:sz w:val="28"/>
          <w:szCs w:val="28"/>
        </w:rPr>
      </w:pPr>
      <w:r>
        <w:rPr>
          <w:rFonts w:eastAsia="仿宋"/>
          <w:sz w:val="32"/>
          <w:szCs w:val="32"/>
        </w:rPr>
        <w:t>附件：</w:t>
      </w:r>
    </w:p>
    <w:p>
      <w:pPr>
        <w:spacing w:line="360" w:lineRule="auto"/>
        <w:ind w:firstLine="640" w:firstLineChars="200"/>
        <w:rPr>
          <w:rFonts w:eastAsia="仿宋"/>
          <w:sz w:val="32"/>
          <w:szCs w:val="32"/>
        </w:rPr>
      </w:pPr>
      <w:r>
        <w:rPr>
          <w:rFonts w:eastAsia="仿宋"/>
          <w:sz w:val="32"/>
          <w:szCs w:val="32"/>
        </w:rPr>
        <w:t>1</w:t>
      </w:r>
      <w:r>
        <w:rPr>
          <w:rFonts w:hint="eastAsia" w:eastAsia="仿宋"/>
          <w:sz w:val="32"/>
          <w:szCs w:val="32"/>
        </w:rPr>
        <w:t>、</w:t>
      </w:r>
      <w:r>
        <w:rPr>
          <w:rFonts w:eastAsia="仿宋"/>
          <w:sz w:val="32"/>
          <w:szCs w:val="32"/>
        </w:rPr>
        <w:t>2</w:t>
      </w:r>
      <w:bookmarkStart w:id="27" w:name="_Hlk82287931"/>
      <w:r>
        <w:rPr>
          <w:rFonts w:eastAsia="仿宋"/>
          <w:sz w:val="32"/>
          <w:szCs w:val="32"/>
        </w:rPr>
        <w:t>02</w:t>
      </w:r>
      <w:r>
        <w:rPr>
          <w:rFonts w:hint="eastAsia" w:eastAsia="仿宋"/>
          <w:sz w:val="32"/>
          <w:szCs w:val="32"/>
        </w:rPr>
        <w:t>1</w:t>
      </w:r>
      <w:r>
        <w:rPr>
          <w:rFonts w:eastAsia="仿宋"/>
          <w:sz w:val="32"/>
          <w:szCs w:val="32"/>
        </w:rPr>
        <w:t>年度</w:t>
      </w:r>
      <w:bookmarkStart w:id="28" w:name="_Hlk101982803"/>
      <w:r>
        <w:rPr>
          <w:rFonts w:eastAsia="仿宋"/>
          <w:sz w:val="32"/>
          <w:szCs w:val="32"/>
        </w:rPr>
        <w:t>津市市地方储备粮补贴专项资金绩效评价</w:t>
      </w:r>
      <w:bookmarkEnd w:id="28"/>
      <w:r>
        <w:rPr>
          <w:rFonts w:eastAsia="仿宋"/>
          <w:sz w:val="32"/>
          <w:szCs w:val="32"/>
        </w:rPr>
        <w:t>指标评分表</w:t>
      </w:r>
      <w:bookmarkEnd w:id="27"/>
    </w:p>
    <w:p>
      <w:pPr>
        <w:spacing w:line="360" w:lineRule="auto"/>
        <w:ind w:firstLine="640" w:firstLineChars="200"/>
        <w:rPr>
          <w:rFonts w:eastAsia="仿宋"/>
          <w:sz w:val="32"/>
          <w:szCs w:val="32"/>
        </w:rPr>
      </w:pPr>
      <w:r>
        <w:rPr>
          <w:rFonts w:eastAsia="仿宋"/>
          <w:sz w:val="32"/>
          <w:szCs w:val="32"/>
        </w:rPr>
        <w:t>2</w:t>
      </w:r>
      <w:r>
        <w:rPr>
          <w:rFonts w:hint="eastAsia" w:eastAsia="仿宋"/>
          <w:sz w:val="32"/>
          <w:szCs w:val="32"/>
        </w:rPr>
        <w:t>、2021年度津市市地方储备粮补贴专项资金绩效评价满意度社会调查问卷</w:t>
      </w:r>
    </w:p>
    <w:p>
      <w:pPr>
        <w:widowControl/>
        <w:ind w:firstLine="640"/>
        <w:rPr>
          <w:rFonts w:eastAsia="仿宋"/>
          <w:sz w:val="32"/>
          <w:szCs w:val="32"/>
        </w:rPr>
      </w:pPr>
      <w:r>
        <w:rPr>
          <w:rFonts w:hint="eastAsia" w:eastAsia="仿宋"/>
          <w:sz w:val="32"/>
          <w:szCs w:val="32"/>
        </w:rPr>
        <w:t>3、2021年度津市市县级储备粮贷款利息支出明细表</w:t>
      </w:r>
    </w:p>
    <w:p>
      <w:pPr>
        <w:widowControl/>
        <w:ind w:firstLine="640"/>
        <w:rPr>
          <w:rFonts w:eastAsia="仿宋"/>
          <w:sz w:val="32"/>
          <w:szCs w:val="32"/>
        </w:rPr>
      </w:pPr>
      <w:r>
        <w:rPr>
          <w:rFonts w:eastAsia="仿宋"/>
          <w:sz w:val="32"/>
          <w:szCs w:val="32"/>
        </w:rPr>
        <w:t>4</w:t>
      </w:r>
      <w:r>
        <w:rPr>
          <w:rFonts w:hint="eastAsia" w:eastAsia="仿宋"/>
          <w:sz w:val="32"/>
          <w:szCs w:val="32"/>
        </w:rPr>
        <w:t>、2021年2200吨中晚稻收购情况明细表</w:t>
      </w:r>
    </w:p>
    <w:p>
      <w:pPr>
        <w:widowControl/>
        <w:ind w:firstLine="640"/>
        <w:rPr>
          <w:rFonts w:eastAsia="仿宋"/>
          <w:sz w:val="32"/>
          <w:szCs w:val="32"/>
        </w:rPr>
      </w:pPr>
      <w:r>
        <w:rPr>
          <w:rFonts w:eastAsia="仿宋"/>
          <w:sz w:val="32"/>
          <w:szCs w:val="32"/>
        </w:rPr>
        <w:t>5</w:t>
      </w:r>
      <w:r>
        <w:rPr>
          <w:rFonts w:hint="eastAsia" w:eastAsia="仿宋"/>
          <w:sz w:val="32"/>
          <w:szCs w:val="32"/>
        </w:rPr>
        <w:t>、2018年2200吨中晚稻收购情况明细表</w:t>
      </w:r>
    </w:p>
    <w:p>
      <w:pPr>
        <w:spacing w:line="360" w:lineRule="auto"/>
        <w:ind w:firstLine="640" w:firstLineChars="200"/>
        <w:jc w:val="right"/>
        <w:rPr>
          <w:rFonts w:eastAsia="仿宋"/>
          <w:sz w:val="32"/>
          <w:szCs w:val="32"/>
        </w:rPr>
      </w:pPr>
    </w:p>
    <w:p>
      <w:pPr>
        <w:spacing w:line="360" w:lineRule="auto"/>
        <w:ind w:firstLine="640" w:firstLineChars="200"/>
        <w:jc w:val="right"/>
        <w:rPr>
          <w:rFonts w:eastAsia="仿宋"/>
          <w:sz w:val="32"/>
          <w:szCs w:val="32"/>
        </w:rPr>
      </w:pPr>
      <w:r>
        <w:rPr>
          <w:rFonts w:hint="eastAsia" w:eastAsia="仿宋"/>
          <w:sz w:val="32"/>
          <w:szCs w:val="32"/>
        </w:rPr>
        <w:t xml:space="preserve">  </w:t>
      </w:r>
      <w:r>
        <w:rPr>
          <w:rFonts w:eastAsia="仿宋"/>
          <w:sz w:val="32"/>
          <w:szCs w:val="32"/>
        </w:rPr>
        <w:t>湖南源涛联合会计师事务所（普通合伙）</w:t>
      </w:r>
    </w:p>
    <w:p>
      <w:pPr>
        <w:spacing w:line="360" w:lineRule="auto"/>
        <w:ind w:right="1280" w:firstLine="640" w:firstLineChars="200"/>
        <w:jc w:val="right"/>
        <w:rPr>
          <w:rFonts w:eastAsia="仿宋"/>
          <w:sz w:val="32"/>
          <w:szCs w:val="32"/>
        </w:rPr>
        <w:sectPr>
          <w:footerReference r:id="rId3" w:type="default"/>
          <w:pgSz w:w="11906" w:h="16838"/>
          <w:pgMar w:top="1440" w:right="1800" w:bottom="1440" w:left="1800" w:header="851" w:footer="992" w:gutter="0"/>
          <w:cols w:space="425" w:num="1"/>
          <w:docGrid w:type="lines" w:linePitch="312" w:charSpace="0"/>
        </w:sectPr>
      </w:pPr>
      <w:r>
        <w:rPr>
          <w:rFonts w:eastAsia="仿宋"/>
          <w:sz w:val="32"/>
          <w:szCs w:val="32"/>
        </w:rPr>
        <w:t>202</w:t>
      </w:r>
      <w:r>
        <w:rPr>
          <w:rFonts w:hint="eastAsia" w:eastAsia="仿宋"/>
          <w:sz w:val="32"/>
          <w:szCs w:val="32"/>
        </w:rPr>
        <w:t>2</w:t>
      </w:r>
      <w:r>
        <w:rPr>
          <w:rFonts w:eastAsia="仿宋"/>
          <w:sz w:val="32"/>
          <w:szCs w:val="32"/>
        </w:rPr>
        <w:t>年</w:t>
      </w:r>
      <w:r>
        <w:rPr>
          <w:rFonts w:hint="eastAsia" w:eastAsia="仿宋"/>
          <w:sz w:val="32"/>
          <w:szCs w:val="32"/>
        </w:rPr>
        <w:t>6</w:t>
      </w:r>
      <w:r>
        <w:rPr>
          <w:rFonts w:eastAsia="仿宋"/>
          <w:sz w:val="32"/>
          <w:szCs w:val="32"/>
        </w:rPr>
        <w:t>月1</w:t>
      </w:r>
      <w:r>
        <w:rPr>
          <w:rFonts w:hint="eastAsia" w:eastAsia="仿宋"/>
          <w:sz w:val="32"/>
          <w:szCs w:val="32"/>
        </w:rPr>
        <w:t>日</w:t>
      </w:r>
    </w:p>
    <w:p>
      <w:pPr>
        <w:spacing w:line="360" w:lineRule="auto"/>
        <w:jc w:val="center"/>
        <w:rPr>
          <w:sz w:val="28"/>
          <w:szCs w:val="28"/>
        </w:rPr>
      </w:pPr>
      <w:r>
        <w:rPr>
          <w:sz w:val="32"/>
          <w:szCs w:val="32"/>
        </w:rPr>
        <w:t>附件</w:t>
      </w:r>
      <w:r>
        <w:rPr>
          <w:rFonts w:hint="eastAsia"/>
          <w:sz w:val="32"/>
          <w:szCs w:val="32"/>
        </w:rPr>
        <w:t>1</w:t>
      </w:r>
      <w:r>
        <w:rPr>
          <w:sz w:val="32"/>
          <w:szCs w:val="32"/>
        </w:rPr>
        <w:t>：202</w:t>
      </w:r>
      <w:r>
        <w:rPr>
          <w:rFonts w:hint="eastAsia"/>
          <w:sz w:val="32"/>
          <w:szCs w:val="32"/>
        </w:rPr>
        <w:t>1</w:t>
      </w:r>
      <w:r>
        <w:rPr>
          <w:sz w:val="32"/>
          <w:szCs w:val="32"/>
        </w:rPr>
        <w:t>年度津市市地方储备粮补贴专项</w:t>
      </w:r>
      <w:r>
        <w:rPr>
          <w:rFonts w:hint="eastAsia"/>
          <w:sz w:val="32"/>
          <w:szCs w:val="32"/>
        </w:rPr>
        <w:t>资金绩效</w:t>
      </w:r>
      <w:r>
        <w:rPr>
          <w:sz w:val="32"/>
          <w:szCs w:val="32"/>
        </w:rPr>
        <w:t>评价指标评分表</w:t>
      </w:r>
    </w:p>
    <w:tbl>
      <w:tblPr>
        <w:tblStyle w:val="6"/>
        <w:tblW w:w="15160" w:type="dxa"/>
        <w:jc w:val="center"/>
        <w:tblInd w:w="0" w:type="dxa"/>
        <w:tblLayout w:type="fixed"/>
        <w:tblCellMar>
          <w:top w:w="0" w:type="dxa"/>
          <w:left w:w="108" w:type="dxa"/>
          <w:bottom w:w="0" w:type="dxa"/>
          <w:right w:w="108" w:type="dxa"/>
        </w:tblCellMar>
      </w:tblPr>
      <w:tblGrid>
        <w:gridCol w:w="727"/>
        <w:gridCol w:w="566"/>
        <w:gridCol w:w="705"/>
        <w:gridCol w:w="566"/>
        <w:gridCol w:w="704"/>
        <w:gridCol w:w="566"/>
        <w:gridCol w:w="4491"/>
        <w:gridCol w:w="2880"/>
        <w:gridCol w:w="2720"/>
        <w:gridCol w:w="558"/>
        <w:gridCol w:w="677"/>
      </w:tblGrid>
      <w:tr>
        <w:tblPrEx>
          <w:tblLayout w:type="fixed"/>
          <w:tblCellMar>
            <w:top w:w="0" w:type="dxa"/>
            <w:left w:w="108" w:type="dxa"/>
            <w:bottom w:w="0" w:type="dxa"/>
            <w:right w:w="108" w:type="dxa"/>
          </w:tblCellMar>
        </w:tblPrEx>
        <w:trPr>
          <w:gridAfter w:val="1"/>
          <w:wAfter w:w="677" w:type="dxa"/>
          <w:trHeight w:val="278" w:hRule="atLeast"/>
          <w:tblHeader/>
          <w:jc w:val="center"/>
        </w:trPr>
        <w:tc>
          <w:tcPr>
            <w:tcW w:w="7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一级指标</w:t>
            </w:r>
          </w:p>
        </w:tc>
        <w:tc>
          <w:tcPr>
            <w:tcW w:w="566"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分值</w:t>
            </w:r>
          </w:p>
        </w:tc>
        <w:tc>
          <w:tcPr>
            <w:tcW w:w="705"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二级指标</w:t>
            </w:r>
          </w:p>
        </w:tc>
        <w:tc>
          <w:tcPr>
            <w:tcW w:w="566"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分值</w:t>
            </w:r>
          </w:p>
        </w:tc>
        <w:tc>
          <w:tcPr>
            <w:tcW w:w="704"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三级指标</w:t>
            </w:r>
          </w:p>
        </w:tc>
        <w:tc>
          <w:tcPr>
            <w:tcW w:w="566"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分值</w:t>
            </w:r>
          </w:p>
        </w:tc>
        <w:tc>
          <w:tcPr>
            <w:tcW w:w="4491"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评分依据</w:t>
            </w:r>
          </w:p>
        </w:tc>
        <w:tc>
          <w:tcPr>
            <w:tcW w:w="2880"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评价标准</w:t>
            </w:r>
          </w:p>
        </w:tc>
        <w:tc>
          <w:tcPr>
            <w:tcW w:w="2720"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扣分理由</w:t>
            </w:r>
          </w:p>
        </w:tc>
        <w:tc>
          <w:tcPr>
            <w:tcW w:w="558"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得分</w:t>
            </w:r>
          </w:p>
        </w:tc>
      </w:tr>
      <w:tr>
        <w:tblPrEx>
          <w:tblLayout w:type="fixed"/>
          <w:tblCellMar>
            <w:top w:w="0" w:type="dxa"/>
            <w:left w:w="108" w:type="dxa"/>
            <w:bottom w:w="0" w:type="dxa"/>
            <w:right w:w="108" w:type="dxa"/>
          </w:tblCellMar>
        </w:tblPrEx>
        <w:trPr>
          <w:gridAfter w:val="1"/>
          <w:wAfter w:w="677" w:type="dxa"/>
          <w:trHeight w:val="1320" w:hRule="atLeast"/>
          <w:jc w:val="center"/>
        </w:trPr>
        <w:tc>
          <w:tcPr>
            <w:tcW w:w="7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项目决策</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15</w:t>
            </w:r>
          </w:p>
        </w:tc>
        <w:tc>
          <w:tcPr>
            <w:tcW w:w="705"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项目目标</w:t>
            </w:r>
          </w:p>
        </w:tc>
        <w:tc>
          <w:tcPr>
            <w:tcW w:w="5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4</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目标内容</w:t>
            </w:r>
          </w:p>
        </w:tc>
        <w:tc>
          <w:tcPr>
            <w:tcW w:w="5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4</w:t>
            </w:r>
          </w:p>
        </w:tc>
        <w:tc>
          <w:tcPr>
            <w:tcW w:w="4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绩效目标申报表</w:t>
            </w:r>
          </w:p>
        </w:tc>
        <w:tc>
          <w:tcPr>
            <w:tcW w:w="288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目标预算与文件规定相符（1分）；目标明确（1分）；目标细化（1分）；目标量化（1分）。</w:t>
            </w:r>
          </w:p>
        </w:tc>
        <w:tc>
          <w:tcPr>
            <w:tcW w:w="272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项目和预算资金申报，无明晰的绩效目标管理资料，</w:t>
            </w:r>
            <w:r>
              <w:rPr>
                <w:rFonts w:hint="eastAsia"/>
                <w:color w:val="000000"/>
                <w:kern w:val="0"/>
                <w:sz w:val="18"/>
                <w:szCs w:val="18"/>
              </w:rPr>
              <w:t>扣</w:t>
            </w:r>
            <w:r>
              <w:rPr>
                <w:color w:val="000000"/>
                <w:kern w:val="0"/>
                <w:sz w:val="18"/>
                <w:szCs w:val="18"/>
              </w:rPr>
              <w:t>2分。</w:t>
            </w:r>
          </w:p>
        </w:tc>
        <w:tc>
          <w:tcPr>
            <w:tcW w:w="558"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w:t>
            </w:r>
          </w:p>
        </w:tc>
      </w:tr>
      <w:tr>
        <w:tblPrEx>
          <w:tblLayout w:type="fixed"/>
          <w:tblCellMar>
            <w:top w:w="0" w:type="dxa"/>
            <w:left w:w="108" w:type="dxa"/>
            <w:bottom w:w="0" w:type="dxa"/>
            <w:right w:w="108" w:type="dxa"/>
          </w:tblCellMar>
        </w:tblPrEx>
        <w:trPr>
          <w:gridAfter w:val="1"/>
          <w:wAfter w:w="677" w:type="dxa"/>
          <w:trHeight w:val="1710"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决策过程</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5</w:t>
            </w:r>
          </w:p>
        </w:tc>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决策依据</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3</w:t>
            </w:r>
          </w:p>
        </w:tc>
        <w:tc>
          <w:tcPr>
            <w:tcW w:w="4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《湖南省地方储备粮管理办法》（2010年2月11日湖南省人民政府令第248号）；</w:t>
            </w:r>
          </w:p>
          <w:p>
            <w:pPr>
              <w:widowControl/>
              <w:jc w:val="left"/>
              <w:rPr>
                <w:color w:val="000000"/>
                <w:kern w:val="0"/>
                <w:sz w:val="18"/>
                <w:szCs w:val="18"/>
              </w:rPr>
            </w:pPr>
            <w:r>
              <w:rPr>
                <w:color w:val="000000"/>
                <w:kern w:val="0"/>
                <w:sz w:val="18"/>
                <w:szCs w:val="18"/>
              </w:rPr>
              <w:t>《津市市人民代表大会常务委员会关于继续实施市级储备粮制度的决定》（津人常[2016]29号）；</w:t>
            </w:r>
          </w:p>
          <w:p>
            <w:pPr>
              <w:widowControl/>
              <w:jc w:val="left"/>
              <w:rPr>
                <w:color w:val="000000"/>
                <w:kern w:val="0"/>
                <w:sz w:val="18"/>
                <w:szCs w:val="18"/>
              </w:rPr>
            </w:pPr>
            <w:r>
              <w:rPr>
                <w:color w:val="000000"/>
                <w:kern w:val="0"/>
                <w:sz w:val="18"/>
                <w:szCs w:val="18"/>
              </w:rPr>
              <w:t>《津市市人民政府关于印发</w:t>
            </w:r>
            <w:r>
              <w:rPr>
                <w:rFonts w:hint="eastAsia"/>
                <w:color w:val="000000"/>
                <w:kern w:val="0"/>
                <w:sz w:val="18"/>
                <w:szCs w:val="18"/>
              </w:rPr>
              <w:t>&lt;</w:t>
            </w:r>
            <w:r>
              <w:rPr>
                <w:color w:val="000000"/>
                <w:kern w:val="0"/>
                <w:sz w:val="18"/>
                <w:szCs w:val="18"/>
              </w:rPr>
              <w:t>津市市地方储备粮管理办法</w:t>
            </w:r>
            <w:r>
              <w:rPr>
                <w:rFonts w:hint="eastAsia"/>
                <w:color w:val="000000"/>
                <w:kern w:val="0"/>
                <w:sz w:val="18"/>
                <w:szCs w:val="18"/>
              </w:rPr>
              <w:t>&gt;</w:t>
            </w:r>
            <w:r>
              <w:rPr>
                <w:color w:val="000000"/>
                <w:kern w:val="0"/>
                <w:sz w:val="18"/>
                <w:szCs w:val="18"/>
              </w:rPr>
              <w:t>的通知》（津政发[2016]31号）</w:t>
            </w:r>
          </w:p>
        </w:tc>
        <w:tc>
          <w:tcPr>
            <w:tcW w:w="2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符合法律法规（1分）；符合社会稳定和发展需要（1分)</w:t>
            </w:r>
            <w:r>
              <w:rPr>
                <w:rFonts w:hint="eastAsia"/>
                <w:color w:val="000000"/>
                <w:kern w:val="0"/>
                <w:sz w:val="18"/>
                <w:szCs w:val="18"/>
              </w:rPr>
              <w:t>；</w:t>
            </w:r>
          </w:p>
          <w:p>
            <w:pPr>
              <w:widowControl/>
              <w:jc w:val="left"/>
              <w:rPr>
                <w:color w:val="000000"/>
                <w:kern w:val="0"/>
                <w:sz w:val="18"/>
                <w:szCs w:val="18"/>
              </w:rPr>
            </w:pPr>
            <w:r>
              <w:rPr>
                <w:rFonts w:hint="eastAsia"/>
                <w:color w:val="000000"/>
                <w:kern w:val="0"/>
                <w:sz w:val="18"/>
                <w:szCs w:val="18"/>
              </w:rPr>
              <w:t>符合单位年度计划</w:t>
            </w:r>
            <w:r>
              <w:rPr>
                <w:color w:val="000000"/>
                <w:kern w:val="0"/>
                <w:sz w:val="18"/>
                <w:szCs w:val="18"/>
              </w:rPr>
              <w:t>（1分)</w:t>
            </w:r>
            <w:r>
              <w:rPr>
                <w:rFonts w:hint="eastAsia"/>
                <w:color w:val="000000"/>
                <w:kern w:val="0"/>
                <w:sz w:val="18"/>
                <w:szCs w:val="18"/>
              </w:rPr>
              <w:t>。</w:t>
            </w:r>
          </w:p>
        </w:tc>
        <w:tc>
          <w:tcPr>
            <w:tcW w:w="2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FF0000"/>
                <w:kern w:val="0"/>
                <w:sz w:val="18"/>
                <w:szCs w:val="18"/>
              </w:rPr>
            </w:pPr>
            <w:r>
              <w:rPr>
                <w:kern w:val="0"/>
                <w:sz w:val="18"/>
                <w:szCs w:val="18"/>
              </w:rPr>
              <w:t>决策依据合规。</w:t>
            </w:r>
          </w:p>
        </w:tc>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3</w:t>
            </w:r>
          </w:p>
        </w:tc>
      </w:tr>
      <w:tr>
        <w:tblPrEx>
          <w:tblLayout w:type="fixed"/>
          <w:tblCellMar>
            <w:top w:w="0" w:type="dxa"/>
            <w:left w:w="108" w:type="dxa"/>
            <w:bottom w:w="0" w:type="dxa"/>
            <w:right w:w="108" w:type="dxa"/>
          </w:tblCellMar>
        </w:tblPrEx>
        <w:trPr>
          <w:trHeight w:val="90"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4491"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88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720" w:type="dxa"/>
            <w:vMerge w:val="continue"/>
            <w:tcBorders>
              <w:top w:val="nil"/>
              <w:left w:val="single" w:color="auto" w:sz="4" w:space="0"/>
              <w:bottom w:val="single" w:color="auto" w:sz="4" w:space="0"/>
              <w:right w:val="single" w:color="auto" w:sz="4" w:space="0"/>
            </w:tcBorders>
            <w:vAlign w:val="center"/>
          </w:tcPr>
          <w:p>
            <w:pPr>
              <w:widowControl/>
              <w:jc w:val="left"/>
              <w:rPr>
                <w:color w:val="FF0000"/>
                <w:kern w:val="0"/>
                <w:sz w:val="18"/>
                <w:szCs w:val="18"/>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7" w:type="dxa"/>
            <w:tcBorders>
              <w:top w:val="nil"/>
              <w:left w:val="nil"/>
              <w:bottom w:val="nil"/>
              <w:right w:val="nil"/>
            </w:tcBorders>
            <w:shd w:val="clear" w:color="auto" w:fill="auto"/>
            <w:noWrap/>
            <w:vAlign w:val="bottom"/>
          </w:tcPr>
          <w:p>
            <w:pPr>
              <w:widowControl/>
              <w:jc w:val="center"/>
              <w:rPr>
                <w:color w:val="000000"/>
                <w:kern w:val="0"/>
                <w:sz w:val="18"/>
                <w:szCs w:val="18"/>
              </w:rPr>
            </w:pPr>
          </w:p>
        </w:tc>
      </w:tr>
      <w:tr>
        <w:tblPrEx>
          <w:tblLayout w:type="fixed"/>
          <w:tblCellMar>
            <w:top w:w="0" w:type="dxa"/>
            <w:left w:w="108" w:type="dxa"/>
            <w:bottom w:w="0" w:type="dxa"/>
            <w:right w:w="108" w:type="dxa"/>
          </w:tblCellMar>
        </w:tblPrEx>
        <w:trPr>
          <w:trHeight w:val="767"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决策程序</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w:t>
            </w:r>
          </w:p>
        </w:tc>
        <w:tc>
          <w:tcPr>
            <w:tcW w:w="4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项目符合上述文件规定</w:t>
            </w:r>
          </w:p>
        </w:tc>
        <w:tc>
          <w:tcPr>
            <w:tcW w:w="2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项目符合申报条件（1分）；申报、批复、调整程序符合相关管理办法（1分）。</w:t>
            </w:r>
          </w:p>
        </w:tc>
        <w:tc>
          <w:tcPr>
            <w:tcW w:w="2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kern w:val="0"/>
                <w:sz w:val="18"/>
                <w:szCs w:val="18"/>
              </w:rPr>
            </w:pPr>
            <w:r>
              <w:rPr>
                <w:kern w:val="0"/>
                <w:sz w:val="18"/>
                <w:szCs w:val="18"/>
              </w:rPr>
              <w:t>决策程序合规。</w:t>
            </w:r>
          </w:p>
        </w:tc>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w:t>
            </w:r>
          </w:p>
        </w:tc>
        <w:tc>
          <w:tcPr>
            <w:tcW w:w="677" w:type="dxa"/>
            <w:vAlign w:val="center"/>
          </w:tcPr>
          <w:p>
            <w:pPr>
              <w:widowControl/>
              <w:jc w:val="left"/>
              <w:rPr>
                <w:rFonts w:eastAsia="Times New Roman"/>
                <w:kern w:val="0"/>
                <w:sz w:val="18"/>
                <w:szCs w:val="18"/>
              </w:rPr>
            </w:pPr>
          </w:p>
        </w:tc>
      </w:tr>
      <w:tr>
        <w:tblPrEx>
          <w:tblLayout w:type="fixed"/>
          <w:tblCellMar>
            <w:top w:w="0" w:type="dxa"/>
            <w:left w:w="108" w:type="dxa"/>
            <w:bottom w:w="0" w:type="dxa"/>
            <w:right w:w="108" w:type="dxa"/>
          </w:tblCellMar>
        </w:tblPrEx>
        <w:trPr>
          <w:trHeight w:val="278"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4491"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88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720" w:type="dxa"/>
            <w:vMerge w:val="continue"/>
            <w:tcBorders>
              <w:top w:val="nil"/>
              <w:left w:val="single" w:color="auto" w:sz="4" w:space="0"/>
              <w:bottom w:val="single" w:color="auto" w:sz="4" w:space="0"/>
              <w:right w:val="single" w:color="auto" w:sz="4" w:space="0"/>
            </w:tcBorders>
            <w:vAlign w:val="center"/>
          </w:tcPr>
          <w:p>
            <w:pPr>
              <w:widowControl/>
              <w:jc w:val="left"/>
              <w:rPr>
                <w:rFonts w:eastAsia="等线"/>
                <w:color w:val="FF0000"/>
                <w:kern w:val="0"/>
                <w:sz w:val="18"/>
                <w:szCs w:val="18"/>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7" w:type="dxa"/>
            <w:tcBorders>
              <w:top w:val="nil"/>
              <w:left w:val="nil"/>
              <w:bottom w:val="nil"/>
              <w:right w:val="nil"/>
            </w:tcBorders>
            <w:shd w:val="clear" w:color="auto" w:fill="auto"/>
            <w:noWrap/>
            <w:vAlign w:val="bottom"/>
          </w:tcPr>
          <w:p>
            <w:pPr>
              <w:widowControl/>
              <w:jc w:val="center"/>
              <w:rPr>
                <w:color w:val="000000"/>
                <w:kern w:val="0"/>
                <w:sz w:val="18"/>
                <w:szCs w:val="18"/>
              </w:rPr>
            </w:pPr>
          </w:p>
        </w:tc>
      </w:tr>
      <w:tr>
        <w:tblPrEx>
          <w:tblLayout w:type="fixed"/>
          <w:tblCellMar>
            <w:top w:w="0" w:type="dxa"/>
            <w:left w:w="108" w:type="dxa"/>
            <w:bottom w:w="0" w:type="dxa"/>
            <w:right w:w="108" w:type="dxa"/>
          </w:tblCellMar>
        </w:tblPrEx>
        <w:trPr>
          <w:trHeight w:val="855"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资金分配</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6</w:t>
            </w:r>
          </w:p>
        </w:tc>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分配办法</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3</w:t>
            </w:r>
          </w:p>
        </w:tc>
        <w:tc>
          <w:tcPr>
            <w:tcW w:w="4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根据需要制定的相关资金管理办法；管理办法中有明确资金分配办法；资金分配因素全面、合理</w:t>
            </w:r>
          </w:p>
        </w:tc>
        <w:tc>
          <w:tcPr>
            <w:tcW w:w="2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有相应的专项资金管理办法（1分）；资金分配办法健全、规范（1分）；资金分配因素选择全面、合理（1分）。</w:t>
            </w:r>
          </w:p>
        </w:tc>
        <w:tc>
          <w:tcPr>
            <w:tcW w:w="2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FF0000"/>
                <w:kern w:val="0"/>
                <w:sz w:val="18"/>
                <w:szCs w:val="18"/>
              </w:rPr>
            </w:pPr>
            <w:r>
              <w:rPr>
                <w:kern w:val="0"/>
                <w:sz w:val="18"/>
                <w:szCs w:val="18"/>
              </w:rPr>
              <w:t>有规范的专项资金管理办法（体现在《</w:t>
            </w:r>
            <w:r>
              <w:rPr>
                <w:rFonts w:hint="eastAsia"/>
                <w:kern w:val="0"/>
                <w:sz w:val="18"/>
                <w:szCs w:val="18"/>
              </w:rPr>
              <w:t>津市市地方储备粮管理办法</w:t>
            </w:r>
            <w:r>
              <w:rPr>
                <w:kern w:val="0"/>
                <w:sz w:val="18"/>
                <w:szCs w:val="18"/>
              </w:rPr>
              <w:t>》</w:t>
            </w:r>
            <w:r>
              <w:rPr>
                <w:rFonts w:hint="eastAsia"/>
                <w:kern w:val="0"/>
                <w:sz w:val="18"/>
                <w:szCs w:val="18"/>
              </w:rPr>
              <w:t>中）</w:t>
            </w:r>
            <w:r>
              <w:rPr>
                <w:kern w:val="0"/>
                <w:sz w:val="18"/>
                <w:szCs w:val="18"/>
              </w:rPr>
              <w:t>。</w:t>
            </w:r>
          </w:p>
        </w:tc>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3</w:t>
            </w:r>
          </w:p>
        </w:tc>
        <w:tc>
          <w:tcPr>
            <w:tcW w:w="677" w:type="dxa"/>
            <w:vAlign w:val="center"/>
          </w:tcPr>
          <w:p>
            <w:pPr>
              <w:widowControl/>
              <w:jc w:val="left"/>
              <w:rPr>
                <w:rFonts w:eastAsia="Times New Roman"/>
                <w:kern w:val="0"/>
                <w:sz w:val="18"/>
                <w:szCs w:val="18"/>
              </w:rPr>
            </w:pPr>
          </w:p>
        </w:tc>
      </w:tr>
      <w:tr>
        <w:tblPrEx>
          <w:tblLayout w:type="fixed"/>
          <w:tblCellMar>
            <w:top w:w="0" w:type="dxa"/>
            <w:left w:w="108" w:type="dxa"/>
            <w:bottom w:w="0" w:type="dxa"/>
            <w:right w:w="108" w:type="dxa"/>
          </w:tblCellMar>
        </w:tblPrEx>
        <w:trPr>
          <w:trHeight w:val="278"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4491"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88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720" w:type="dxa"/>
            <w:vMerge w:val="continue"/>
            <w:tcBorders>
              <w:top w:val="nil"/>
              <w:left w:val="single" w:color="auto" w:sz="4" w:space="0"/>
              <w:bottom w:val="single" w:color="auto" w:sz="4" w:space="0"/>
              <w:right w:val="single" w:color="auto" w:sz="4" w:space="0"/>
            </w:tcBorders>
            <w:vAlign w:val="center"/>
          </w:tcPr>
          <w:p>
            <w:pPr>
              <w:widowControl/>
              <w:jc w:val="left"/>
              <w:rPr>
                <w:color w:val="FF0000"/>
                <w:kern w:val="0"/>
                <w:sz w:val="18"/>
                <w:szCs w:val="18"/>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7" w:type="dxa"/>
            <w:tcBorders>
              <w:top w:val="nil"/>
              <w:left w:val="nil"/>
              <w:bottom w:val="nil"/>
              <w:right w:val="nil"/>
            </w:tcBorders>
            <w:shd w:val="clear" w:color="auto" w:fill="auto"/>
            <w:noWrap/>
            <w:vAlign w:val="bottom"/>
          </w:tcPr>
          <w:p>
            <w:pPr>
              <w:widowControl/>
              <w:jc w:val="center"/>
              <w:rPr>
                <w:color w:val="000000"/>
                <w:kern w:val="0"/>
                <w:sz w:val="18"/>
                <w:szCs w:val="18"/>
              </w:rPr>
            </w:pPr>
          </w:p>
        </w:tc>
      </w:tr>
      <w:tr>
        <w:tblPrEx>
          <w:tblLayout w:type="fixed"/>
          <w:tblCellMar>
            <w:top w:w="0" w:type="dxa"/>
            <w:left w:w="108" w:type="dxa"/>
            <w:bottom w:w="0" w:type="dxa"/>
            <w:right w:w="108" w:type="dxa"/>
          </w:tblCellMar>
        </w:tblPrEx>
        <w:trPr>
          <w:trHeight w:val="780"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分配结果</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3</w:t>
            </w:r>
          </w:p>
        </w:tc>
        <w:tc>
          <w:tcPr>
            <w:tcW w:w="4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资金分配符合相关预算；分配结果公平合理；分配对象合规</w:t>
            </w:r>
          </w:p>
        </w:tc>
        <w:tc>
          <w:tcPr>
            <w:tcW w:w="2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项目分配符合预算（1分）；资金分配结果合理（1分）；分配对象符合规定（1分）。</w:t>
            </w:r>
          </w:p>
        </w:tc>
        <w:tc>
          <w:tcPr>
            <w:tcW w:w="2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FF0000"/>
                <w:kern w:val="0"/>
                <w:sz w:val="18"/>
                <w:szCs w:val="18"/>
              </w:rPr>
            </w:pPr>
            <w:r>
              <w:rPr>
                <w:rFonts w:hint="eastAsia"/>
                <w:kern w:val="0"/>
                <w:sz w:val="18"/>
                <w:szCs w:val="18"/>
              </w:rPr>
              <w:t>无具体资金分配结果文件资料，只有资金申请报告，扣1分。</w:t>
            </w:r>
          </w:p>
        </w:tc>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w:t>
            </w:r>
          </w:p>
        </w:tc>
        <w:tc>
          <w:tcPr>
            <w:tcW w:w="677" w:type="dxa"/>
            <w:vAlign w:val="center"/>
          </w:tcPr>
          <w:p>
            <w:pPr>
              <w:widowControl/>
              <w:jc w:val="left"/>
              <w:rPr>
                <w:rFonts w:eastAsia="Times New Roman"/>
                <w:kern w:val="0"/>
                <w:sz w:val="18"/>
                <w:szCs w:val="18"/>
              </w:rPr>
            </w:pPr>
          </w:p>
        </w:tc>
      </w:tr>
      <w:tr>
        <w:tblPrEx>
          <w:tblLayout w:type="fixed"/>
          <w:tblCellMar>
            <w:top w:w="0" w:type="dxa"/>
            <w:left w:w="108" w:type="dxa"/>
            <w:bottom w:w="0" w:type="dxa"/>
            <w:right w:w="108" w:type="dxa"/>
          </w:tblCellMar>
        </w:tblPrEx>
        <w:trPr>
          <w:trHeight w:val="278"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4491"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88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720" w:type="dxa"/>
            <w:vMerge w:val="continue"/>
            <w:tcBorders>
              <w:top w:val="nil"/>
              <w:left w:val="single" w:color="auto" w:sz="4" w:space="0"/>
              <w:bottom w:val="single" w:color="auto" w:sz="4" w:space="0"/>
              <w:right w:val="single" w:color="auto" w:sz="4" w:space="0"/>
            </w:tcBorders>
            <w:vAlign w:val="center"/>
          </w:tcPr>
          <w:p>
            <w:pPr>
              <w:widowControl/>
              <w:jc w:val="left"/>
              <w:rPr>
                <w:color w:val="FF0000"/>
                <w:kern w:val="0"/>
                <w:sz w:val="18"/>
                <w:szCs w:val="18"/>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7" w:type="dxa"/>
            <w:tcBorders>
              <w:top w:val="nil"/>
              <w:left w:val="nil"/>
              <w:bottom w:val="nil"/>
              <w:right w:val="nil"/>
            </w:tcBorders>
            <w:shd w:val="clear" w:color="auto" w:fill="auto"/>
            <w:noWrap/>
            <w:vAlign w:val="bottom"/>
          </w:tcPr>
          <w:p>
            <w:pPr>
              <w:widowControl/>
              <w:jc w:val="center"/>
              <w:rPr>
                <w:color w:val="000000"/>
                <w:kern w:val="0"/>
                <w:sz w:val="18"/>
                <w:szCs w:val="18"/>
              </w:rPr>
            </w:pPr>
          </w:p>
        </w:tc>
      </w:tr>
      <w:tr>
        <w:tblPrEx>
          <w:tblLayout w:type="fixed"/>
          <w:tblCellMar>
            <w:top w:w="0" w:type="dxa"/>
            <w:left w:w="108" w:type="dxa"/>
            <w:bottom w:w="0" w:type="dxa"/>
            <w:right w:w="108" w:type="dxa"/>
          </w:tblCellMar>
        </w:tblPrEx>
        <w:trPr>
          <w:trHeight w:val="1313" w:hRule="atLeast"/>
          <w:jc w:val="center"/>
        </w:trPr>
        <w:tc>
          <w:tcPr>
            <w:tcW w:w="7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项目管理</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w:t>
            </w:r>
            <w:r>
              <w:rPr>
                <w:rFonts w:hint="eastAsia"/>
                <w:color w:val="000000"/>
                <w:kern w:val="0"/>
                <w:sz w:val="18"/>
                <w:szCs w:val="18"/>
              </w:rPr>
              <w:t>5</w:t>
            </w:r>
          </w:p>
        </w:tc>
        <w:tc>
          <w:tcPr>
            <w:tcW w:w="7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资金到位</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5</w:t>
            </w:r>
          </w:p>
        </w:tc>
        <w:tc>
          <w:tcPr>
            <w:tcW w:w="7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到位率</w:t>
            </w:r>
          </w:p>
        </w:tc>
        <w:tc>
          <w:tcPr>
            <w:tcW w:w="56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3</w:t>
            </w:r>
          </w:p>
        </w:tc>
        <w:tc>
          <w:tcPr>
            <w:tcW w:w="44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实际到位/计划到位*100%</w:t>
            </w:r>
          </w:p>
        </w:tc>
        <w:tc>
          <w:tcPr>
            <w:tcW w:w="28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实际到位/计划到位×100%，100%计（3分）；90%-100%计（2分）；90%以下计（1分）。</w:t>
            </w:r>
          </w:p>
        </w:tc>
        <w:tc>
          <w:tcPr>
            <w:tcW w:w="2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预算</w:t>
            </w:r>
            <w:r>
              <w:rPr>
                <w:color w:val="000000"/>
                <w:kern w:val="0"/>
                <w:sz w:val="18"/>
                <w:szCs w:val="18"/>
              </w:rPr>
              <w:t>资金到位率为100%。</w:t>
            </w:r>
          </w:p>
        </w:tc>
        <w:tc>
          <w:tcPr>
            <w:tcW w:w="558"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3</w:t>
            </w:r>
          </w:p>
        </w:tc>
        <w:tc>
          <w:tcPr>
            <w:tcW w:w="677" w:type="dxa"/>
            <w:vAlign w:val="center"/>
          </w:tcPr>
          <w:p>
            <w:pPr>
              <w:widowControl/>
              <w:jc w:val="left"/>
              <w:rPr>
                <w:rFonts w:eastAsia="Times New Roman"/>
                <w:kern w:val="0"/>
                <w:sz w:val="18"/>
                <w:szCs w:val="18"/>
              </w:rPr>
            </w:pPr>
          </w:p>
        </w:tc>
      </w:tr>
      <w:tr>
        <w:tblPrEx>
          <w:tblLayout w:type="fixed"/>
          <w:tblCellMar>
            <w:top w:w="0" w:type="dxa"/>
            <w:left w:w="108" w:type="dxa"/>
            <w:bottom w:w="0" w:type="dxa"/>
            <w:right w:w="108" w:type="dxa"/>
          </w:tblCellMar>
        </w:tblPrEx>
        <w:trPr>
          <w:trHeight w:val="90"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continue"/>
            <w:tcBorders>
              <w:top w:val="nil"/>
              <w:left w:val="single" w:color="auto" w:sz="4" w:space="0"/>
              <w:bottom w:val="single" w:color="000000"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000000" w:sz="4" w:space="0"/>
              <w:right w:val="single" w:color="auto" w:sz="4" w:space="0"/>
            </w:tcBorders>
            <w:vAlign w:val="center"/>
          </w:tcPr>
          <w:p>
            <w:pPr>
              <w:widowControl/>
              <w:jc w:val="left"/>
              <w:rPr>
                <w:color w:val="000000"/>
                <w:kern w:val="0"/>
                <w:sz w:val="18"/>
                <w:szCs w:val="18"/>
              </w:rPr>
            </w:pPr>
          </w:p>
        </w:tc>
        <w:tc>
          <w:tcPr>
            <w:tcW w:w="4491" w:type="dxa"/>
            <w:vMerge w:val="continue"/>
            <w:tcBorders>
              <w:top w:val="nil"/>
              <w:left w:val="single" w:color="auto" w:sz="4" w:space="0"/>
              <w:bottom w:val="single" w:color="000000" w:sz="4" w:space="0"/>
              <w:right w:val="single" w:color="auto" w:sz="4" w:space="0"/>
            </w:tcBorders>
            <w:vAlign w:val="center"/>
          </w:tcPr>
          <w:p>
            <w:pPr>
              <w:widowControl/>
              <w:jc w:val="left"/>
              <w:rPr>
                <w:color w:val="000000"/>
                <w:kern w:val="0"/>
                <w:sz w:val="18"/>
                <w:szCs w:val="18"/>
              </w:rPr>
            </w:pPr>
          </w:p>
        </w:tc>
        <w:tc>
          <w:tcPr>
            <w:tcW w:w="2880" w:type="dxa"/>
            <w:vMerge w:val="continue"/>
            <w:tcBorders>
              <w:top w:val="nil"/>
              <w:left w:val="single" w:color="auto" w:sz="4" w:space="0"/>
              <w:bottom w:val="single" w:color="000000" w:sz="4" w:space="0"/>
              <w:right w:val="single" w:color="auto" w:sz="4" w:space="0"/>
            </w:tcBorders>
            <w:vAlign w:val="center"/>
          </w:tcPr>
          <w:p>
            <w:pPr>
              <w:widowControl/>
              <w:jc w:val="left"/>
              <w:rPr>
                <w:color w:val="000000"/>
                <w:kern w:val="0"/>
                <w:sz w:val="18"/>
                <w:szCs w:val="18"/>
              </w:rPr>
            </w:pPr>
          </w:p>
        </w:tc>
        <w:tc>
          <w:tcPr>
            <w:tcW w:w="2720" w:type="dxa"/>
            <w:vMerge w:val="continue"/>
            <w:tcBorders>
              <w:top w:val="nil"/>
              <w:left w:val="single" w:color="auto" w:sz="4" w:space="0"/>
              <w:bottom w:val="single" w:color="000000" w:sz="4" w:space="0"/>
              <w:right w:val="single" w:color="auto" w:sz="4" w:space="0"/>
            </w:tcBorders>
            <w:vAlign w:val="center"/>
          </w:tcPr>
          <w:p>
            <w:pPr>
              <w:widowControl/>
              <w:jc w:val="left"/>
              <w:rPr>
                <w:color w:val="000000"/>
                <w:kern w:val="0"/>
                <w:sz w:val="18"/>
                <w:szCs w:val="18"/>
              </w:rPr>
            </w:pPr>
          </w:p>
        </w:tc>
        <w:tc>
          <w:tcPr>
            <w:tcW w:w="558" w:type="dxa"/>
            <w:vMerge w:val="continue"/>
            <w:tcBorders>
              <w:top w:val="nil"/>
              <w:left w:val="single" w:color="auto" w:sz="4" w:space="0"/>
              <w:bottom w:val="single" w:color="000000" w:sz="4" w:space="0"/>
              <w:right w:val="single" w:color="auto" w:sz="4" w:space="0"/>
            </w:tcBorders>
            <w:vAlign w:val="center"/>
          </w:tcPr>
          <w:p>
            <w:pPr>
              <w:widowControl/>
              <w:jc w:val="left"/>
              <w:rPr>
                <w:color w:val="000000"/>
                <w:kern w:val="0"/>
                <w:sz w:val="18"/>
                <w:szCs w:val="18"/>
              </w:rPr>
            </w:pPr>
          </w:p>
        </w:tc>
        <w:tc>
          <w:tcPr>
            <w:tcW w:w="677" w:type="dxa"/>
            <w:tcBorders>
              <w:top w:val="nil"/>
              <w:left w:val="nil"/>
              <w:bottom w:val="nil"/>
              <w:right w:val="nil"/>
            </w:tcBorders>
            <w:shd w:val="clear" w:color="auto" w:fill="auto"/>
            <w:noWrap/>
            <w:vAlign w:val="bottom"/>
          </w:tcPr>
          <w:p>
            <w:pPr>
              <w:widowControl/>
              <w:jc w:val="center"/>
              <w:rPr>
                <w:color w:val="000000"/>
                <w:kern w:val="0"/>
                <w:sz w:val="18"/>
                <w:szCs w:val="18"/>
              </w:rPr>
            </w:pPr>
          </w:p>
        </w:tc>
      </w:tr>
      <w:tr>
        <w:tblPrEx>
          <w:tblLayout w:type="fixed"/>
          <w:tblCellMar>
            <w:top w:w="0" w:type="dxa"/>
            <w:left w:w="108" w:type="dxa"/>
            <w:bottom w:w="0" w:type="dxa"/>
            <w:right w:w="108" w:type="dxa"/>
          </w:tblCellMar>
        </w:tblPrEx>
        <w:trPr>
          <w:trHeight w:val="1285"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到位时效</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w:t>
            </w:r>
          </w:p>
        </w:tc>
        <w:tc>
          <w:tcPr>
            <w:tcW w:w="4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资金及时到位；若未及时到位，是否影响项目进度</w:t>
            </w:r>
          </w:p>
        </w:tc>
        <w:tc>
          <w:tcPr>
            <w:tcW w:w="2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资金按计划要求及时到位（2分）；未及时到位但未影响项目进度（1.5分）；未及时到位并影响项目进度（0-1分）。</w:t>
            </w:r>
          </w:p>
        </w:tc>
        <w:tc>
          <w:tcPr>
            <w:tcW w:w="2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kern w:val="0"/>
                <w:sz w:val="18"/>
                <w:szCs w:val="18"/>
              </w:rPr>
            </w:pPr>
            <w:r>
              <w:rPr>
                <w:kern w:val="0"/>
                <w:sz w:val="18"/>
                <w:szCs w:val="18"/>
              </w:rPr>
              <w:t>项目资金到位及时，未影响</w:t>
            </w:r>
            <w:r>
              <w:rPr>
                <w:rFonts w:hint="eastAsia"/>
                <w:kern w:val="0"/>
                <w:sz w:val="18"/>
                <w:szCs w:val="18"/>
              </w:rPr>
              <w:t>储备粮保管及轮换工作</w:t>
            </w:r>
            <w:r>
              <w:rPr>
                <w:kern w:val="0"/>
                <w:sz w:val="18"/>
                <w:szCs w:val="18"/>
              </w:rPr>
              <w:t>。</w:t>
            </w:r>
          </w:p>
        </w:tc>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w:t>
            </w:r>
          </w:p>
        </w:tc>
        <w:tc>
          <w:tcPr>
            <w:tcW w:w="677" w:type="dxa"/>
            <w:vAlign w:val="center"/>
          </w:tcPr>
          <w:p>
            <w:pPr>
              <w:widowControl/>
              <w:jc w:val="left"/>
              <w:rPr>
                <w:rFonts w:eastAsia="Times New Roman"/>
                <w:kern w:val="0"/>
                <w:sz w:val="18"/>
                <w:szCs w:val="18"/>
              </w:rPr>
            </w:pPr>
          </w:p>
        </w:tc>
      </w:tr>
      <w:tr>
        <w:tblPrEx>
          <w:tblLayout w:type="fixed"/>
          <w:tblCellMar>
            <w:top w:w="0" w:type="dxa"/>
            <w:left w:w="108" w:type="dxa"/>
            <w:bottom w:w="0" w:type="dxa"/>
            <w:right w:w="108" w:type="dxa"/>
          </w:tblCellMar>
        </w:tblPrEx>
        <w:trPr>
          <w:trHeight w:val="278"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4491"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88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720" w:type="dxa"/>
            <w:vMerge w:val="continue"/>
            <w:tcBorders>
              <w:top w:val="nil"/>
              <w:left w:val="single" w:color="auto" w:sz="4" w:space="0"/>
              <w:bottom w:val="single" w:color="auto" w:sz="4" w:space="0"/>
              <w:right w:val="single" w:color="auto" w:sz="4" w:space="0"/>
            </w:tcBorders>
            <w:vAlign w:val="center"/>
          </w:tcPr>
          <w:p>
            <w:pPr>
              <w:widowControl/>
              <w:jc w:val="left"/>
              <w:rPr>
                <w:color w:val="FF0000"/>
                <w:kern w:val="0"/>
                <w:sz w:val="18"/>
                <w:szCs w:val="18"/>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7" w:type="dxa"/>
            <w:tcBorders>
              <w:top w:val="nil"/>
              <w:left w:val="nil"/>
              <w:bottom w:val="nil"/>
              <w:right w:val="nil"/>
            </w:tcBorders>
            <w:shd w:val="clear" w:color="auto" w:fill="auto"/>
            <w:noWrap/>
            <w:vAlign w:val="bottom"/>
          </w:tcPr>
          <w:p>
            <w:pPr>
              <w:widowControl/>
              <w:jc w:val="center"/>
              <w:rPr>
                <w:color w:val="000000"/>
                <w:kern w:val="0"/>
                <w:sz w:val="18"/>
                <w:szCs w:val="18"/>
              </w:rPr>
            </w:pPr>
          </w:p>
        </w:tc>
      </w:tr>
      <w:tr>
        <w:tblPrEx>
          <w:tblLayout w:type="fixed"/>
          <w:tblCellMar>
            <w:top w:w="0" w:type="dxa"/>
            <w:left w:w="108" w:type="dxa"/>
            <w:bottom w:w="0" w:type="dxa"/>
            <w:right w:w="108" w:type="dxa"/>
          </w:tblCellMar>
        </w:tblPrEx>
        <w:trPr>
          <w:trHeight w:val="1215"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资金管理</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10</w:t>
            </w:r>
          </w:p>
        </w:tc>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资金使用</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6</w:t>
            </w:r>
          </w:p>
        </w:tc>
        <w:tc>
          <w:tcPr>
            <w:tcW w:w="4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支出依据合规，无虚列项目支出情况；无截留挤占挪用情况；无超标准开支情况</w:t>
            </w:r>
          </w:p>
        </w:tc>
        <w:tc>
          <w:tcPr>
            <w:tcW w:w="2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虚列（套取），扣4</w:t>
            </w:r>
            <w:r>
              <w:rPr>
                <w:rFonts w:hint="eastAsia"/>
                <w:color w:val="000000"/>
                <w:kern w:val="0"/>
                <w:sz w:val="18"/>
                <w:szCs w:val="18"/>
              </w:rPr>
              <w:t>-6</w:t>
            </w:r>
            <w:r>
              <w:rPr>
                <w:color w:val="000000"/>
                <w:kern w:val="0"/>
                <w:sz w:val="18"/>
                <w:szCs w:val="18"/>
              </w:rPr>
              <w:t>分；支出依据不合规，扣（1-2）分；截留、挤占、挪用，扣（</w:t>
            </w:r>
            <w:r>
              <w:rPr>
                <w:rFonts w:hint="eastAsia"/>
                <w:color w:val="000000"/>
                <w:kern w:val="0"/>
                <w:sz w:val="18"/>
                <w:szCs w:val="18"/>
              </w:rPr>
              <w:t>3</w:t>
            </w:r>
            <w:r>
              <w:rPr>
                <w:color w:val="000000"/>
                <w:kern w:val="0"/>
                <w:sz w:val="18"/>
                <w:szCs w:val="18"/>
              </w:rPr>
              <w:t>-</w:t>
            </w:r>
            <w:r>
              <w:rPr>
                <w:rFonts w:hint="eastAsia"/>
                <w:color w:val="000000"/>
                <w:kern w:val="0"/>
                <w:sz w:val="18"/>
                <w:szCs w:val="18"/>
              </w:rPr>
              <w:t>6</w:t>
            </w:r>
            <w:r>
              <w:rPr>
                <w:color w:val="000000"/>
                <w:kern w:val="0"/>
                <w:sz w:val="18"/>
                <w:szCs w:val="18"/>
              </w:rPr>
              <w:t xml:space="preserve">）分；超标准开支扣（2-4）分。                       </w:t>
            </w:r>
          </w:p>
        </w:tc>
        <w:tc>
          <w:tcPr>
            <w:tcW w:w="2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kern w:val="0"/>
                <w:sz w:val="18"/>
                <w:szCs w:val="18"/>
              </w:rPr>
            </w:pPr>
            <w:r>
              <w:rPr>
                <w:rFonts w:hint="eastAsia"/>
                <w:kern w:val="0"/>
                <w:sz w:val="18"/>
                <w:szCs w:val="18"/>
              </w:rPr>
              <w:t>未发现违规使用资金问题。</w:t>
            </w:r>
          </w:p>
        </w:tc>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6</w:t>
            </w:r>
          </w:p>
        </w:tc>
        <w:tc>
          <w:tcPr>
            <w:tcW w:w="677" w:type="dxa"/>
            <w:vAlign w:val="center"/>
          </w:tcPr>
          <w:p>
            <w:pPr>
              <w:widowControl/>
              <w:jc w:val="left"/>
              <w:rPr>
                <w:rFonts w:eastAsia="Times New Roman"/>
                <w:kern w:val="0"/>
                <w:sz w:val="18"/>
                <w:szCs w:val="18"/>
              </w:rPr>
            </w:pPr>
          </w:p>
        </w:tc>
      </w:tr>
      <w:tr>
        <w:tblPrEx>
          <w:tblLayout w:type="fixed"/>
          <w:tblCellMar>
            <w:top w:w="0" w:type="dxa"/>
            <w:left w:w="108" w:type="dxa"/>
            <w:bottom w:w="0" w:type="dxa"/>
            <w:right w:w="108" w:type="dxa"/>
          </w:tblCellMar>
        </w:tblPrEx>
        <w:trPr>
          <w:trHeight w:val="278"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4491"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88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720" w:type="dxa"/>
            <w:vMerge w:val="continue"/>
            <w:tcBorders>
              <w:top w:val="nil"/>
              <w:left w:val="single" w:color="auto" w:sz="4" w:space="0"/>
              <w:bottom w:val="single" w:color="auto" w:sz="4" w:space="0"/>
              <w:right w:val="single" w:color="auto" w:sz="4" w:space="0"/>
            </w:tcBorders>
            <w:vAlign w:val="center"/>
          </w:tcPr>
          <w:p>
            <w:pPr>
              <w:widowControl/>
              <w:jc w:val="left"/>
              <w:rPr>
                <w:rFonts w:eastAsia="等线"/>
                <w:color w:val="FF0000"/>
                <w:kern w:val="0"/>
                <w:sz w:val="18"/>
                <w:szCs w:val="18"/>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7" w:type="dxa"/>
            <w:tcBorders>
              <w:top w:val="nil"/>
              <w:left w:val="nil"/>
              <w:bottom w:val="nil"/>
              <w:right w:val="nil"/>
            </w:tcBorders>
            <w:shd w:val="clear" w:color="auto" w:fill="auto"/>
            <w:noWrap/>
            <w:vAlign w:val="bottom"/>
          </w:tcPr>
          <w:p>
            <w:pPr>
              <w:widowControl/>
              <w:jc w:val="center"/>
              <w:rPr>
                <w:color w:val="000000"/>
                <w:kern w:val="0"/>
                <w:sz w:val="18"/>
                <w:szCs w:val="18"/>
              </w:rPr>
            </w:pPr>
          </w:p>
        </w:tc>
      </w:tr>
      <w:tr>
        <w:tblPrEx>
          <w:tblLayout w:type="fixed"/>
          <w:tblCellMar>
            <w:top w:w="0" w:type="dxa"/>
            <w:left w:w="108" w:type="dxa"/>
            <w:bottom w:w="0" w:type="dxa"/>
            <w:right w:w="108" w:type="dxa"/>
          </w:tblCellMar>
        </w:tblPrEx>
        <w:trPr>
          <w:trHeight w:val="1103"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财务管理</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4</w:t>
            </w:r>
          </w:p>
        </w:tc>
        <w:tc>
          <w:tcPr>
            <w:tcW w:w="4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财务管理制度、会计核算符合行政单位会计制度；资金管理、费用支出等制度健全；制度执行严格；会计核算规范。</w:t>
            </w:r>
          </w:p>
        </w:tc>
        <w:tc>
          <w:tcPr>
            <w:tcW w:w="2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财务制度健全（1分）；专款专用（2分）；会计资料真实完整（1分）。</w:t>
            </w:r>
          </w:p>
        </w:tc>
        <w:tc>
          <w:tcPr>
            <w:tcW w:w="2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有较为健全的专项资金管理制度：《津市市地方储备粮管理办法》、实施单位《财务管理制度》等。但专项资金支出结果（尤其是仓储保管费用）核算反映不明晰。扣1分。</w:t>
            </w:r>
          </w:p>
        </w:tc>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3</w:t>
            </w:r>
          </w:p>
        </w:tc>
        <w:tc>
          <w:tcPr>
            <w:tcW w:w="677" w:type="dxa"/>
            <w:vAlign w:val="center"/>
          </w:tcPr>
          <w:p>
            <w:pPr>
              <w:widowControl/>
              <w:jc w:val="left"/>
              <w:rPr>
                <w:rFonts w:eastAsia="Times New Roman"/>
                <w:kern w:val="0"/>
                <w:sz w:val="18"/>
                <w:szCs w:val="18"/>
              </w:rPr>
            </w:pPr>
          </w:p>
        </w:tc>
      </w:tr>
      <w:tr>
        <w:tblPrEx>
          <w:tblLayout w:type="fixed"/>
          <w:tblCellMar>
            <w:top w:w="0" w:type="dxa"/>
            <w:left w:w="108" w:type="dxa"/>
            <w:bottom w:w="0" w:type="dxa"/>
            <w:right w:w="108" w:type="dxa"/>
          </w:tblCellMar>
        </w:tblPrEx>
        <w:trPr>
          <w:trHeight w:val="278"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4491"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88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72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7" w:type="dxa"/>
            <w:tcBorders>
              <w:top w:val="nil"/>
              <w:left w:val="nil"/>
              <w:bottom w:val="nil"/>
              <w:right w:val="nil"/>
            </w:tcBorders>
            <w:shd w:val="clear" w:color="auto" w:fill="auto"/>
            <w:noWrap/>
            <w:vAlign w:val="bottom"/>
          </w:tcPr>
          <w:p>
            <w:pPr>
              <w:widowControl/>
              <w:jc w:val="center"/>
              <w:rPr>
                <w:color w:val="000000"/>
                <w:kern w:val="0"/>
                <w:sz w:val="18"/>
                <w:szCs w:val="18"/>
              </w:rPr>
            </w:pPr>
          </w:p>
        </w:tc>
      </w:tr>
      <w:tr>
        <w:tblPrEx>
          <w:tblLayout w:type="fixed"/>
          <w:tblCellMar>
            <w:top w:w="0" w:type="dxa"/>
            <w:left w:w="108" w:type="dxa"/>
            <w:bottom w:w="0" w:type="dxa"/>
            <w:right w:w="108" w:type="dxa"/>
          </w:tblCellMar>
        </w:tblPrEx>
        <w:trPr>
          <w:trHeight w:val="1043"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组织实施</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10</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组织机构</w:t>
            </w:r>
          </w:p>
        </w:tc>
        <w:tc>
          <w:tcPr>
            <w:tcW w:w="5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w:t>
            </w:r>
          </w:p>
        </w:tc>
        <w:tc>
          <w:tcPr>
            <w:tcW w:w="4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项目有专门的管理机构和人员、职责分工情况</w:t>
            </w:r>
          </w:p>
        </w:tc>
        <w:tc>
          <w:tcPr>
            <w:tcW w:w="288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机构健全（1分）；分工明确责任明确（1分）。</w:t>
            </w:r>
          </w:p>
        </w:tc>
        <w:tc>
          <w:tcPr>
            <w:tcW w:w="2720" w:type="dxa"/>
            <w:tcBorders>
              <w:top w:val="nil"/>
              <w:left w:val="nil"/>
              <w:bottom w:val="single" w:color="auto" w:sz="4" w:space="0"/>
              <w:right w:val="single" w:color="auto" w:sz="4" w:space="0"/>
            </w:tcBorders>
            <w:shd w:val="clear" w:color="auto" w:fill="auto"/>
            <w:vAlign w:val="center"/>
          </w:tcPr>
          <w:p>
            <w:pPr>
              <w:widowControl/>
              <w:rPr>
                <w:color w:val="FF0000"/>
                <w:kern w:val="0"/>
                <w:sz w:val="18"/>
                <w:szCs w:val="18"/>
              </w:rPr>
            </w:pPr>
            <w:r>
              <w:rPr>
                <w:rFonts w:hint="eastAsia"/>
                <w:kern w:val="0"/>
                <w:sz w:val="18"/>
                <w:szCs w:val="18"/>
              </w:rPr>
              <w:t>对于地方储备粮收储工作，公司领导有专人分管，职责较为明确。</w:t>
            </w:r>
          </w:p>
        </w:tc>
        <w:tc>
          <w:tcPr>
            <w:tcW w:w="558"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w:t>
            </w:r>
          </w:p>
        </w:tc>
        <w:tc>
          <w:tcPr>
            <w:tcW w:w="677" w:type="dxa"/>
            <w:vAlign w:val="center"/>
          </w:tcPr>
          <w:p>
            <w:pPr>
              <w:widowControl/>
              <w:jc w:val="left"/>
              <w:rPr>
                <w:rFonts w:eastAsia="Times New Roman"/>
                <w:kern w:val="0"/>
                <w:sz w:val="18"/>
                <w:szCs w:val="18"/>
              </w:rPr>
            </w:pPr>
          </w:p>
        </w:tc>
      </w:tr>
      <w:tr>
        <w:tblPrEx>
          <w:tblLayout w:type="fixed"/>
          <w:tblCellMar>
            <w:top w:w="0" w:type="dxa"/>
            <w:left w:w="108" w:type="dxa"/>
            <w:bottom w:w="0" w:type="dxa"/>
            <w:right w:w="108" w:type="dxa"/>
          </w:tblCellMar>
        </w:tblPrEx>
        <w:trPr>
          <w:trHeight w:val="968"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支撑</w:t>
            </w:r>
            <w:r>
              <w:rPr>
                <w:rFonts w:hint="eastAsia"/>
                <w:color w:val="000000"/>
                <w:kern w:val="0"/>
                <w:sz w:val="18"/>
                <w:szCs w:val="18"/>
              </w:rPr>
              <w:br w:type="textWrapping"/>
            </w:r>
            <w:r>
              <w:rPr>
                <w:rFonts w:hint="eastAsia"/>
                <w:color w:val="000000"/>
                <w:kern w:val="0"/>
                <w:sz w:val="18"/>
                <w:szCs w:val="18"/>
              </w:rPr>
              <w:t>条件</w:t>
            </w:r>
          </w:p>
        </w:tc>
        <w:tc>
          <w:tcPr>
            <w:tcW w:w="566" w:type="dxa"/>
            <w:tcBorders>
              <w:top w:val="nil"/>
              <w:left w:val="single" w:color="auto" w:sz="4" w:space="0"/>
              <w:bottom w:val="single" w:color="auto" w:sz="4" w:space="0"/>
              <w:right w:val="single" w:color="auto" w:sz="4" w:space="0"/>
            </w:tcBorders>
            <w:shd w:val="clear" w:color="auto" w:fill="auto"/>
            <w:vAlign w:val="center"/>
          </w:tcPr>
          <w:p>
            <w:pPr>
              <w:widowControl/>
              <w:ind w:firstLine="180" w:firstLineChars="100"/>
              <w:jc w:val="left"/>
              <w:rPr>
                <w:color w:val="000000"/>
                <w:kern w:val="0"/>
                <w:sz w:val="18"/>
                <w:szCs w:val="18"/>
              </w:rPr>
            </w:pPr>
            <w:r>
              <w:rPr>
                <w:rFonts w:hint="eastAsia"/>
                <w:color w:val="000000"/>
                <w:kern w:val="0"/>
                <w:sz w:val="18"/>
                <w:szCs w:val="18"/>
              </w:rPr>
              <w:t>2</w:t>
            </w:r>
          </w:p>
        </w:tc>
        <w:tc>
          <w:tcPr>
            <w:tcW w:w="4491"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项目实施单位是否提供或具备了必备的人员、场地和设备等条件</w:t>
            </w:r>
          </w:p>
        </w:tc>
        <w:tc>
          <w:tcPr>
            <w:tcW w:w="2880" w:type="dxa"/>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具备人员、场地、设备条件（2分）</w:t>
            </w:r>
          </w:p>
        </w:tc>
        <w:tc>
          <w:tcPr>
            <w:tcW w:w="2720" w:type="dxa"/>
            <w:tcBorders>
              <w:top w:val="nil"/>
              <w:left w:val="single" w:color="auto" w:sz="4" w:space="0"/>
              <w:bottom w:val="single" w:color="auto" w:sz="4" w:space="0"/>
              <w:right w:val="single" w:color="auto" w:sz="4" w:space="0"/>
            </w:tcBorders>
            <w:shd w:val="clear" w:color="auto" w:fill="auto"/>
            <w:vAlign w:val="center"/>
          </w:tcPr>
          <w:p>
            <w:pPr>
              <w:widowControl/>
              <w:jc w:val="left"/>
              <w:rPr>
                <w:kern w:val="0"/>
                <w:sz w:val="18"/>
                <w:szCs w:val="18"/>
              </w:rPr>
            </w:pPr>
            <w:r>
              <w:rPr>
                <w:rFonts w:hint="eastAsia"/>
                <w:color w:val="000000"/>
                <w:kern w:val="0"/>
                <w:sz w:val="18"/>
                <w:szCs w:val="18"/>
              </w:rPr>
              <w:t>地方储备粮有专门仓库，专人值守，消毒、通风除湿等设施设备齐全。</w:t>
            </w:r>
          </w:p>
        </w:tc>
        <w:tc>
          <w:tcPr>
            <w:tcW w:w="558"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2</w:t>
            </w:r>
          </w:p>
        </w:tc>
        <w:tc>
          <w:tcPr>
            <w:tcW w:w="677" w:type="dxa"/>
            <w:vAlign w:val="center"/>
          </w:tcPr>
          <w:p>
            <w:pPr>
              <w:widowControl/>
              <w:jc w:val="left"/>
              <w:rPr>
                <w:rFonts w:eastAsia="Times New Roman"/>
                <w:kern w:val="0"/>
                <w:sz w:val="18"/>
                <w:szCs w:val="18"/>
              </w:rPr>
            </w:pPr>
          </w:p>
        </w:tc>
      </w:tr>
      <w:tr>
        <w:tblPrEx>
          <w:tblLayout w:type="fixed"/>
          <w:tblCellMar>
            <w:top w:w="0" w:type="dxa"/>
            <w:left w:w="108" w:type="dxa"/>
            <w:bottom w:w="0" w:type="dxa"/>
            <w:right w:w="108" w:type="dxa"/>
          </w:tblCellMar>
        </w:tblPrEx>
        <w:trPr>
          <w:trHeight w:val="968"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项目实施</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3</w:t>
            </w:r>
          </w:p>
        </w:tc>
        <w:tc>
          <w:tcPr>
            <w:tcW w:w="4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资金列支流程符合规定、审核制度健全、按规定对基层司法所进行考核</w:t>
            </w:r>
          </w:p>
        </w:tc>
        <w:tc>
          <w:tcPr>
            <w:tcW w:w="2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申报资料完整（1分）；考核过程</w:t>
            </w:r>
            <w:r>
              <w:rPr>
                <w:rFonts w:hint="eastAsia"/>
                <w:color w:val="000000"/>
                <w:kern w:val="0"/>
                <w:sz w:val="18"/>
                <w:szCs w:val="18"/>
              </w:rPr>
              <w:t>及结果</w:t>
            </w:r>
            <w:r>
              <w:rPr>
                <w:color w:val="000000"/>
                <w:kern w:val="0"/>
                <w:sz w:val="18"/>
                <w:szCs w:val="18"/>
              </w:rPr>
              <w:t>（1分）；财务部门按规定程序报销（1分）。</w:t>
            </w:r>
          </w:p>
        </w:tc>
        <w:tc>
          <w:tcPr>
            <w:tcW w:w="2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kern w:val="0"/>
                <w:sz w:val="18"/>
                <w:szCs w:val="18"/>
              </w:rPr>
            </w:pPr>
            <w:r>
              <w:rPr>
                <w:kern w:val="0"/>
                <w:sz w:val="18"/>
                <w:szCs w:val="18"/>
              </w:rPr>
              <w:t>1、申报资料无绩效目标，扣1分。</w:t>
            </w:r>
          </w:p>
          <w:p>
            <w:pPr>
              <w:widowControl/>
              <w:jc w:val="left"/>
              <w:rPr>
                <w:kern w:val="0"/>
                <w:sz w:val="18"/>
                <w:szCs w:val="18"/>
              </w:rPr>
            </w:pPr>
            <w:r>
              <w:rPr>
                <w:kern w:val="0"/>
                <w:sz w:val="18"/>
                <w:szCs w:val="18"/>
              </w:rPr>
              <w:t>2、无考核过程和结果，扣1分.</w:t>
            </w:r>
          </w:p>
        </w:tc>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w:t>
            </w:r>
          </w:p>
        </w:tc>
        <w:tc>
          <w:tcPr>
            <w:tcW w:w="677" w:type="dxa"/>
            <w:vAlign w:val="center"/>
          </w:tcPr>
          <w:p>
            <w:pPr>
              <w:widowControl/>
              <w:jc w:val="left"/>
              <w:rPr>
                <w:rFonts w:eastAsia="Times New Roman"/>
                <w:kern w:val="0"/>
                <w:sz w:val="18"/>
                <w:szCs w:val="18"/>
              </w:rPr>
            </w:pPr>
          </w:p>
        </w:tc>
      </w:tr>
      <w:tr>
        <w:tblPrEx>
          <w:tblLayout w:type="fixed"/>
          <w:tblCellMar>
            <w:top w:w="0" w:type="dxa"/>
            <w:left w:w="108" w:type="dxa"/>
            <w:bottom w:w="0" w:type="dxa"/>
            <w:right w:w="108" w:type="dxa"/>
          </w:tblCellMar>
        </w:tblPrEx>
        <w:trPr>
          <w:trHeight w:val="278"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4491"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88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720" w:type="dxa"/>
            <w:vMerge w:val="continue"/>
            <w:tcBorders>
              <w:top w:val="nil"/>
              <w:left w:val="single" w:color="auto" w:sz="4" w:space="0"/>
              <w:bottom w:val="single" w:color="auto" w:sz="4" w:space="0"/>
              <w:right w:val="single" w:color="auto" w:sz="4" w:space="0"/>
            </w:tcBorders>
            <w:vAlign w:val="center"/>
          </w:tcPr>
          <w:p>
            <w:pPr>
              <w:widowControl/>
              <w:jc w:val="left"/>
              <w:rPr>
                <w:color w:val="FF0000"/>
                <w:kern w:val="0"/>
                <w:sz w:val="18"/>
                <w:szCs w:val="18"/>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7" w:type="dxa"/>
            <w:tcBorders>
              <w:top w:val="nil"/>
              <w:left w:val="nil"/>
              <w:bottom w:val="nil"/>
              <w:right w:val="nil"/>
            </w:tcBorders>
            <w:shd w:val="clear" w:color="auto" w:fill="auto"/>
            <w:noWrap/>
            <w:vAlign w:val="bottom"/>
          </w:tcPr>
          <w:p>
            <w:pPr>
              <w:widowControl/>
              <w:jc w:val="center"/>
              <w:rPr>
                <w:color w:val="000000"/>
                <w:kern w:val="0"/>
                <w:sz w:val="18"/>
                <w:szCs w:val="18"/>
              </w:rPr>
            </w:pPr>
          </w:p>
        </w:tc>
      </w:tr>
      <w:tr>
        <w:tblPrEx>
          <w:tblLayout w:type="fixed"/>
          <w:tblCellMar>
            <w:top w:w="0" w:type="dxa"/>
            <w:left w:w="108" w:type="dxa"/>
            <w:bottom w:w="0" w:type="dxa"/>
            <w:right w:w="108" w:type="dxa"/>
          </w:tblCellMar>
        </w:tblPrEx>
        <w:trPr>
          <w:trHeight w:val="497"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管理制度及创新</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3</w:t>
            </w:r>
          </w:p>
        </w:tc>
        <w:tc>
          <w:tcPr>
            <w:tcW w:w="4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项目管理制度健全；严格执行相关管理制度</w:t>
            </w:r>
          </w:p>
        </w:tc>
        <w:tc>
          <w:tcPr>
            <w:tcW w:w="2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建立健全项目管理制度（1</w:t>
            </w:r>
            <w:r>
              <w:rPr>
                <w:rFonts w:hint="eastAsia"/>
                <w:color w:val="000000"/>
                <w:kern w:val="0"/>
                <w:sz w:val="18"/>
                <w:szCs w:val="18"/>
              </w:rPr>
              <w:t>.5</w:t>
            </w:r>
            <w:r>
              <w:rPr>
                <w:color w:val="000000"/>
                <w:kern w:val="0"/>
                <w:sz w:val="18"/>
                <w:szCs w:val="18"/>
              </w:rPr>
              <w:t>分）；建立对项目建设考核细则（1</w:t>
            </w:r>
            <w:r>
              <w:rPr>
                <w:rFonts w:hint="eastAsia"/>
                <w:color w:val="000000"/>
                <w:kern w:val="0"/>
                <w:sz w:val="18"/>
                <w:szCs w:val="18"/>
              </w:rPr>
              <w:t>.5</w:t>
            </w:r>
            <w:r>
              <w:rPr>
                <w:color w:val="000000"/>
                <w:kern w:val="0"/>
                <w:sz w:val="18"/>
                <w:szCs w:val="18"/>
              </w:rPr>
              <w:t>分）。</w:t>
            </w:r>
          </w:p>
        </w:tc>
        <w:tc>
          <w:tcPr>
            <w:tcW w:w="2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1、</w:t>
            </w:r>
            <w:r>
              <w:rPr>
                <w:rFonts w:hint="eastAsia"/>
                <w:color w:val="000000"/>
                <w:kern w:val="0"/>
                <w:sz w:val="18"/>
                <w:szCs w:val="18"/>
              </w:rPr>
              <w:t>市本级有《津市市地方储备粮管理办法》</w:t>
            </w:r>
            <w:r>
              <w:rPr>
                <w:color w:val="000000"/>
                <w:kern w:val="0"/>
                <w:sz w:val="18"/>
                <w:szCs w:val="18"/>
              </w:rPr>
              <w:t>。</w:t>
            </w:r>
          </w:p>
          <w:p>
            <w:pPr>
              <w:widowControl/>
              <w:jc w:val="left"/>
              <w:rPr>
                <w:color w:val="000000"/>
                <w:kern w:val="0"/>
                <w:sz w:val="18"/>
                <w:szCs w:val="18"/>
              </w:rPr>
            </w:pPr>
            <w:r>
              <w:rPr>
                <w:color w:val="000000"/>
                <w:kern w:val="0"/>
                <w:sz w:val="18"/>
                <w:szCs w:val="18"/>
              </w:rPr>
              <w:t>2、</w:t>
            </w:r>
            <w:r>
              <w:rPr>
                <w:rFonts w:hint="eastAsia"/>
                <w:color w:val="000000"/>
                <w:kern w:val="0"/>
                <w:sz w:val="18"/>
                <w:szCs w:val="18"/>
              </w:rPr>
              <w:t>实施单位有</w:t>
            </w:r>
            <w:r>
              <w:rPr>
                <w:color w:val="000000"/>
                <w:kern w:val="0"/>
                <w:sz w:val="18"/>
                <w:szCs w:val="18"/>
              </w:rPr>
              <w:t>《</w:t>
            </w:r>
            <w:r>
              <w:rPr>
                <w:rFonts w:hint="eastAsia"/>
                <w:color w:val="000000"/>
                <w:kern w:val="0"/>
                <w:sz w:val="18"/>
                <w:szCs w:val="18"/>
              </w:rPr>
              <w:t>粮食出入库管理制度</w:t>
            </w:r>
            <w:r>
              <w:rPr>
                <w:color w:val="000000"/>
                <w:kern w:val="0"/>
                <w:sz w:val="18"/>
                <w:szCs w:val="18"/>
              </w:rPr>
              <w:t>》</w:t>
            </w:r>
            <w:r>
              <w:rPr>
                <w:rFonts w:hint="eastAsia"/>
                <w:color w:val="000000"/>
                <w:kern w:val="0"/>
                <w:sz w:val="18"/>
                <w:szCs w:val="18"/>
              </w:rPr>
              <w:t>、《粮食质量安全管理制度》、《粮食收购入库质量安全检查安全检验制度》、《粮食质量安全追溯制度》和《财务管理制度》等</w:t>
            </w:r>
            <w:r>
              <w:rPr>
                <w:color w:val="000000"/>
                <w:kern w:val="0"/>
                <w:sz w:val="18"/>
                <w:szCs w:val="18"/>
              </w:rPr>
              <w:t>。</w:t>
            </w:r>
          </w:p>
          <w:p>
            <w:pPr>
              <w:widowControl/>
              <w:jc w:val="left"/>
              <w:rPr>
                <w:color w:val="000000"/>
                <w:kern w:val="0"/>
                <w:sz w:val="18"/>
                <w:szCs w:val="18"/>
              </w:rPr>
            </w:pPr>
            <w:r>
              <w:rPr>
                <w:color w:val="000000"/>
                <w:kern w:val="0"/>
                <w:sz w:val="18"/>
                <w:szCs w:val="18"/>
              </w:rPr>
              <w:t>3、</w:t>
            </w:r>
            <w:r>
              <w:rPr>
                <w:rFonts w:hint="eastAsia"/>
                <w:color w:val="000000"/>
                <w:kern w:val="0"/>
                <w:sz w:val="18"/>
                <w:szCs w:val="18"/>
              </w:rPr>
              <w:t>办法、制度中，</w:t>
            </w:r>
            <w:r>
              <w:rPr>
                <w:color w:val="000000"/>
                <w:kern w:val="0"/>
                <w:sz w:val="18"/>
                <w:szCs w:val="18"/>
              </w:rPr>
              <w:t>均有监督和考核规定。</w:t>
            </w:r>
          </w:p>
        </w:tc>
        <w:tc>
          <w:tcPr>
            <w:tcW w:w="5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3</w:t>
            </w:r>
          </w:p>
        </w:tc>
        <w:tc>
          <w:tcPr>
            <w:tcW w:w="677" w:type="dxa"/>
            <w:vAlign w:val="center"/>
          </w:tcPr>
          <w:p>
            <w:pPr>
              <w:widowControl/>
              <w:jc w:val="left"/>
              <w:rPr>
                <w:rFonts w:eastAsia="Times New Roman"/>
                <w:kern w:val="0"/>
                <w:sz w:val="18"/>
                <w:szCs w:val="18"/>
              </w:rPr>
            </w:pPr>
          </w:p>
        </w:tc>
      </w:tr>
      <w:tr>
        <w:tblPrEx>
          <w:tblLayout w:type="fixed"/>
          <w:tblCellMar>
            <w:top w:w="0" w:type="dxa"/>
            <w:left w:w="108" w:type="dxa"/>
            <w:bottom w:w="0" w:type="dxa"/>
            <w:right w:w="108" w:type="dxa"/>
          </w:tblCellMar>
        </w:tblPrEx>
        <w:trPr>
          <w:trHeight w:val="278"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4491"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88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72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7" w:type="dxa"/>
            <w:tcBorders>
              <w:top w:val="nil"/>
              <w:left w:val="nil"/>
              <w:bottom w:val="nil"/>
              <w:right w:val="nil"/>
            </w:tcBorders>
            <w:shd w:val="clear" w:color="auto" w:fill="auto"/>
            <w:noWrap/>
            <w:vAlign w:val="bottom"/>
          </w:tcPr>
          <w:p>
            <w:pPr>
              <w:widowControl/>
              <w:jc w:val="center"/>
              <w:rPr>
                <w:color w:val="000000"/>
                <w:kern w:val="0"/>
                <w:sz w:val="18"/>
                <w:szCs w:val="18"/>
              </w:rPr>
            </w:pPr>
          </w:p>
        </w:tc>
      </w:tr>
      <w:tr>
        <w:tblPrEx>
          <w:tblLayout w:type="fixed"/>
          <w:tblCellMar>
            <w:top w:w="0" w:type="dxa"/>
            <w:left w:w="108" w:type="dxa"/>
            <w:bottom w:w="0" w:type="dxa"/>
            <w:right w:w="108" w:type="dxa"/>
          </w:tblCellMar>
        </w:tblPrEx>
        <w:trPr>
          <w:trHeight w:val="278"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4491"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88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272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5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677" w:type="dxa"/>
            <w:tcBorders>
              <w:top w:val="nil"/>
              <w:left w:val="nil"/>
              <w:bottom w:val="nil"/>
              <w:right w:val="nil"/>
            </w:tcBorders>
            <w:shd w:val="clear" w:color="auto" w:fill="auto"/>
            <w:noWrap/>
            <w:vAlign w:val="bottom"/>
          </w:tcPr>
          <w:p>
            <w:pPr>
              <w:widowControl/>
              <w:jc w:val="left"/>
              <w:rPr>
                <w:rFonts w:eastAsia="Times New Roman"/>
                <w:kern w:val="0"/>
                <w:sz w:val="18"/>
                <w:szCs w:val="18"/>
              </w:rPr>
            </w:pPr>
          </w:p>
        </w:tc>
      </w:tr>
      <w:tr>
        <w:tblPrEx>
          <w:tblLayout w:type="fixed"/>
          <w:tblCellMar>
            <w:top w:w="0" w:type="dxa"/>
            <w:left w:w="108" w:type="dxa"/>
            <w:bottom w:w="0" w:type="dxa"/>
            <w:right w:w="108" w:type="dxa"/>
          </w:tblCellMar>
        </w:tblPrEx>
        <w:trPr>
          <w:trHeight w:val="990" w:hRule="atLeast"/>
          <w:jc w:val="center"/>
        </w:trPr>
        <w:tc>
          <w:tcPr>
            <w:tcW w:w="7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项目绩效</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60</w:t>
            </w:r>
          </w:p>
        </w:tc>
        <w:tc>
          <w:tcPr>
            <w:tcW w:w="7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项目产出</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30</w:t>
            </w:r>
          </w:p>
        </w:tc>
        <w:tc>
          <w:tcPr>
            <w:tcW w:w="704"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产出</w:t>
            </w:r>
            <w:r>
              <w:rPr>
                <w:rFonts w:hint="eastAsia"/>
                <w:color w:val="000000"/>
                <w:kern w:val="0"/>
                <w:sz w:val="18"/>
                <w:szCs w:val="18"/>
              </w:rPr>
              <w:br w:type="textWrapping"/>
            </w:r>
            <w:r>
              <w:rPr>
                <w:rFonts w:hint="eastAsia"/>
                <w:color w:val="000000"/>
                <w:kern w:val="0"/>
                <w:sz w:val="18"/>
                <w:szCs w:val="18"/>
              </w:rPr>
              <w:t>数量</w:t>
            </w:r>
          </w:p>
        </w:tc>
        <w:tc>
          <w:tcPr>
            <w:tcW w:w="566"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10</w:t>
            </w:r>
          </w:p>
        </w:tc>
        <w:tc>
          <w:tcPr>
            <w:tcW w:w="4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目标完成率=目标完成数/预定目标数×100%</w:t>
            </w:r>
          </w:p>
        </w:tc>
        <w:tc>
          <w:tcPr>
            <w:tcW w:w="288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完成绩效目标100%得10分，未完成100%的同比例扣减。</w:t>
            </w:r>
          </w:p>
        </w:tc>
        <w:tc>
          <w:tcPr>
            <w:tcW w:w="2720" w:type="dxa"/>
            <w:tcBorders>
              <w:top w:val="nil"/>
              <w:left w:val="nil"/>
              <w:bottom w:val="single" w:color="auto" w:sz="4" w:space="0"/>
              <w:right w:val="single" w:color="auto" w:sz="4" w:space="0"/>
            </w:tcBorders>
            <w:shd w:val="clear" w:color="auto" w:fill="auto"/>
            <w:vAlign w:val="center"/>
          </w:tcPr>
          <w:p>
            <w:pPr>
              <w:widowControl/>
              <w:jc w:val="left"/>
              <w:rPr>
                <w:kern w:val="0"/>
                <w:sz w:val="18"/>
                <w:szCs w:val="18"/>
              </w:rPr>
            </w:pPr>
            <w:r>
              <w:rPr>
                <w:rFonts w:hint="eastAsia"/>
                <w:kern w:val="0"/>
                <w:sz w:val="18"/>
                <w:szCs w:val="18"/>
              </w:rPr>
              <w:t>轮换收购完成1</w:t>
            </w:r>
            <w:r>
              <w:rPr>
                <w:kern w:val="0"/>
                <w:sz w:val="18"/>
                <w:szCs w:val="18"/>
              </w:rPr>
              <w:t>00</w:t>
            </w:r>
            <w:r>
              <w:rPr>
                <w:rFonts w:hint="eastAsia"/>
                <w:kern w:val="0"/>
                <w:sz w:val="18"/>
                <w:szCs w:val="18"/>
              </w:rPr>
              <w:t>%，能换销售延迟至次年2月完成，综合完成率5</w:t>
            </w:r>
            <w:r>
              <w:rPr>
                <w:kern w:val="0"/>
                <w:sz w:val="18"/>
                <w:szCs w:val="18"/>
              </w:rPr>
              <w:t>0</w:t>
            </w:r>
            <w:r>
              <w:rPr>
                <w:rFonts w:hint="eastAsia"/>
                <w:kern w:val="0"/>
                <w:sz w:val="18"/>
                <w:szCs w:val="18"/>
              </w:rPr>
              <w:t>%。考虑轮换销售履行了上报审批程序的因素，酌情扣3分。</w:t>
            </w:r>
          </w:p>
        </w:tc>
        <w:tc>
          <w:tcPr>
            <w:tcW w:w="558"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7</w:t>
            </w:r>
          </w:p>
        </w:tc>
        <w:tc>
          <w:tcPr>
            <w:tcW w:w="677" w:type="dxa"/>
            <w:vAlign w:val="center"/>
          </w:tcPr>
          <w:p>
            <w:pPr>
              <w:widowControl/>
              <w:jc w:val="left"/>
              <w:rPr>
                <w:rFonts w:eastAsia="Times New Roman"/>
                <w:kern w:val="0"/>
                <w:sz w:val="18"/>
                <w:szCs w:val="18"/>
              </w:rPr>
            </w:pPr>
          </w:p>
        </w:tc>
      </w:tr>
      <w:tr>
        <w:tblPrEx>
          <w:tblLayout w:type="fixed"/>
          <w:tblCellMar>
            <w:top w:w="0" w:type="dxa"/>
            <w:left w:w="108" w:type="dxa"/>
            <w:bottom w:w="0" w:type="dxa"/>
            <w:right w:w="108" w:type="dxa"/>
          </w:tblCellMar>
        </w:tblPrEx>
        <w:trPr>
          <w:trHeight w:val="990"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产出</w:t>
            </w:r>
            <w:r>
              <w:rPr>
                <w:rFonts w:hint="eastAsia"/>
                <w:color w:val="000000"/>
                <w:kern w:val="0"/>
                <w:sz w:val="18"/>
                <w:szCs w:val="18"/>
              </w:rPr>
              <w:br w:type="textWrapping"/>
            </w:r>
            <w:r>
              <w:rPr>
                <w:rFonts w:hint="eastAsia"/>
                <w:color w:val="000000"/>
                <w:kern w:val="0"/>
                <w:sz w:val="18"/>
                <w:szCs w:val="18"/>
              </w:rPr>
              <w:t>质量</w:t>
            </w:r>
          </w:p>
        </w:tc>
        <w:tc>
          <w:tcPr>
            <w:tcW w:w="5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8</w:t>
            </w:r>
          </w:p>
        </w:tc>
        <w:tc>
          <w:tcPr>
            <w:tcW w:w="4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按《津市市人民政府关于印发（津市市地方储备粮管理办法）的通知》（津政发[2016]31号）等文件要求，确保地方储备粮数量真实、质量良好和储备安全。</w:t>
            </w:r>
          </w:p>
        </w:tc>
        <w:tc>
          <w:tcPr>
            <w:tcW w:w="288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每出现1例因储备粮管理不善造成后果的，扣1分。</w:t>
            </w:r>
          </w:p>
        </w:tc>
        <w:tc>
          <w:tcPr>
            <w:tcW w:w="2720" w:type="dxa"/>
            <w:tcBorders>
              <w:top w:val="nil"/>
              <w:left w:val="nil"/>
              <w:bottom w:val="single" w:color="auto" w:sz="4" w:space="0"/>
              <w:right w:val="single" w:color="auto" w:sz="4" w:space="0"/>
            </w:tcBorders>
            <w:shd w:val="clear" w:color="auto" w:fill="auto"/>
            <w:vAlign w:val="center"/>
          </w:tcPr>
          <w:p>
            <w:pPr>
              <w:widowControl/>
              <w:jc w:val="left"/>
              <w:rPr>
                <w:kern w:val="0"/>
                <w:sz w:val="18"/>
                <w:szCs w:val="18"/>
              </w:rPr>
            </w:pPr>
            <w:r>
              <w:rPr>
                <w:rFonts w:hint="eastAsia"/>
                <w:kern w:val="0"/>
                <w:sz w:val="18"/>
                <w:szCs w:val="18"/>
              </w:rPr>
              <w:t>未出现因储备粮管理不善造成后果的情况。并根据市场行情制度先购后销的轮换工作方案，按期完成粮食收购工作，于2022年2月完成销售工作。</w:t>
            </w:r>
          </w:p>
        </w:tc>
        <w:tc>
          <w:tcPr>
            <w:tcW w:w="558"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8</w:t>
            </w:r>
          </w:p>
        </w:tc>
        <w:tc>
          <w:tcPr>
            <w:tcW w:w="677" w:type="dxa"/>
            <w:vAlign w:val="center"/>
          </w:tcPr>
          <w:p>
            <w:pPr>
              <w:widowControl/>
              <w:jc w:val="left"/>
              <w:rPr>
                <w:rFonts w:eastAsia="Times New Roman"/>
                <w:kern w:val="0"/>
                <w:sz w:val="18"/>
                <w:szCs w:val="18"/>
              </w:rPr>
            </w:pPr>
          </w:p>
        </w:tc>
      </w:tr>
      <w:tr>
        <w:tblPrEx>
          <w:tblLayout w:type="fixed"/>
          <w:tblCellMar>
            <w:top w:w="0" w:type="dxa"/>
            <w:left w:w="108" w:type="dxa"/>
            <w:bottom w:w="0" w:type="dxa"/>
            <w:right w:w="108" w:type="dxa"/>
          </w:tblCellMar>
        </w:tblPrEx>
        <w:trPr>
          <w:trHeight w:val="990"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产出</w:t>
            </w:r>
            <w:r>
              <w:rPr>
                <w:rFonts w:hint="eastAsia"/>
                <w:color w:val="000000"/>
                <w:kern w:val="0"/>
                <w:sz w:val="18"/>
                <w:szCs w:val="18"/>
              </w:rPr>
              <w:br w:type="textWrapping"/>
            </w:r>
            <w:r>
              <w:rPr>
                <w:rFonts w:hint="eastAsia"/>
                <w:color w:val="000000"/>
                <w:kern w:val="0"/>
                <w:sz w:val="18"/>
                <w:szCs w:val="18"/>
              </w:rPr>
              <w:t>时效</w:t>
            </w:r>
          </w:p>
        </w:tc>
        <w:tc>
          <w:tcPr>
            <w:tcW w:w="5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5</w:t>
            </w:r>
          </w:p>
        </w:tc>
        <w:tc>
          <w:tcPr>
            <w:tcW w:w="4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按</w:t>
            </w:r>
            <w:r>
              <w:rPr>
                <w:color w:val="000000"/>
                <w:kern w:val="0"/>
                <w:sz w:val="18"/>
                <w:szCs w:val="18"/>
              </w:rPr>
              <w:t>《津市市地方储备粮管理办法》</w:t>
            </w:r>
            <w:r>
              <w:rPr>
                <w:rFonts w:hint="eastAsia"/>
                <w:color w:val="000000"/>
                <w:kern w:val="0"/>
                <w:sz w:val="18"/>
                <w:szCs w:val="18"/>
              </w:rPr>
              <w:t>等文件要求，保证地方储备粮数量轮换工作按期完成。</w:t>
            </w:r>
          </w:p>
        </w:tc>
        <w:tc>
          <w:tcPr>
            <w:tcW w:w="288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p>
        </w:tc>
        <w:tc>
          <w:tcPr>
            <w:tcW w:w="2720" w:type="dxa"/>
            <w:tcBorders>
              <w:top w:val="nil"/>
              <w:left w:val="nil"/>
              <w:bottom w:val="single" w:color="auto" w:sz="4" w:space="0"/>
              <w:right w:val="single" w:color="auto" w:sz="4" w:space="0"/>
            </w:tcBorders>
            <w:shd w:val="clear" w:color="auto" w:fill="auto"/>
            <w:vAlign w:val="center"/>
          </w:tcPr>
          <w:p>
            <w:pPr>
              <w:widowControl/>
              <w:jc w:val="left"/>
              <w:rPr>
                <w:kern w:val="0"/>
                <w:sz w:val="18"/>
                <w:szCs w:val="18"/>
              </w:rPr>
            </w:pPr>
            <w:r>
              <w:rPr>
                <w:rFonts w:hint="eastAsia"/>
                <w:color w:val="000000"/>
                <w:kern w:val="0"/>
                <w:sz w:val="18"/>
                <w:szCs w:val="18"/>
              </w:rPr>
              <w:t>根据市场行情制定了先购后销的轮换工作方案，轮换收购及时完成，能换销售延迟至次年2月完成。考虑轮换销售履行了上报审批程序的因素，酌情扣</w:t>
            </w:r>
            <w:r>
              <w:rPr>
                <w:color w:val="000000"/>
                <w:kern w:val="0"/>
                <w:sz w:val="18"/>
                <w:szCs w:val="18"/>
              </w:rPr>
              <w:t>1</w:t>
            </w:r>
            <w:r>
              <w:rPr>
                <w:rFonts w:hint="eastAsia"/>
                <w:color w:val="000000"/>
                <w:kern w:val="0"/>
                <w:sz w:val="18"/>
                <w:szCs w:val="18"/>
              </w:rPr>
              <w:t>分。</w:t>
            </w:r>
          </w:p>
        </w:tc>
        <w:tc>
          <w:tcPr>
            <w:tcW w:w="558"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4</w:t>
            </w:r>
          </w:p>
        </w:tc>
        <w:tc>
          <w:tcPr>
            <w:tcW w:w="677" w:type="dxa"/>
            <w:vAlign w:val="center"/>
          </w:tcPr>
          <w:p>
            <w:pPr>
              <w:widowControl/>
              <w:jc w:val="left"/>
              <w:rPr>
                <w:rFonts w:eastAsia="Times New Roman"/>
                <w:kern w:val="0"/>
                <w:sz w:val="18"/>
                <w:szCs w:val="18"/>
              </w:rPr>
            </w:pPr>
          </w:p>
        </w:tc>
      </w:tr>
      <w:tr>
        <w:tblPrEx>
          <w:tblLayout w:type="fixed"/>
          <w:tblCellMar>
            <w:top w:w="0" w:type="dxa"/>
            <w:left w:w="108" w:type="dxa"/>
            <w:bottom w:w="0" w:type="dxa"/>
            <w:right w:w="108" w:type="dxa"/>
          </w:tblCellMar>
        </w:tblPrEx>
        <w:trPr>
          <w:trHeight w:val="990"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产出</w:t>
            </w:r>
            <w:r>
              <w:rPr>
                <w:color w:val="000000"/>
                <w:kern w:val="0"/>
                <w:sz w:val="18"/>
                <w:szCs w:val="18"/>
              </w:rPr>
              <w:t>成本</w:t>
            </w:r>
          </w:p>
        </w:tc>
        <w:tc>
          <w:tcPr>
            <w:tcW w:w="5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7</w:t>
            </w:r>
          </w:p>
        </w:tc>
        <w:tc>
          <w:tcPr>
            <w:tcW w:w="4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粮食保管、轮换、贷款利息等成本费用的财政补贴资金的拨付，</w:t>
            </w:r>
            <w:r>
              <w:rPr>
                <w:color w:val="000000"/>
                <w:kern w:val="0"/>
                <w:sz w:val="18"/>
                <w:szCs w:val="18"/>
              </w:rPr>
              <w:t>合理合规，不超预算</w:t>
            </w:r>
            <w:r>
              <w:rPr>
                <w:rFonts w:hint="eastAsia"/>
                <w:color w:val="000000"/>
                <w:kern w:val="0"/>
                <w:sz w:val="18"/>
                <w:szCs w:val="18"/>
              </w:rPr>
              <w:t>。</w:t>
            </w:r>
          </w:p>
        </w:tc>
        <w:tc>
          <w:tcPr>
            <w:tcW w:w="288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超</w:t>
            </w:r>
            <w:r>
              <w:rPr>
                <w:rFonts w:hint="eastAsia"/>
                <w:color w:val="000000"/>
                <w:kern w:val="0"/>
                <w:sz w:val="18"/>
                <w:szCs w:val="18"/>
              </w:rPr>
              <w:t>预算拨付按</w:t>
            </w:r>
            <w:r>
              <w:rPr>
                <w:color w:val="000000"/>
                <w:kern w:val="0"/>
                <w:sz w:val="18"/>
                <w:szCs w:val="18"/>
              </w:rPr>
              <w:t>比例扣减。</w:t>
            </w:r>
          </w:p>
        </w:tc>
        <w:tc>
          <w:tcPr>
            <w:tcW w:w="2720" w:type="dxa"/>
            <w:tcBorders>
              <w:top w:val="nil"/>
              <w:left w:val="nil"/>
              <w:bottom w:val="single" w:color="auto" w:sz="4" w:space="0"/>
              <w:right w:val="single" w:color="auto" w:sz="4" w:space="0"/>
            </w:tcBorders>
            <w:shd w:val="clear" w:color="auto" w:fill="auto"/>
            <w:vAlign w:val="center"/>
          </w:tcPr>
          <w:p>
            <w:pPr>
              <w:widowControl/>
              <w:jc w:val="left"/>
              <w:rPr>
                <w:kern w:val="0"/>
                <w:sz w:val="18"/>
                <w:szCs w:val="18"/>
              </w:rPr>
            </w:pPr>
            <w:r>
              <w:rPr>
                <w:rFonts w:hint="eastAsia"/>
                <w:kern w:val="0"/>
                <w:sz w:val="18"/>
                <w:szCs w:val="18"/>
              </w:rPr>
              <w:t>粮食保管、轮换、贷款利息等成本费用的财政补贴的拨付，未超定额或包干预算资金总额。</w:t>
            </w:r>
          </w:p>
        </w:tc>
        <w:tc>
          <w:tcPr>
            <w:tcW w:w="558"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7</w:t>
            </w:r>
          </w:p>
        </w:tc>
        <w:tc>
          <w:tcPr>
            <w:tcW w:w="677" w:type="dxa"/>
            <w:vAlign w:val="center"/>
          </w:tcPr>
          <w:p>
            <w:pPr>
              <w:widowControl/>
              <w:jc w:val="left"/>
              <w:rPr>
                <w:rFonts w:eastAsia="Times New Roman"/>
                <w:kern w:val="0"/>
                <w:sz w:val="18"/>
                <w:szCs w:val="18"/>
              </w:rPr>
            </w:pPr>
          </w:p>
        </w:tc>
      </w:tr>
      <w:tr>
        <w:tblPrEx>
          <w:tblLayout w:type="fixed"/>
          <w:tblCellMar>
            <w:top w:w="0" w:type="dxa"/>
            <w:left w:w="108" w:type="dxa"/>
            <w:bottom w:w="0" w:type="dxa"/>
            <w:right w:w="108" w:type="dxa"/>
          </w:tblCellMar>
        </w:tblPrEx>
        <w:trPr>
          <w:trHeight w:val="1217"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项目效果</w:t>
            </w:r>
          </w:p>
        </w:tc>
        <w:tc>
          <w:tcPr>
            <w:tcW w:w="56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3</w:t>
            </w:r>
            <w:r>
              <w:rPr>
                <w:color w:val="000000"/>
                <w:kern w:val="0"/>
                <w:sz w:val="18"/>
                <w:szCs w:val="18"/>
              </w:rPr>
              <w:t>0</w:t>
            </w:r>
          </w:p>
        </w:tc>
        <w:tc>
          <w:tcPr>
            <w:tcW w:w="704"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经济</w:t>
            </w:r>
            <w:r>
              <w:rPr>
                <w:color w:val="000000"/>
                <w:kern w:val="0"/>
                <w:sz w:val="18"/>
                <w:szCs w:val="18"/>
              </w:rPr>
              <w:t>效益</w:t>
            </w:r>
          </w:p>
        </w:tc>
        <w:tc>
          <w:tcPr>
            <w:tcW w:w="5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8</w:t>
            </w:r>
          </w:p>
        </w:tc>
        <w:tc>
          <w:tcPr>
            <w:tcW w:w="4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指项目对国民经济和区域经济发展所带来的直接或间接效益等。</w:t>
            </w:r>
          </w:p>
        </w:tc>
        <w:tc>
          <w:tcPr>
            <w:tcW w:w="288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完成绩效目标设定的经济效益得</w:t>
            </w:r>
            <w:r>
              <w:rPr>
                <w:rFonts w:hint="eastAsia"/>
                <w:color w:val="000000"/>
                <w:kern w:val="0"/>
                <w:sz w:val="18"/>
                <w:szCs w:val="18"/>
              </w:rPr>
              <w:t>8</w:t>
            </w:r>
            <w:r>
              <w:rPr>
                <w:color w:val="000000"/>
                <w:kern w:val="0"/>
                <w:sz w:val="18"/>
                <w:szCs w:val="18"/>
              </w:rPr>
              <w:t>分，未完成的，按完成情况酌情扣分。</w:t>
            </w:r>
          </w:p>
        </w:tc>
        <w:tc>
          <w:tcPr>
            <w:tcW w:w="272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粮食保管、轮换、贷款利息等支出等成本费用控制在预算资金限额内。</w:t>
            </w:r>
          </w:p>
        </w:tc>
        <w:tc>
          <w:tcPr>
            <w:tcW w:w="558"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8</w:t>
            </w:r>
          </w:p>
        </w:tc>
        <w:tc>
          <w:tcPr>
            <w:tcW w:w="677" w:type="dxa"/>
            <w:vAlign w:val="center"/>
          </w:tcPr>
          <w:p>
            <w:pPr>
              <w:widowControl/>
              <w:jc w:val="left"/>
              <w:rPr>
                <w:rFonts w:eastAsia="Times New Roman"/>
                <w:kern w:val="0"/>
                <w:sz w:val="18"/>
                <w:szCs w:val="18"/>
              </w:rPr>
            </w:pPr>
          </w:p>
        </w:tc>
      </w:tr>
      <w:tr>
        <w:tblPrEx>
          <w:tblLayout w:type="fixed"/>
          <w:tblCellMar>
            <w:top w:w="0" w:type="dxa"/>
            <w:left w:w="108" w:type="dxa"/>
            <w:bottom w:w="0" w:type="dxa"/>
            <w:right w:w="108" w:type="dxa"/>
          </w:tblCellMar>
        </w:tblPrEx>
        <w:trPr>
          <w:trHeight w:val="1217"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社会效益</w:t>
            </w:r>
          </w:p>
        </w:tc>
        <w:tc>
          <w:tcPr>
            <w:tcW w:w="5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8</w:t>
            </w:r>
          </w:p>
        </w:tc>
        <w:tc>
          <w:tcPr>
            <w:tcW w:w="4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确保粮食安全，保障社会稳定，增强政府宏观调控能力</w:t>
            </w:r>
            <w:r>
              <w:rPr>
                <w:rFonts w:hint="eastAsia"/>
                <w:color w:val="000000"/>
                <w:kern w:val="0"/>
                <w:sz w:val="18"/>
                <w:szCs w:val="18"/>
              </w:rPr>
              <w:t>，</w:t>
            </w:r>
            <w:r>
              <w:rPr>
                <w:color w:val="000000"/>
                <w:kern w:val="0"/>
                <w:sz w:val="18"/>
                <w:szCs w:val="18"/>
              </w:rPr>
              <w:t>并对地方储备粮的数量、质量和储存安全负责。</w:t>
            </w:r>
          </w:p>
        </w:tc>
        <w:tc>
          <w:tcPr>
            <w:tcW w:w="288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对照绩效目标评价社会效益（按优8分、良6分、中4分、差2分进行评价）。</w:t>
            </w:r>
          </w:p>
        </w:tc>
        <w:tc>
          <w:tcPr>
            <w:tcW w:w="2720" w:type="dxa"/>
            <w:tcBorders>
              <w:top w:val="nil"/>
              <w:left w:val="nil"/>
              <w:bottom w:val="single" w:color="auto" w:sz="4" w:space="0"/>
              <w:right w:val="single" w:color="auto" w:sz="4" w:space="0"/>
            </w:tcBorders>
            <w:shd w:val="clear" w:color="auto" w:fill="auto"/>
            <w:vAlign w:val="center"/>
          </w:tcPr>
          <w:p>
            <w:pPr>
              <w:widowControl/>
              <w:jc w:val="left"/>
              <w:rPr>
                <w:kern w:val="0"/>
                <w:sz w:val="18"/>
                <w:szCs w:val="18"/>
              </w:rPr>
            </w:pPr>
            <w:r>
              <w:rPr>
                <w:color w:val="000000"/>
                <w:kern w:val="0"/>
                <w:sz w:val="18"/>
                <w:szCs w:val="18"/>
              </w:rPr>
              <w:t>年内，没有出现因粮食</w:t>
            </w:r>
            <w:r>
              <w:rPr>
                <w:rFonts w:hint="eastAsia"/>
                <w:color w:val="000000"/>
                <w:kern w:val="0"/>
                <w:sz w:val="18"/>
                <w:szCs w:val="18"/>
              </w:rPr>
              <w:t>收储、轮换和</w:t>
            </w:r>
            <w:r>
              <w:rPr>
                <w:color w:val="000000"/>
                <w:kern w:val="0"/>
                <w:sz w:val="18"/>
                <w:szCs w:val="18"/>
              </w:rPr>
              <w:t>安全问题引起社会</w:t>
            </w:r>
            <w:r>
              <w:rPr>
                <w:rFonts w:hint="eastAsia"/>
                <w:color w:val="000000"/>
                <w:kern w:val="0"/>
                <w:sz w:val="18"/>
                <w:szCs w:val="18"/>
              </w:rPr>
              <w:t>不</w:t>
            </w:r>
            <w:r>
              <w:rPr>
                <w:color w:val="000000"/>
                <w:kern w:val="0"/>
                <w:sz w:val="18"/>
                <w:szCs w:val="18"/>
              </w:rPr>
              <w:t>稳定等事件，社会效益等级确定为“优”，得</w:t>
            </w:r>
            <w:r>
              <w:rPr>
                <w:rFonts w:hint="eastAsia"/>
                <w:color w:val="000000"/>
                <w:kern w:val="0"/>
                <w:sz w:val="18"/>
                <w:szCs w:val="18"/>
              </w:rPr>
              <w:t>8</w:t>
            </w:r>
            <w:r>
              <w:rPr>
                <w:color w:val="000000"/>
                <w:kern w:val="0"/>
                <w:sz w:val="18"/>
                <w:szCs w:val="18"/>
              </w:rPr>
              <w:t>分。</w:t>
            </w:r>
          </w:p>
        </w:tc>
        <w:tc>
          <w:tcPr>
            <w:tcW w:w="558"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8</w:t>
            </w:r>
          </w:p>
        </w:tc>
        <w:tc>
          <w:tcPr>
            <w:tcW w:w="677" w:type="dxa"/>
            <w:vAlign w:val="center"/>
          </w:tcPr>
          <w:p>
            <w:pPr>
              <w:widowControl/>
              <w:jc w:val="left"/>
              <w:rPr>
                <w:rFonts w:eastAsia="Times New Roman"/>
                <w:kern w:val="0"/>
                <w:sz w:val="18"/>
                <w:szCs w:val="18"/>
              </w:rPr>
            </w:pPr>
          </w:p>
        </w:tc>
      </w:tr>
      <w:tr>
        <w:tblPrEx>
          <w:tblLayout w:type="fixed"/>
          <w:tblCellMar>
            <w:top w:w="0" w:type="dxa"/>
            <w:left w:w="108" w:type="dxa"/>
            <w:bottom w:w="0" w:type="dxa"/>
            <w:right w:w="108" w:type="dxa"/>
          </w:tblCellMar>
        </w:tblPrEx>
        <w:trPr>
          <w:trHeight w:val="1217"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可持续影响</w:t>
            </w:r>
          </w:p>
        </w:tc>
        <w:tc>
          <w:tcPr>
            <w:tcW w:w="5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8</w:t>
            </w:r>
          </w:p>
        </w:tc>
        <w:tc>
          <w:tcPr>
            <w:tcW w:w="4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项目实施对人、自然、资源是否带来可持续影响</w:t>
            </w:r>
          </w:p>
        </w:tc>
        <w:tc>
          <w:tcPr>
            <w:tcW w:w="288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完成绩效设定目标的得8分，未完成的，按完成情况酌情扣分</w:t>
            </w:r>
            <w:r>
              <w:rPr>
                <w:color w:val="000000"/>
                <w:kern w:val="0"/>
                <w:sz w:val="18"/>
                <w:szCs w:val="18"/>
              </w:rPr>
              <w:t>（按优</w:t>
            </w:r>
            <w:r>
              <w:rPr>
                <w:rFonts w:hint="eastAsia"/>
                <w:color w:val="000000"/>
                <w:kern w:val="0"/>
                <w:sz w:val="18"/>
                <w:szCs w:val="18"/>
              </w:rPr>
              <w:t>8</w:t>
            </w:r>
            <w:r>
              <w:rPr>
                <w:color w:val="000000"/>
                <w:kern w:val="0"/>
                <w:sz w:val="18"/>
                <w:szCs w:val="18"/>
              </w:rPr>
              <w:t>分、良</w:t>
            </w:r>
            <w:r>
              <w:rPr>
                <w:rFonts w:hint="eastAsia"/>
                <w:color w:val="000000"/>
                <w:kern w:val="0"/>
                <w:sz w:val="18"/>
                <w:szCs w:val="18"/>
              </w:rPr>
              <w:t>6</w:t>
            </w:r>
            <w:r>
              <w:rPr>
                <w:color w:val="000000"/>
                <w:kern w:val="0"/>
                <w:sz w:val="18"/>
                <w:szCs w:val="18"/>
              </w:rPr>
              <w:t>分、中</w:t>
            </w:r>
            <w:r>
              <w:rPr>
                <w:rFonts w:hint="eastAsia"/>
                <w:color w:val="000000"/>
                <w:kern w:val="0"/>
                <w:sz w:val="18"/>
                <w:szCs w:val="18"/>
              </w:rPr>
              <w:t>4</w:t>
            </w:r>
            <w:r>
              <w:rPr>
                <w:color w:val="000000"/>
                <w:kern w:val="0"/>
                <w:sz w:val="18"/>
                <w:szCs w:val="18"/>
              </w:rPr>
              <w:t>分、差</w:t>
            </w:r>
            <w:r>
              <w:rPr>
                <w:rFonts w:hint="eastAsia"/>
                <w:color w:val="000000"/>
                <w:kern w:val="0"/>
                <w:sz w:val="18"/>
                <w:szCs w:val="18"/>
              </w:rPr>
              <w:t>2</w:t>
            </w:r>
            <w:r>
              <w:rPr>
                <w:color w:val="000000"/>
                <w:kern w:val="0"/>
                <w:sz w:val="18"/>
                <w:szCs w:val="18"/>
              </w:rPr>
              <w:t>分进行评价）。</w:t>
            </w:r>
          </w:p>
        </w:tc>
        <w:tc>
          <w:tcPr>
            <w:tcW w:w="2720" w:type="dxa"/>
            <w:tcBorders>
              <w:top w:val="nil"/>
              <w:left w:val="nil"/>
              <w:bottom w:val="single" w:color="auto" w:sz="4" w:space="0"/>
              <w:right w:val="single" w:color="auto" w:sz="4" w:space="0"/>
            </w:tcBorders>
            <w:shd w:val="clear" w:color="auto" w:fill="auto"/>
            <w:vAlign w:val="center"/>
          </w:tcPr>
          <w:p>
            <w:pPr>
              <w:widowControl/>
              <w:jc w:val="left"/>
              <w:rPr>
                <w:kern w:val="0"/>
                <w:sz w:val="18"/>
                <w:szCs w:val="18"/>
              </w:rPr>
            </w:pPr>
            <w:r>
              <w:rPr>
                <w:rFonts w:hint="eastAsia"/>
                <w:color w:val="000000"/>
                <w:kern w:val="0"/>
                <w:sz w:val="18"/>
                <w:szCs w:val="18"/>
              </w:rPr>
              <w:t>绩效设定目标已完成</w:t>
            </w:r>
          </w:p>
        </w:tc>
        <w:tc>
          <w:tcPr>
            <w:tcW w:w="558"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8</w:t>
            </w:r>
          </w:p>
        </w:tc>
        <w:tc>
          <w:tcPr>
            <w:tcW w:w="677" w:type="dxa"/>
            <w:vAlign w:val="center"/>
          </w:tcPr>
          <w:p>
            <w:pPr>
              <w:widowControl/>
              <w:jc w:val="left"/>
              <w:rPr>
                <w:rFonts w:eastAsia="Times New Roman"/>
                <w:kern w:val="0"/>
                <w:sz w:val="18"/>
                <w:szCs w:val="18"/>
              </w:rPr>
            </w:pPr>
          </w:p>
        </w:tc>
      </w:tr>
      <w:tr>
        <w:tblPrEx>
          <w:tblLayout w:type="fixed"/>
          <w:tblCellMar>
            <w:top w:w="0" w:type="dxa"/>
            <w:left w:w="108" w:type="dxa"/>
            <w:bottom w:w="0" w:type="dxa"/>
            <w:right w:w="108" w:type="dxa"/>
          </w:tblCellMar>
        </w:tblPrEx>
        <w:trPr>
          <w:trHeight w:val="1217" w:hRule="atLeast"/>
          <w:jc w:val="center"/>
        </w:trPr>
        <w:tc>
          <w:tcPr>
            <w:tcW w:w="727"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56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18"/>
                <w:szCs w:val="18"/>
              </w:rPr>
            </w:pPr>
          </w:p>
        </w:tc>
        <w:tc>
          <w:tcPr>
            <w:tcW w:w="704"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服务</w:t>
            </w:r>
          </w:p>
          <w:p>
            <w:pPr>
              <w:widowControl/>
              <w:jc w:val="center"/>
              <w:rPr>
                <w:color w:val="000000"/>
                <w:kern w:val="0"/>
                <w:sz w:val="18"/>
                <w:szCs w:val="18"/>
              </w:rPr>
            </w:pPr>
            <w:r>
              <w:rPr>
                <w:rFonts w:hint="eastAsia"/>
                <w:color w:val="000000"/>
                <w:kern w:val="0"/>
                <w:sz w:val="18"/>
                <w:szCs w:val="18"/>
              </w:rPr>
              <w:t>对象</w:t>
            </w:r>
          </w:p>
          <w:p>
            <w:pPr>
              <w:widowControl/>
              <w:jc w:val="center"/>
              <w:rPr>
                <w:color w:val="000000"/>
                <w:kern w:val="0"/>
                <w:sz w:val="18"/>
                <w:szCs w:val="18"/>
              </w:rPr>
            </w:pPr>
            <w:r>
              <w:rPr>
                <w:rFonts w:hint="eastAsia"/>
                <w:color w:val="000000"/>
                <w:kern w:val="0"/>
                <w:sz w:val="18"/>
                <w:szCs w:val="18"/>
              </w:rPr>
              <w:t>满意度</w:t>
            </w:r>
          </w:p>
        </w:tc>
        <w:tc>
          <w:tcPr>
            <w:tcW w:w="5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6</w:t>
            </w:r>
          </w:p>
        </w:tc>
        <w:tc>
          <w:tcPr>
            <w:tcW w:w="4491"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服务对象满意率=项目区被调查人数中表示满意的人数(户数)/ 被调查人数(户数)×100%</w:t>
            </w:r>
          </w:p>
        </w:tc>
        <w:tc>
          <w:tcPr>
            <w:tcW w:w="288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rFonts w:hint="eastAsia"/>
                <w:color w:val="000000"/>
                <w:kern w:val="0"/>
                <w:sz w:val="18"/>
                <w:szCs w:val="18"/>
              </w:rPr>
              <w:t>满意率达90%（含）以上的得6分，80%（含）-90%得5分，60%（含）-80%得3分，60%（含）-70%得2分，60%以下不得分。</w:t>
            </w:r>
          </w:p>
        </w:tc>
        <w:tc>
          <w:tcPr>
            <w:tcW w:w="2720" w:type="dxa"/>
            <w:tcBorders>
              <w:top w:val="nil"/>
              <w:left w:val="nil"/>
              <w:bottom w:val="single" w:color="auto" w:sz="4" w:space="0"/>
              <w:right w:val="single" w:color="auto" w:sz="4" w:space="0"/>
            </w:tcBorders>
            <w:shd w:val="clear" w:color="auto" w:fill="auto"/>
            <w:vAlign w:val="center"/>
          </w:tcPr>
          <w:p>
            <w:pPr>
              <w:widowControl/>
              <w:jc w:val="left"/>
              <w:rPr>
                <w:kern w:val="0"/>
                <w:sz w:val="18"/>
                <w:szCs w:val="18"/>
              </w:rPr>
            </w:pPr>
            <w:r>
              <w:rPr>
                <w:rFonts w:hint="eastAsia"/>
                <w:kern w:val="0"/>
                <w:sz w:val="18"/>
                <w:szCs w:val="18"/>
              </w:rPr>
              <w:t>满意率达9</w:t>
            </w:r>
            <w:r>
              <w:rPr>
                <w:kern w:val="0"/>
                <w:sz w:val="18"/>
                <w:szCs w:val="18"/>
              </w:rPr>
              <w:t>1.11</w:t>
            </w:r>
            <w:r>
              <w:rPr>
                <w:rFonts w:hint="eastAsia"/>
                <w:kern w:val="0"/>
                <w:sz w:val="18"/>
                <w:szCs w:val="18"/>
              </w:rPr>
              <w:t>%得6分</w:t>
            </w:r>
          </w:p>
        </w:tc>
        <w:tc>
          <w:tcPr>
            <w:tcW w:w="558"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6</w:t>
            </w:r>
          </w:p>
        </w:tc>
        <w:tc>
          <w:tcPr>
            <w:tcW w:w="677" w:type="dxa"/>
            <w:vAlign w:val="center"/>
          </w:tcPr>
          <w:p>
            <w:pPr>
              <w:widowControl/>
              <w:jc w:val="left"/>
              <w:rPr>
                <w:rFonts w:eastAsia="Times New Roman"/>
                <w:kern w:val="0"/>
                <w:sz w:val="18"/>
                <w:szCs w:val="18"/>
              </w:rPr>
            </w:pPr>
          </w:p>
        </w:tc>
      </w:tr>
      <w:tr>
        <w:tblPrEx>
          <w:tblLayout w:type="fixed"/>
          <w:tblCellMar>
            <w:top w:w="0" w:type="dxa"/>
            <w:left w:w="108" w:type="dxa"/>
            <w:bottom w:w="0" w:type="dxa"/>
            <w:right w:w="108" w:type="dxa"/>
          </w:tblCellMar>
        </w:tblPrEx>
        <w:trPr>
          <w:trHeight w:val="278" w:hRule="atLeast"/>
          <w:jc w:val="center"/>
        </w:trPr>
        <w:tc>
          <w:tcPr>
            <w:tcW w:w="7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总分</w:t>
            </w:r>
          </w:p>
        </w:tc>
        <w:tc>
          <w:tcPr>
            <w:tcW w:w="5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100</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5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100</w:t>
            </w:r>
          </w:p>
        </w:tc>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5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100</w:t>
            </w:r>
          </w:p>
        </w:tc>
        <w:tc>
          <w:tcPr>
            <w:tcW w:w="44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w:t>
            </w:r>
          </w:p>
        </w:tc>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　</w:t>
            </w:r>
          </w:p>
        </w:tc>
        <w:tc>
          <w:tcPr>
            <w:tcW w:w="27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FF0000"/>
                <w:kern w:val="0"/>
                <w:sz w:val="18"/>
                <w:szCs w:val="18"/>
              </w:rPr>
            </w:pPr>
            <w:r>
              <w:rPr>
                <w:color w:val="FF0000"/>
                <w:kern w:val="0"/>
                <w:sz w:val="18"/>
                <w:szCs w:val="18"/>
              </w:rPr>
              <w:t>　</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kern w:val="0"/>
                <w:sz w:val="18"/>
                <w:szCs w:val="18"/>
              </w:rPr>
            </w:pPr>
            <w:r>
              <w:rPr>
                <w:rFonts w:hint="eastAsia"/>
                <w:color w:val="000000"/>
                <w:kern w:val="0"/>
                <w:sz w:val="18"/>
                <w:szCs w:val="18"/>
              </w:rPr>
              <w:t>90</w:t>
            </w:r>
          </w:p>
        </w:tc>
        <w:tc>
          <w:tcPr>
            <w:tcW w:w="677" w:type="dxa"/>
            <w:vAlign w:val="center"/>
          </w:tcPr>
          <w:p>
            <w:pPr>
              <w:widowControl/>
              <w:jc w:val="left"/>
              <w:rPr>
                <w:rFonts w:eastAsia="Times New Roman"/>
                <w:kern w:val="0"/>
                <w:sz w:val="18"/>
                <w:szCs w:val="18"/>
              </w:rPr>
            </w:pPr>
          </w:p>
        </w:tc>
      </w:tr>
      <w:tr>
        <w:tblPrEx>
          <w:tblLayout w:type="fixed"/>
          <w:tblCellMar>
            <w:top w:w="0" w:type="dxa"/>
            <w:left w:w="108" w:type="dxa"/>
            <w:bottom w:w="0" w:type="dxa"/>
            <w:right w:w="108" w:type="dxa"/>
          </w:tblCellMar>
        </w:tblPrEx>
        <w:trPr>
          <w:trHeight w:val="278" w:hRule="atLeast"/>
          <w:jc w:val="center"/>
        </w:trPr>
        <w:tc>
          <w:tcPr>
            <w:tcW w:w="14483"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tabs>
                <w:tab w:val="left" w:pos="2940"/>
              </w:tabs>
              <w:jc w:val="left"/>
              <w:rPr>
                <w:color w:val="000000"/>
                <w:kern w:val="0"/>
                <w:sz w:val="18"/>
                <w:szCs w:val="18"/>
              </w:rPr>
            </w:pPr>
            <w:r>
              <w:rPr>
                <w:color w:val="000000"/>
                <w:kern w:val="0"/>
                <w:sz w:val="18"/>
                <w:szCs w:val="18"/>
              </w:rPr>
              <w:t>绩效评价得分等级划分： 90分（含）-100分为优； 80分（含）-90分为良； 60（含）分-80分为较差； 60分以下为差。</w:t>
            </w:r>
          </w:p>
        </w:tc>
        <w:tc>
          <w:tcPr>
            <w:tcW w:w="677" w:type="dxa"/>
            <w:vAlign w:val="center"/>
          </w:tcPr>
          <w:p>
            <w:pPr>
              <w:widowControl/>
              <w:jc w:val="left"/>
              <w:rPr>
                <w:rFonts w:eastAsia="Times New Roman"/>
                <w:kern w:val="0"/>
                <w:sz w:val="18"/>
                <w:szCs w:val="18"/>
              </w:rPr>
            </w:pPr>
          </w:p>
        </w:tc>
      </w:tr>
    </w:tbl>
    <w:p>
      <w:pPr>
        <w:widowControl/>
        <w:tabs>
          <w:tab w:val="left" w:pos="2940"/>
        </w:tabs>
        <w:jc w:val="left"/>
        <w:rPr>
          <w:szCs w:val="21"/>
        </w:rPr>
      </w:pPr>
    </w:p>
    <w:p>
      <w:pPr>
        <w:widowControl/>
        <w:tabs>
          <w:tab w:val="left" w:pos="2940"/>
        </w:tabs>
        <w:jc w:val="left"/>
        <w:rPr>
          <w:szCs w:val="21"/>
        </w:rPr>
        <w:sectPr>
          <w:footerReference r:id="rId4" w:type="default"/>
          <w:pgSz w:w="16838" w:h="11906" w:orient="landscape"/>
          <w:pgMar w:top="1800" w:right="1440" w:bottom="1800" w:left="1440" w:header="851" w:footer="992" w:gutter="0"/>
          <w:cols w:space="425" w:num="1"/>
          <w:docGrid w:type="lines" w:linePitch="312" w:charSpace="0"/>
        </w:sectPr>
      </w:pPr>
    </w:p>
    <w:p>
      <w:pPr>
        <w:widowControl/>
        <w:tabs>
          <w:tab w:val="left" w:pos="2940"/>
        </w:tabs>
        <w:jc w:val="center"/>
        <w:rPr>
          <w:rFonts w:ascii="宋体" w:hAnsi="宋体"/>
          <w:sz w:val="32"/>
          <w:szCs w:val="32"/>
        </w:rPr>
      </w:pPr>
      <w:r>
        <w:rPr>
          <w:rFonts w:hint="eastAsia"/>
          <w:sz w:val="32"/>
          <w:szCs w:val="32"/>
        </w:rPr>
        <w:t>附件2：2021</w:t>
      </w:r>
      <w:r>
        <w:rPr>
          <w:rFonts w:hint="eastAsia" w:ascii="宋体" w:hAnsi="宋体"/>
          <w:sz w:val="32"/>
          <w:szCs w:val="32"/>
        </w:rPr>
        <w:t>年度津市市地方储备粮补贴专项资金绩效评价满意度社会调查问卷</w:t>
      </w:r>
    </w:p>
    <w:p>
      <w:pPr>
        <w:snapToGrid w:val="0"/>
        <w:spacing w:line="480" w:lineRule="exact"/>
        <w:rPr>
          <w:rFonts w:ascii="仿宋" w:hAnsi="仿宋" w:eastAsia="仿宋" w:cstheme="minorBidi"/>
          <w:sz w:val="32"/>
          <w:szCs w:val="32"/>
        </w:rPr>
      </w:pPr>
      <w:r>
        <w:rPr>
          <w:rFonts w:hint="eastAsia" w:ascii="仿宋" w:hAnsi="仿宋" w:eastAsia="仿宋" w:cstheme="minorBidi"/>
          <w:sz w:val="32"/>
          <w:szCs w:val="32"/>
        </w:rPr>
        <w:t>1、您的职业或工作岗位是？</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粮食种植大户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普通粮食种植户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ascii="仿宋" w:hAnsi="仿宋" w:eastAsia="仿宋" w:cstheme="minorBidi"/>
          <w:sz w:val="32"/>
          <w:szCs w:val="32"/>
        </w:rPr>
        <w:t>党政机关、镇（街）、事业单位工作人员</w:t>
      </w:r>
      <w:r>
        <w:rPr>
          <w:rFonts w:hint="eastAsia" w:ascii="仿宋" w:hAnsi="仿宋" w:eastAsia="仿宋" w:cstheme="minorBidi"/>
          <w:sz w:val="32"/>
          <w:szCs w:val="32"/>
        </w:rPr>
        <w:t xml:space="preserve">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ascii="仿宋" w:hAnsi="仿宋" w:eastAsia="仿宋" w:cstheme="minorBidi"/>
          <w:sz w:val="32"/>
          <w:szCs w:val="32"/>
        </w:rPr>
        <w:t>村、社区工作人员</w:t>
      </w:r>
      <w:r>
        <w:rPr>
          <w:rFonts w:hint="eastAsia" w:ascii="仿宋" w:hAnsi="仿宋" w:eastAsia="仿宋" w:cstheme="minorBidi"/>
          <w:sz w:val="32"/>
          <w:szCs w:val="32"/>
        </w:rPr>
        <w:t xml:space="preserve">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其他</w:t>
      </w:r>
      <w:r>
        <w:rPr>
          <w:rFonts w:ascii="仿宋" w:hAnsi="仿宋" w:eastAsia="仿宋" w:cstheme="minorBidi"/>
          <w:sz w:val="32"/>
          <w:szCs w:val="32"/>
        </w:rPr>
        <w:t xml:space="preserve">                                       □</w:t>
      </w:r>
    </w:p>
    <w:p>
      <w:pPr>
        <w:snapToGrid w:val="0"/>
        <w:spacing w:line="480" w:lineRule="exact"/>
        <w:rPr>
          <w:rFonts w:ascii="仿宋" w:hAnsi="仿宋" w:eastAsia="仿宋" w:cstheme="minorBidi"/>
          <w:sz w:val="32"/>
          <w:szCs w:val="32"/>
        </w:rPr>
      </w:pPr>
      <w:r>
        <w:rPr>
          <w:rFonts w:hint="eastAsia" w:ascii="仿宋" w:hAnsi="仿宋" w:eastAsia="仿宋" w:cstheme="minorBidi"/>
          <w:sz w:val="32"/>
          <w:szCs w:val="32"/>
        </w:rPr>
        <w:t>2、您是否了解地方粮食储备政策？</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完全了解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基本了解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了解很少                        </w:t>
      </w:r>
      <w:r>
        <w:rPr>
          <w:rFonts w:ascii="仿宋" w:hAnsi="仿宋" w:eastAsia="仿宋" w:cstheme="minorBidi"/>
          <w:sz w:val="32"/>
          <w:szCs w:val="32"/>
        </w:rPr>
        <w:t>□</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不清楚 </w:t>
      </w:r>
      <w:r>
        <w:rPr>
          <w:rFonts w:ascii="仿宋" w:hAnsi="仿宋" w:eastAsia="仿宋" w:cstheme="minorBidi"/>
          <w:sz w:val="32"/>
          <w:szCs w:val="32"/>
        </w:rPr>
        <w:t xml:space="preserve">                         □</w:t>
      </w:r>
    </w:p>
    <w:p>
      <w:pPr>
        <w:snapToGrid w:val="0"/>
        <w:spacing w:line="480" w:lineRule="exact"/>
        <w:rPr>
          <w:rFonts w:ascii="仿宋" w:hAnsi="仿宋" w:eastAsia="仿宋" w:cstheme="minorBidi"/>
          <w:sz w:val="32"/>
          <w:szCs w:val="32"/>
        </w:rPr>
      </w:pPr>
      <w:r>
        <w:rPr>
          <w:rFonts w:hint="eastAsia" w:ascii="仿宋" w:hAnsi="仿宋" w:eastAsia="仿宋" w:cstheme="minorBidi"/>
          <w:sz w:val="32"/>
          <w:szCs w:val="32"/>
        </w:rPr>
        <w:t>3、</w:t>
      </w:r>
      <w:bookmarkStart w:id="29" w:name="_Hlk86392738"/>
      <w:r>
        <w:rPr>
          <w:rFonts w:hint="eastAsia" w:ascii="仿宋" w:hAnsi="仿宋" w:eastAsia="仿宋" w:cstheme="minorBidi"/>
          <w:sz w:val="32"/>
          <w:szCs w:val="32"/>
        </w:rPr>
        <w:t>您是否了解地方粮食储备工作的操作模式、财政对收储企业的补贴</w:t>
      </w:r>
      <w:bookmarkEnd w:id="29"/>
      <w:r>
        <w:rPr>
          <w:rFonts w:hint="eastAsia" w:ascii="仿宋" w:hAnsi="仿宋" w:eastAsia="仿宋" w:cstheme="minorBidi"/>
          <w:sz w:val="32"/>
          <w:szCs w:val="32"/>
        </w:rPr>
        <w:t>方式？</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完全了解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基本了解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了解很少                        </w:t>
      </w:r>
      <w:r>
        <w:rPr>
          <w:rFonts w:ascii="仿宋" w:hAnsi="仿宋" w:eastAsia="仿宋" w:cstheme="minorBidi"/>
          <w:sz w:val="32"/>
          <w:szCs w:val="32"/>
        </w:rPr>
        <w:t>□</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不清楚 </w:t>
      </w:r>
      <w:r>
        <w:rPr>
          <w:rFonts w:ascii="仿宋" w:hAnsi="仿宋" w:eastAsia="仿宋" w:cstheme="minorBidi"/>
          <w:sz w:val="32"/>
          <w:szCs w:val="32"/>
        </w:rPr>
        <w:t xml:space="preserve">                         □</w:t>
      </w:r>
    </w:p>
    <w:p>
      <w:pPr>
        <w:snapToGrid w:val="0"/>
        <w:spacing w:line="480" w:lineRule="exact"/>
        <w:rPr>
          <w:rFonts w:ascii="仿宋" w:hAnsi="仿宋" w:eastAsia="仿宋" w:cstheme="minorBidi"/>
          <w:sz w:val="32"/>
          <w:szCs w:val="32"/>
        </w:rPr>
      </w:pPr>
      <w:r>
        <w:rPr>
          <w:rFonts w:ascii="仿宋" w:hAnsi="仿宋" w:eastAsia="仿宋" w:cstheme="minorBidi"/>
          <w:sz w:val="32"/>
          <w:szCs w:val="32"/>
        </w:rPr>
        <w:t>4</w:t>
      </w:r>
      <w:r>
        <w:rPr>
          <w:rFonts w:hint="eastAsia" w:ascii="仿宋" w:hAnsi="仿宋" w:eastAsia="仿宋" w:cstheme="minorBidi"/>
          <w:sz w:val="32"/>
          <w:szCs w:val="32"/>
        </w:rPr>
        <w:t>、</w:t>
      </w:r>
      <w:bookmarkStart w:id="30" w:name="_Hlk86392800"/>
      <w:r>
        <w:rPr>
          <w:rFonts w:hint="eastAsia" w:ascii="仿宋" w:hAnsi="仿宋" w:eastAsia="仿宋" w:cstheme="minorBidi"/>
          <w:sz w:val="32"/>
          <w:szCs w:val="32"/>
        </w:rPr>
        <w:t>您觉得本市地方储备粮补贴专项到位是否足额、及时</w:t>
      </w:r>
      <w:bookmarkEnd w:id="30"/>
      <w:r>
        <w:rPr>
          <w:rFonts w:hint="eastAsia" w:ascii="仿宋" w:hAnsi="仿宋" w:eastAsia="仿宋" w:cstheme="minorBidi"/>
          <w:sz w:val="32"/>
          <w:szCs w:val="32"/>
        </w:rPr>
        <w:t>？</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及时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一般 </w:t>
      </w:r>
      <w:r>
        <w:rPr>
          <w:rFonts w:ascii="仿宋" w:hAnsi="仿宋" w:eastAsia="仿宋" w:cstheme="minorBidi"/>
          <w:sz w:val="32"/>
          <w:szCs w:val="32"/>
        </w:rPr>
        <w:t xml:space="preserve">   </w:t>
      </w:r>
      <w:r>
        <w:rPr>
          <w:rFonts w:hint="eastAsia" w:ascii="仿宋" w:hAnsi="仿宋" w:eastAsia="仿宋" w:cstheme="minorBidi"/>
          <w:sz w:val="32"/>
          <w:szCs w:val="32"/>
        </w:rPr>
        <w:t xml:space="preserve">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不及时</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不了解情况</w:t>
      </w:r>
      <w:r>
        <w:rPr>
          <w:rFonts w:ascii="仿宋" w:hAnsi="仿宋" w:eastAsia="仿宋" w:cstheme="minorBidi"/>
          <w:sz w:val="32"/>
          <w:szCs w:val="32"/>
        </w:rPr>
        <w:t xml:space="preserve">                      □</w:t>
      </w:r>
    </w:p>
    <w:p>
      <w:pPr>
        <w:widowControl/>
        <w:shd w:val="clear" w:color="auto" w:fill="FFFFFF"/>
        <w:snapToGrid w:val="0"/>
        <w:spacing w:line="480" w:lineRule="exact"/>
        <w:jc w:val="left"/>
        <w:rPr>
          <w:rFonts w:ascii="Helvetica" w:hAnsi="Helvetica" w:cs="Helvetica"/>
          <w:color w:val="666666"/>
          <w:kern w:val="0"/>
          <w:sz w:val="32"/>
          <w:szCs w:val="32"/>
        </w:rPr>
      </w:pPr>
      <w:r>
        <w:rPr>
          <w:rFonts w:ascii="仿宋" w:hAnsi="仿宋" w:eastAsia="仿宋" w:cstheme="minorBidi"/>
          <w:sz w:val="32"/>
          <w:szCs w:val="32"/>
        </w:rPr>
        <w:t>5</w:t>
      </w:r>
      <w:r>
        <w:rPr>
          <w:rFonts w:hint="eastAsia" w:ascii="仿宋" w:hAnsi="仿宋" w:eastAsia="仿宋" w:cstheme="minorBidi"/>
          <w:sz w:val="32"/>
          <w:szCs w:val="32"/>
        </w:rPr>
        <w:t>、您对相关职能部门对地方储备粮库存数量、质量的监督检查工作是否满意？</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很满意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比较满意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不满意</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不了解情况</w:t>
      </w:r>
      <w:r>
        <w:rPr>
          <w:rFonts w:ascii="仿宋" w:hAnsi="仿宋" w:eastAsia="仿宋" w:cstheme="minorBidi"/>
          <w:sz w:val="32"/>
          <w:szCs w:val="32"/>
        </w:rPr>
        <w:t xml:space="preserve">                      □</w:t>
      </w:r>
    </w:p>
    <w:p>
      <w:pPr>
        <w:snapToGrid w:val="0"/>
        <w:spacing w:line="480" w:lineRule="exact"/>
        <w:rPr>
          <w:rFonts w:ascii="仿宋" w:hAnsi="仿宋" w:eastAsia="仿宋" w:cstheme="minorBidi"/>
          <w:sz w:val="32"/>
          <w:szCs w:val="32"/>
        </w:rPr>
      </w:pPr>
      <w:r>
        <w:rPr>
          <w:rFonts w:ascii="仿宋" w:hAnsi="仿宋" w:eastAsia="仿宋" w:cstheme="minorBidi"/>
          <w:sz w:val="32"/>
          <w:szCs w:val="32"/>
        </w:rPr>
        <w:t>6</w:t>
      </w:r>
      <w:r>
        <w:rPr>
          <w:rFonts w:hint="eastAsia" w:ascii="仿宋" w:hAnsi="仿宋" w:eastAsia="仿宋" w:cstheme="minorBidi"/>
          <w:sz w:val="32"/>
          <w:szCs w:val="32"/>
        </w:rPr>
        <w:t>、您认为相关职能部门对地方储备粮轮换出入库的质量检测监管是否到位？</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到位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基本到位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不到位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不了解情况 </w:t>
      </w:r>
      <w:r>
        <w:rPr>
          <w:rFonts w:ascii="仿宋" w:hAnsi="仿宋" w:eastAsia="仿宋" w:cstheme="minorBidi"/>
          <w:sz w:val="32"/>
          <w:szCs w:val="32"/>
        </w:rPr>
        <w:t xml:space="preserve">                     □</w:t>
      </w:r>
    </w:p>
    <w:p>
      <w:pPr>
        <w:snapToGrid w:val="0"/>
        <w:spacing w:line="480" w:lineRule="exact"/>
        <w:rPr>
          <w:rFonts w:ascii="仿宋" w:hAnsi="仿宋" w:eastAsia="仿宋" w:cstheme="minorBidi"/>
          <w:sz w:val="32"/>
          <w:szCs w:val="32"/>
        </w:rPr>
      </w:pPr>
      <w:r>
        <w:rPr>
          <w:rFonts w:ascii="仿宋" w:hAnsi="仿宋" w:eastAsia="仿宋" w:cstheme="minorBidi"/>
          <w:sz w:val="32"/>
          <w:szCs w:val="32"/>
        </w:rPr>
        <w:t>7</w:t>
      </w:r>
      <w:r>
        <w:rPr>
          <w:rFonts w:hint="eastAsia" w:ascii="仿宋" w:hAnsi="仿宋" w:eastAsia="仿宋" w:cstheme="minorBidi"/>
          <w:sz w:val="32"/>
          <w:szCs w:val="32"/>
        </w:rPr>
        <w:t>、</w:t>
      </w:r>
      <w:bookmarkStart w:id="31" w:name="_Hlk86392843"/>
      <w:r>
        <w:rPr>
          <w:rFonts w:hint="eastAsia" w:ascii="仿宋" w:hAnsi="仿宋" w:eastAsia="仿宋" w:cstheme="minorBidi"/>
          <w:sz w:val="32"/>
          <w:szCs w:val="32"/>
        </w:rPr>
        <w:t>您</w:t>
      </w:r>
      <w:bookmarkEnd w:id="31"/>
      <w:r>
        <w:rPr>
          <w:rFonts w:hint="eastAsia" w:ascii="仿宋" w:hAnsi="仿宋" w:eastAsia="仿宋" w:cstheme="minorBidi"/>
          <w:sz w:val="32"/>
          <w:szCs w:val="32"/>
        </w:rPr>
        <w:t>认为本市的储备粮仓储设施、设备是否齐全？</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齐全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比较齐全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不齐全</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不了解情况</w:t>
      </w:r>
      <w:r>
        <w:rPr>
          <w:rFonts w:ascii="仿宋" w:hAnsi="仿宋" w:eastAsia="仿宋" w:cstheme="minorBidi"/>
          <w:sz w:val="32"/>
          <w:szCs w:val="32"/>
        </w:rPr>
        <w:t xml:space="preserve">                      □</w:t>
      </w:r>
    </w:p>
    <w:p>
      <w:pPr>
        <w:snapToGrid w:val="0"/>
        <w:spacing w:line="480" w:lineRule="exact"/>
        <w:rPr>
          <w:rFonts w:ascii="仿宋" w:hAnsi="仿宋" w:eastAsia="仿宋" w:cstheme="minorBidi"/>
          <w:sz w:val="32"/>
          <w:szCs w:val="32"/>
        </w:rPr>
      </w:pPr>
      <w:r>
        <w:rPr>
          <w:rFonts w:ascii="仿宋" w:hAnsi="仿宋" w:eastAsia="仿宋" w:cstheme="minorBidi"/>
          <w:sz w:val="32"/>
          <w:szCs w:val="32"/>
        </w:rPr>
        <w:t>8</w:t>
      </w:r>
      <w:r>
        <w:rPr>
          <w:rFonts w:hint="eastAsia" w:ascii="仿宋" w:hAnsi="仿宋" w:eastAsia="仿宋" w:cstheme="minorBidi"/>
          <w:sz w:val="32"/>
          <w:szCs w:val="32"/>
        </w:rPr>
        <w:t>、您对地方储备粮仓库的防火、防盗、防潮等必要的安全防护工作的评价是？</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很满意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比较满意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不满意</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不了解情况</w:t>
      </w:r>
      <w:r>
        <w:rPr>
          <w:rFonts w:ascii="仿宋" w:hAnsi="仿宋" w:eastAsia="仿宋" w:cstheme="minorBidi"/>
          <w:sz w:val="32"/>
          <w:szCs w:val="32"/>
        </w:rPr>
        <w:t xml:space="preserve">                      □</w:t>
      </w:r>
    </w:p>
    <w:p>
      <w:pPr>
        <w:snapToGrid w:val="0"/>
        <w:spacing w:line="480" w:lineRule="exact"/>
        <w:rPr>
          <w:rFonts w:ascii="仿宋" w:hAnsi="仿宋" w:eastAsia="仿宋" w:cstheme="minorBidi"/>
          <w:sz w:val="32"/>
          <w:szCs w:val="32"/>
        </w:rPr>
      </w:pPr>
      <w:r>
        <w:rPr>
          <w:rFonts w:ascii="仿宋" w:hAnsi="仿宋" w:eastAsia="仿宋" w:cstheme="minorBidi"/>
          <w:sz w:val="32"/>
          <w:szCs w:val="32"/>
        </w:rPr>
        <w:t>9</w:t>
      </w:r>
      <w:r>
        <w:rPr>
          <w:rFonts w:hint="eastAsia" w:ascii="仿宋" w:hAnsi="仿宋" w:eastAsia="仿宋" w:cstheme="minorBidi"/>
          <w:sz w:val="32"/>
          <w:szCs w:val="32"/>
        </w:rPr>
        <w:t>、在地方储备粮轮换中，是否存在旧粮顶替新粮、以低价购进高价入帐、高价售出低价入帐的现象？</w:t>
      </w:r>
    </w:p>
    <w:p>
      <w:pPr>
        <w:snapToGrid w:val="0"/>
        <w:spacing w:line="480" w:lineRule="exact"/>
        <w:rPr>
          <w:rFonts w:ascii="仿宋" w:hAnsi="仿宋" w:eastAsia="仿宋" w:cstheme="minorBidi"/>
          <w:sz w:val="32"/>
          <w:szCs w:val="32"/>
        </w:rPr>
      </w:pPr>
      <w:r>
        <w:rPr>
          <w:rFonts w:hint="eastAsia" w:ascii="仿宋" w:hAnsi="仿宋" w:eastAsia="仿宋" w:cstheme="minorBidi"/>
          <w:sz w:val="32"/>
          <w:szCs w:val="32"/>
        </w:rPr>
        <w:t xml:space="preserve"> </w:t>
      </w:r>
      <w:r>
        <w:rPr>
          <w:rFonts w:ascii="仿宋" w:hAnsi="仿宋" w:eastAsia="仿宋" w:cstheme="minorBidi"/>
          <w:sz w:val="32"/>
          <w:szCs w:val="32"/>
        </w:rPr>
        <w:t xml:space="preserve">   </w:t>
      </w:r>
      <w:r>
        <w:rPr>
          <w:rFonts w:hint="eastAsia" w:ascii="仿宋" w:hAnsi="仿宋" w:eastAsia="仿宋" w:cstheme="minorBidi"/>
          <w:sz w:val="32"/>
          <w:szCs w:val="32"/>
        </w:rPr>
        <w:t xml:space="preserve">否，不存在 </w:t>
      </w:r>
      <w:r>
        <w:rPr>
          <w:rFonts w:ascii="仿宋" w:hAnsi="仿宋" w:eastAsia="仿宋" w:cstheme="minorBidi"/>
          <w:sz w:val="32"/>
          <w:szCs w:val="32"/>
        </w:rPr>
        <w:t xml:space="preserve">                     □</w:t>
      </w:r>
    </w:p>
    <w:p>
      <w:pPr>
        <w:snapToGrid w:val="0"/>
        <w:spacing w:line="480" w:lineRule="exact"/>
        <w:rPr>
          <w:rFonts w:ascii="仿宋" w:hAnsi="仿宋" w:eastAsia="仿宋" w:cstheme="minorBidi"/>
          <w:sz w:val="32"/>
          <w:szCs w:val="32"/>
        </w:rPr>
      </w:pPr>
      <w:r>
        <w:rPr>
          <w:rFonts w:hint="eastAsia" w:ascii="仿宋" w:hAnsi="仿宋" w:eastAsia="仿宋" w:cstheme="minorBidi"/>
          <w:sz w:val="32"/>
          <w:szCs w:val="32"/>
        </w:rPr>
        <w:t xml:space="preserve"> </w:t>
      </w:r>
      <w:r>
        <w:rPr>
          <w:rFonts w:ascii="仿宋" w:hAnsi="仿宋" w:eastAsia="仿宋" w:cstheme="minorBidi"/>
          <w:sz w:val="32"/>
          <w:szCs w:val="32"/>
        </w:rPr>
        <w:t xml:space="preserve">   </w:t>
      </w:r>
      <w:r>
        <w:rPr>
          <w:rFonts w:hint="eastAsia" w:ascii="仿宋" w:hAnsi="仿宋" w:eastAsia="仿宋" w:cstheme="minorBidi"/>
          <w:sz w:val="32"/>
          <w:szCs w:val="32"/>
        </w:rPr>
        <w:t xml:space="preserve">是，存在 </w:t>
      </w:r>
      <w:r>
        <w:rPr>
          <w:rFonts w:ascii="仿宋" w:hAnsi="仿宋" w:eastAsia="仿宋" w:cstheme="minorBidi"/>
          <w:sz w:val="32"/>
          <w:szCs w:val="32"/>
        </w:rPr>
        <w:t xml:space="preserve">                       □</w:t>
      </w:r>
    </w:p>
    <w:p>
      <w:pPr>
        <w:snapToGrid w:val="0"/>
        <w:spacing w:line="480" w:lineRule="exact"/>
        <w:rPr>
          <w:rFonts w:ascii="仿宋" w:hAnsi="仿宋" w:eastAsia="仿宋" w:cstheme="minorBidi"/>
          <w:sz w:val="32"/>
          <w:szCs w:val="32"/>
        </w:rPr>
      </w:pPr>
      <w:r>
        <w:rPr>
          <w:rFonts w:hint="eastAsia" w:ascii="仿宋" w:hAnsi="仿宋" w:eastAsia="仿宋" w:cstheme="minorBidi"/>
          <w:sz w:val="32"/>
          <w:szCs w:val="32"/>
        </w:rPr>
        <w:t xml:space="preserve"> </w:t>
      </w:r>
      <w:r>
        <w:rPr>
          <w:rFonts w:ascii="仿宋" w:hAnsi="仿宋" w:eastAsia="仿宋" w:cstheme="minorBidi"/>
          <w:sz w:val="32"/>
          <w:szCs w:val="32"/>
        </w:rPr>
        <w:t xml:space="preserve">   </w:t>
      </w:r>
      <w:r>
        <w:rPr>
          <w:rFonts w:hint="eastAsia" w:ascii="仿宋" w:hAnsi="仿宋" w:eastAsia="仿宋" w:cstheme="minorBidi"/>
          <w:sz w:val="32"/>
          <w:szCs w:val="32"/>
        </w:rPr>
        <w:t xml:space="preserve">不了解情况 </w:t>
      </w:r>
      <w:r>
        <w:rPr>
          <w:rFonts w:ascii="仿宋" w:hAnsi="仿宋" w:eastAsia="仿宋" w:cstheme="minorBidi"/>
          <w:sz w:val="32"/>
          <w:szCs w:val="32"/>
        </w:rPr>
        <w:t xml:space="preserve">                     □</w:t>
      </w:r>
    </w:p>
    <w:p>
      <w:pPr>
        <w:snapToGrid w:val="0"/>
        <w:spacing w:line="480" w:lineRule="exact"/>
        <w:rPr>
          <w:rFonts w:ascii="仿宋" w:hAnsi="仿宋" w:eastAsia="仿宋" w:cstheme="minorBidi"/>
          <w:sz w:val="32"/>
          <w:szCs w:val="32"/>
        </w:rPr>
      </w:pPr>
      <w:r>
        <w:rPr>
          <w:rFonts w:ascii="仿宋" w:hAnsi="仿宋" w:eastAsia="仿宋" w:cstheme="minorBidi"/>
          <w:sz w:val="32"/>
          <w:szCs w:val="32"/>
        </w:rPr>
        <w:t>10</w:t>
      </w:r>
      <w:r>
        <w:rPr>
          <w:rFonts w:hint="eastAsia" w:ascii="仿宋" w:hAnsi="仿宋" w:eastAsia="仿宋" w:cstheme="minorBidi"/>
          <w:sz w:val="32"/>
          <w:szCs w:val="32"/>
        </w:rPr>
        <w:t>、</w:t>
      </w:r>
      <w:bookmarkStart w:id="32" w:name="_Hlk86392853"/>
      <w:r>
        <w:rPr>
          <w:rFonts w:hint="eastAsia" w:ascii="仿宋" w:hAnsi="仿宋" w:eastAsia="仿宋" w:cstheme="minorBidi"/>
          <w:sz w:val="32"/>
          <w:szCs w:val="32"/>
        </w:rPr>
        <w:t>您觉得</w:t>
      </w:r>
      <w:bookmarkEnd w:id="32"/>
      <w:r>
        <w:rPr>
          <w:rFonts w:hint="eastAsia" w:ascii="仿宋" w:hAnsi="仿宋" w:eastAsia="仿宋" w:cstheme="minorBidi"/>
          <w:sz w:val="32"/>
          <w:szCs w:val="32"/>
        </w:rPr>
        <w:t>地方储备粮项目的实施对调节粮食市场、稳定粮食市场价格等方面的作用是否明显？</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很明显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比较明显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不明显</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不了解情况</w:t>
      </w:r>
      <w:r>
        <w:rPr>
          <w:rFonts w:ascii="仿宋" w:hAnsi="仿宋" w:eastAsia="仿宋" w:cstheme="minorBidi"/>
          <w:sz w:val="32"/>
          <w:szCs w:val="32"/>
        </w:rPr>
        <w:t xml:space="preserve">                      □</w:t>
      </w:r>
    </w:p>
    <w:p>
      <w:pPr>
        <w:snapToGrid w:val="0"/>
        <w:spacing w:line="480" w:lineRule="exact"/>
        <w:rPr>
          <w:rFonts w:ascii="仿宋" w:hAnsi="仿宋" w:eastAsia="仿宋" w:cstheme="minorBidi"/>
          <w:sz w:val="32"/>
          <w:szCs w:val="32"/>
        </w:rPr>
      </w:pPr>
      <w:r>
        <w:rPr>
          <w:rFonts w:ascii="仿宋" w:hAnsi="仿宋" w:eastAsia="仿宋" w:cstheme="minorBidi"/>
          <w:sz w:val="32"/>
          <w:szCs w:val="32"/>
        </w:rPr>
        <w:t>11</w:t>
      </w:r>
      <w:r>
        <w:rPr>
          <w:rFonts w:hint="eastAsia" w:ascii="仿宋" w:hAnsi="仿宋" w:eastAsia="仿宋" w:cstheme="minorBidi"/>
          <w:sz w:val="32"/>
          <w:szCs w:val="32"/>
        </w:rPr>
        <w:t>、</w:t>
      </w:r>
      <w:bookmarkStart w:id="33" w:name="_Hlk86392866"/>
      <w:r>
        <w:rPr>
          <w:rFonts w:hint="eastAsia" w:ascii="仿宋" w:hAnsi="仿宋" w:eastAsia="仿宋" w:cstheme="minorBidi"/>
          <w:sz w:val="32"/>
          <w:szCs w:val="32"/>
        </w:rPr>
        <w:t>您觉得通过地方储备粮轮换，对解决农民卖粮难问题、提高农民种粮积极性、带动农民增收的作用是否明显</w:t>
      </w:r>
      <w:bookmarkEnd w:id="33"/>
      <w:r>
        <w:rPr>
          <w:rFonts w:hint="eastAsia" w:ascii="仿宋" w:hAnsi="仿宋" w:eastAsia="仿宋" w:cstheme="minorBidi"/>
          <w:sz w:val="32"/>
          <w:szCs w:val="32"/>
        </w:rPr>
        <w:t>？</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很明显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比较明显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不明显</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不了解情况</w:t>
      </w:r>
      <w:r>
        <w:rPr>
          <w:rFonts w:ascii="仿宋" w:hAnsi="仿宋" w:eastAsia="仿宋" w:cstheme="minorBidi"/>
          <w:sz w:val="32"/>
          <w:szCs w:val="32"/>
        </w:rPr>
        <w:t xml:space="preserve">                      □</w:t>
      </w:r>
    </w:p>
    <w:p>
      <w:pPr>
        <w:snapToGrid w:val="0"/>
        <w:spacing w:line="480" w:lineRule="exact"/>
        <w:rPr>
          <w:rFonts w:ascii="仿宋" w:hAnsi="仿宋" w:eastAsia="仿宋" w:cstheme="minorBidi"/>
          <w:sz w:val="32"/>
          <w:szCs w:val="32"/>
        </w:rPr>
      </w:pPr>
      <w:r>
        <w:rPr>
          <w:rFonts w:ascii="仿宋" w:hAnsi="仿宋" w:eastAsia="仿宋" w:cstheme="minorBidi"/>
          <w:sz w:val="32"/>
          <w:szCs w:val="32"/>
        </w:rPr>
        <w:t>12</w:t>
      </w:r>
      <w:r>
        <w:rPr>
          <w:rFonts w:hint="eastAsia" w:ascii="仿宋" w:hAnsi="仿宋" w:eastAsia="仿宋" w:cstheme="minorBidi"/>
          <w:sz w:val="32"/>
          <w:szCs w:val="32"/>
        </w:rPr>
        <w:t>、</w:t>
      </w:r>
      <w:bookmarkStart w:id="34" w:name="_Hlk86392928"/>
      <w:r>
        <w:rPr>
          <w:rFonts w:ascii="仿宋" w:hAnsi="仿宋" w:eastAsia="仿宋" w:cstheme="minorBidi"/>
          <w:sz w:val="32"/>
          <w:szCs w:val="32"/>
        </w:rPr>
        <w:t>您对本项目执行单位——</w:t>
      </w:r>
      <w:r>
        <w:rPr>
          <w:rFonts w:hint="eastAsia" w:ascii="仿宋" w:hAnsi="仿宋" w:eastAsia="仿宋" w:cstheme="minorBidi"/>
          <w:sz w:val="32"/>
          <w:szCs w:val="32"/>
        </w:rPr>
        <w:t>津市市军粮供应有限公司</w:t>
      </w:r>
      <w:r>
        <w:rPr>
          <w:rFonts w:ascii="仿宋" w:hAnsi="仿宋" w:eastAsia="仿宋" w:cstheme="minorBidi"/>
          <w:sz w:val="32"/>
          <w:szCs w:val="32"/>
        </w:rPr>
        <w:t>的服务意识和廉洁自律方面的情况是否满意</w:t>
      </w:r>
      <w:bookmarkEnd w:id="34"/>
      <w:r>
        <w:rPr>
          <w:rFonts w:ascii="仿宋" w:hAnsi="仿宋" w:eastAsia="仿宋" w:cstheme="minorBidi"/>
          <w:sz w:val="32"/>
          <w:szCs w:val="32"/>
        </w:rPr>
        <w:t>？</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很满意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比较满意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不满意</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不了解情况</w:t>
      </w:r>
      <w:r>
        <w:rPr>
          <w:rFonts w:ascii="仿宋" w:hAnsi="仿宋" w:eastAsia="仿宋" w:cstheme="minorBidi"/>
          <w:sz w:val="32"/>
          <w:szCs w:val="32"/>
        </w:rPr>
        <w:t xml:space="preserve">                      □</w:t>
      </w:r>
    </w:p>
    <w:p>
      <w:pPr>
        <w:snapToGrid w:val="0"/>
        <w:spacing w:line="480" w:lineRule="exact"/>
        <w:rPr>
          <w:rFonts w:ascii="仿宋" w:hAnsi="仿宋" w:eastAsia="仿宋" w:cstheme="minorBidi"/>
          <w:sz w:val="32"/>
          <w:szCs w:val="32"/>
        </w:rPr>
      </w:pPr>
      <w:r>
        <w:rPr>
          <w:rFonts w:hint="eastAsia" w:ascii="仿宋" w:hAnsi="仿宋" w:eastAsia="仿宋" w:cstheme="minorBidi"/>
          <w:sz w:val="32"/>
          <w:szCs w:val="32"/>
        </w:rPr>
        <w:t>1</w:t>
      </w:r>
      <w:r>
        <w:rPr>
          <w:rFonts w:ascii="仿宋" w:hAnsi="仿宋" w:eastAsia="仿宋" w:cstheme="minorBidi"/>
          <w:sz w:val="32"/>
          <w:szCs w:val="32"/>
        </w:rPr>
        <w:t>3</w:t>
      </w:r>
      <w:r>
        <w:rPr>
          <w:rFonts w:hint="eastAsia" w:ascii="仿宋" w:hAnsi="仿宋" w:eastAsia="仿宋" w:cstheme="minorBidi"/>
          <w:sz w:val="32"/>
          <w:szCs w:val="32"/>
        </w:rPr>
        <w:t>、</w:t>
      </w:r>
      <w:bookmarkStart w:id="35" w:name="_Hlk86392939"/>
      <w:r>
        <w:rPr>
          <w:rFonts w:ascii="仿宋" w:hAnsi="仿宋" w:eastAsia="仿宋" w:cstheme="minorBidi"/>
          <w:sz w:val="32"/>
          <w:szCs w:val="32"/>
        </w:rPr>
        <w:t>您觉得</w:t>
      </w:r>
      <w:r>
        <w:rPr>
          <w:rFonts w:hint="eastAsia" w:ascii="仿宋" w:hAnsi="仿宋" w:eastAsia="仿宋" w:cstheme="minorBidi"/>
          <w:sz w:val="32"/>
          <w:szCs w:val="32"/>
        </w:rPr>
        <w:t>已拨付的地方储备粮补贴资金</w:t>
      </w:r>
      <w:r>
        <w:rPr>
          <w:rFonts w:ascii="仿宋" w:hAnsi="仿宋" w:eastAsia="仿宋" w:cstheme="minorBidi"/>
          <w:sz w:val="32"/>
          <w:szCs w:val="32"/>
        </w:rPr>
        <w:t>是否得到有效利用</w:t>
      </w:r>
      <w:bookmarkEnd w:id="35"/>
      <w:r>
        <w:rPr>
          <w:rFonts w:ascii="仿宋" w:hAnsi="仿宋" w:eastAsia="仿宋" w:cstheme="minorBidi"/>
          <w:sz w:val="32"/>
          <w:szCs w:val="32"/>
        </w:rPr>
        <w:t xml:space="preserve">？  </w:t>
      </w:r>
    </w:p>
    <w:p>
      <w:pPr>
        <w:snapToGrid w:val="0"/>
        <w:spacing w:line="480" w:lineRule="exact"/>
        <w:ind w:firstLine="563"/>
        <w:rPr>
          <w:rFonts w:ascii="仿宋" w:hAnsi="仿宋" w:eastAsia="仿宋" w:cstheme="minorBidi"/>
          <w:sz w:val="32"/>
          <w:szCs w:val="32"/>
        </w:rPr>
      </w:pPr>
      <w:r>
        <w:rPr>
          <w:rFonts w:hint="eastAsia" w:ascii="仿宋" w:hAnsi="仿宋" w:eastAsia="仿宋" w:cstheme="minorBidi"/>
          <w:sz w:val="32"/>
          <w:szCs w:val="32"/>
        </w:rPr>
        <w:t>得到有效利用</w:t>
      </w:r>
      <w:r>
        <w:rPr>
          <w:rFonts w:ascii="仿宋" w:hAnsi="仿宋" w:eastAsia="仿宋" w:cstheme="minorBidi"/>
          <w:sz w:val="32"/>
          <w:szCs w:val="32"/>
        </w:rPr>
        <w:t xml:space="preserve">                    □</w:t>
      </w:r>
    </w:p>
    <w:p>
      <w:pPr>
        <w:snapToGrid w:val="0"/>
        <w:spacing w:line="480" w:lineRule="exact"/>
        <w:ind w:firstLine="563"/>
        <w:rPr>
          <w:rFonts w:ascii="仿宋" w:hAnsi="仿宋" w:eastAsia="仿宋" w:cstheme="minorBidi"/>
          <w:sz w:val="32"/>
          <w:szCs w:val="32"/>
        </w:rPr>
      </w:pPr>
      <w:r>
        <w:rPr>
          <w:rFonts w:hint="eastAsia" w:ascii="仿宋" w:hAnsi="仿宋" w:eastAsia="仿宋" w:cstheme="minorBidi"/>
          <w:sz w:val="32"/>
          <w:szCs w:val="32"/>
        </w:rPr>
        <w:t>利用率一般</w:t>
      </w:r>
      <w:r>
        <w:rPr>
          <w:rFonts w:ascii="仿宋" w:hAnsi="仿宋" w:eastAsia="仿宋" w:cstheme="minorBidi"/>
          <w:sz w:val="32"/>
          <w:szCs w:val="32"/>
        </w:rPr>
        <w:t xml:space="preserve">                      □</w:t>
      </w:r>
    </w:p>
    <w:p>
      <w:pPr>
        <w:snapToGrid w:val="0"/>
        <w:spacing w:line="480" w:lineRule="exact"/>
        <w:ind w:firstLine="563"/>
        <w:rPr>
          <w:rFonts w:ascii="仿宋" w:hAnsi="仿宋" w:eastAsia="仿宋" w:cstheme="minorBidi"/>
          <w:sz w:val="32"/>
          <w:szCs w:val="32"/>
        </w:rPr>
      </w:pPr>
      <w:r>
        <w:rPr>
          <w:rFonts w:hint="eastAsia" w:ascii="仿宋" w:hAnsi="仿宋" w:eastAsia="仿宋" w:cstheme="minorBidi"/>
          <w:sz w:val="32"/>
          <w:szCs w:val="32"/>
        </w:rPr>
        <w:t>没能得到利用</w:t>
      </w:r>
      <w:r>
        <w:rPr>
          <w:rFonts w:ascii="仿宋" w:hAnsi="仿宋" w:eastAsia="仿宋" w:cstheme="minorBidi"/>
          <w:sz w:val="32"/>
          <w:szCs w:val="32"/>
        </w:rPr>
        <w:t xml:space="preserve">                    □</w:t>
      </w:r>
    </w:p>
    <w:p>
      <w:pPr>
        <w:snapToGrid w:val="0"/>
        <w:spacing w:line="480" w:lineRule="exact"/>
        <w:ind w:firstLine="563"/>
        <w:rPr>
          <w:rFonts w:ascii="仿宋" w:hAnsi="仿宋" w:eastAsia="仿宋" w:cstheme="minorBidi"/>
          <w:sz w:val="32"/>
          <w:szCs w:val="32"/>
        </w:rPr>
      </w:pPr>
      <w:r>
        <w:rPr>
          <w:rFonts w:hint="eastAsia" w:ascii="仿宋" w:hAnsi="仿宋" w:eastAsia="仿宋" w:cstheme="minorBidi"/>
          <w:sz w:val="32"/>
          <w:szCs w:val="32"/>
        </w:rPr>
        <w:t>不了解情况</w:t>
      </w:r>
      <w:r>
        <w:rPr>
          <w:rFonts w:ascii="仿宋" w:hAnsi="仿宋" w:eastAsia="仿宋" w:cstheme="minorBidi"/>
          <w:sz w:val="32"/>
          <w:szCs w:val="32"/>
        </w:rPr>
        <w:t xml:space="preserve">                      □</w:t>
      </w:r>
    </w:p>
    <w:p>
      <w:pPr>
        <w:snapToGrid w:val="0"/>
        <w:spacing w:line="480" w:lineRule="exact"/>
        <w:rPr>
          <w:rFonts w:ascii="仿宋" w:hAnsi="仿宋" w:eastAsia="仿宋" w:cstheme="minorBidi"/>
          <w:sz w:val="32"/>
          <w:szCs w:val="32"/>
        </w:rPr>
      </w:pPr>
      <w:r>
        <w:rPr>
          <w:rFonts w:hint="eastAsia" w:ascii="仿宋" w:hAnsi="仿宋" w:eastAsia="仿宋" w:cstheme="minorBidi"/>
          <w:sz w:val="32"/>
          <w:szCs w:val="32"/>
        </w:rPr>
        <w:t>1</w:t>
      </w:r>
      <w:r>
        <w:rPr>
          <w:rFonts w:ascii="仿宋" w:hAnsi="仿宋" w:eastAsia="仿宋" w:cstheme="minorBidi"/>
          <w:sz w:val="32"/>
          <w:szCs w:val="32"/>
        </w:rPr>
        <w:t>4</w:t>
      </w:r>
      <w:r>
        <w:rPr>
          <w:rFonts w:hint="eastAsia" w:ascii="仿宋" w:hAnsi="仿宋" w:eastAsia="仿宋" w:cstheme="minorBidi"/>
          <w:sz w:val="32"/>
          <w:szCs w:val="32"/>
        </w:rPr>
        <w:t>、</w:t>
      </w:r>
      <w:bookmarkStart w:id="36" w:name="_Hlk86392948"/>
      <w:r>
        <w:rPr>
          <w:rFonts w:ascii="仿宋" w:hAnsi="仿宋" w:eastAsia="仿宋" w:cstheme="minorBidi"/>
          <w:sz w:val="32"/>
          <w:szCs w:val="32"/>
        </w:rPr>
        <w:t>您对本项目执行的总体情况是否满意</w:t>
      </w:r>
      <w:bookmarkEnd w:id="36"/>
      <w:r>
        <w:rPr>
          <w:rFonts w:ascii="仿宋" w:hAnsi="仿宋" w:eastAsia="仿宋" w:cstheme="minorBidi"/>
          <w:sz w:val="32"/>
          <w:szCs w:val="32"/>
        </w:rPr>
        <w:t>？</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很满意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比较满意 </w:t>
      </w:r>
      <w:r>
        <w:rPr>
          <w:rFonts w:ascii="仿宋" w:hAnsi="仿宋" w:eastAsia="仿宋" w:cstheme="minorBidi"/>
          <w:sz w:val="32"/>
          <w:szCs w:val="32"/>
        </w:rPr>
        <w:t xml:space="preserve">                       □</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 xml:space="preserve">不满意                          </w:t>
      </w:r>
      <w:r>
        <w:rPr>
          <w:rFonts w:ascii="仿宋" w:hAnsi="仿宋" w:eastAsia="仿宋" w:cstheme="minorBidi"/>
          <w:sz w:val="32"/>
          <w:szCs w:val="32"/>
        </w:rPr>
        <w:t>□</w:t>
      </w:r>
    </w:p>
    <w:p>
      <w:pPr>
        <w:snapToGrid w:val="0"/>
        <w:spacing w:line="480" w:lineRule="exact"/>
        <w:ind w:firstLine="640" w:firstLineChars="200"/>
        <w:rPr>
          <w:rFonts w:ascii="仿宋" w:hAnsi="仿宋" w:eastAsia="仿宋" w:cstheme="minorBidi"/>
          <w:sz w:val="32"/>
          <w:szCs w:val="32"/>
        </w:rPr>
      </w:pPr>
      <w:r>
        <w:rPr>
          <w:rFonts w:hint="eastAsia" w:ascii="仿宋" w:hAnsi="仿宋" w:eastAsia="仿宋" w:cstheme="minorBidi"/>
          <w:sz w:val="32"/>
          <w:szCs w:val="32"/>
        </w:rPr>
        <w:t>不了解情况</w:t>
      </w:r>
      <w:r>
        <w:rPr>
          <w:rFonts w:ascii="仿宋" w:hAnsi="仿宋" w:eastAsia="仿宋" w:cstheme="minorBidi"/>
          <w:sz w:val="32"/>
          <w:szCs w:val="32"/>
        </w:rPr>
        <w:t xml:space="preserve">                      □</w:t>
      </w:r>
    </w:p>
    <w:p>
      <w:pPr>
        <w:snapToGrid w:val="0"/>
        <w:spacing w:line="480" w:lineRule="exact"/>
        <w:rPr>
          <w:rFonts w:ascii="仿宋" w:hAnsi="仿宋" w:eastAsia="仿宋" w:cstheme="minorBidi"/>
          <w:sz w:val="32"/>
          <w:szCs w:val="32"/>
        </w:rPr>
      </w:pPr>
      <w:r>
        <w:rPr>
          <w:rFonts w:hint="eastAsia" w:ascii="仿宋" w:hAnsi="仿宋" w:eastAsia="仿宋" w:cstheme="minorBidi"/>
          <w:sz w:val="32"/>
          <w:szCs w:val="32"/>
        </w:rPr>
        <w:t>1</w:t>
      </w:r>
      <w:r>
        <w:rPr>
          <w:rFonts w:ascii="仿宋" w:hAnsi="仿宋" w:eastAsia="仿宋" w:cstheme="minorBidi"/>
          <w:sz w:val="32"/>
          <w:szCs w:val="32"/>
        </w:rPr>
        <w:t>5</w:t>
      </w:r>
      <w:r>
        <w:rPr>
          <w:rFonts w:hint="eastAsia" w:ascii="仿宋" w:hAnsi="仿宋" w:eastAsia="仿宋" w:cstheme="minorBidi"/>
          <w:sz w:val="32"/>
          <w:szCs w:val="32"/>
        </w:rPr>
        <w:t>、</w:t>
      </w:r>
      <w:bookmarkStart w:id="37" w:name="_Hlk86392954"/>
      <w:r>
        <w:rPr>
          <w:rFonts w:ascii="仿宋" w:hAnsi="仿宋" w:eastAsia="仿宋" w:cstheme="minorBidi"/>
          <w:sz w:val="32"/>
          <w:szCs w:val="32"/>
        </w:rPr>
        <w:t>如果您对</w:t>
      </w:r>
      <w:r>
        <w:rPr>
          <w:rFonts w:hint="eastAsia" w:ascii="仿宋" w:hAnsi="仿宋" w:eastAsia="仿宋" w:cstheme="minorBidi"/>
          <w:sz w:val="32"/>
          <w:szCs w:val="32"/>
        </w:rPr>
        <w:t>地方储备粮补贴</w:t>
      </w:r>
      <w:r>
        <w:rPr>
          <w:rFonts w:ascii="仿宋" w:hAnsi="仿宋" w:eastAsia="仿宋" w:cstheme="minorBidi"/>
          <w:sz w:val="32"/>
          <w:szCs w:val="32"/>
        </w:rPr>
        <w:t>专项的实施还有其他意见和建议，请在以下空白处予以描述</w:t>
      </w:r>
      <w:bookmarkEnd w:id="37"/>
      <w:r>
        <w:rPr>
          <w:rFonts w:ascii="仿宋" w:hAnsi="仿宋" w:eastAsia="仿宋" w:cstheme="minorBidi"/>
          <w:sz w:val="32"/>
          <w:szCs w:val="32"/>
        </w:rPr>
        <w:t>：</w:t>
      </w:r>
    </w:p>
    <w:p>
      <w:pPr>
        <w:rPr>
          <w:rFonts w:asciiTheme="minorHAnsi" w:hAnsiTheme="minorHAnsi" w:eastAsiaTheme="minorEastAsia" w:cstheme="minorBidi"/>
          <w:sz w:val="32"/>
          <w:szCs w:val="32"/>
        </w:rPr>
      </w:pPr>
    </w:p>
    <w:p>
      <w:pPr>
        <w:widowControl/>
        <w:tabs>
          <w:tab w:val="left" w:pos="2940"/>
        </w:tabs>
        <w:rPr>
          <w:rFonts w:ascii="宋体" w:hAnsi="宋体"/>
          <w:sz w:val="32"/>
          <w:szCs w:val="32"/>
        </w:rPr>
        <w:sectPr>
          <w:pgSz w:w="11906" w:h="16838"/>
          <w:pgMar w:top="1440" w:right="1797" w:bottom="1440" w:left="1797" w:header="851" w:footer="992" w:gutter="0"/>
          <w:cols w:space="425" w:num="1"/>
          <w:docGrid w:type="linesAndChars" w:linePitch="312" w:charSpace="0"/>
        </w:sectPr>
      </w:pPr>
    </w:p>
    <w:p>
      <w:pPr>
        <w:widowControl/>
        <w:tabs>
          <w:tab w:val="left" w:pos="2940"/>
        </w:tabs>
        <w:rPr>
          <w:rFonts w:ascii="宋体" w:hAnsi="宋体"/>
          <w:sz w:val="32"/>
          <w:szCs w:val="32"/>
        </w:rPr>
      </w:pPr>
      <w:r>
        <w:rPr>
          <w:rFonts w:hint="eastAsia" w:ascii="宋体" w:hAnsi="宋体"/>
          <w:sz w:val="32"/>
          <w:szCs w:val="32"/>
        </w:rPr>
        <w:t xml:space="preserve">                </w:t>
      </w:r>
      <w:r>
        <w:rPr>
          <w:rFonts w:hint="eastAsia"/>
          <w:sz w:val="32"/>
          <w:szCs w:val="32"/>
        </w:rPr>
        <w:t xml:space="preserve"> 附件3：2021</w:t>
      </w:r>
      <w:r>
        <w:rPr>
          <w:rFonts w:hint="eastAsia" w:ascii="宋体" w:hAnsi="宋体"/>
          <w:sz w:val="32"/>
          <w:szCs w:val="32"/>
        </w:rPr>
        <w:t>年度津市市县级储备粮贷款利息支出明细表</w:t>
      </w:r>
    </w:p>
    <w:tbl>
      <w:tblPr>
        <w:tblStyle w:val="6"/>
        <w:tblW w:w="13800" w:type="dxa"/>
        <w:tblInd w:w="0" w:type="dxa"/>
        <w:tblLayout w:type="fixed"/>
        <w:tblCellMar>
          <w:top w:w="0" w:type="dxa"/>
          <w:left w:w="0" w:type="dxa"/>
          <w:bottom w:w="0" w:type="dxa"/>
          <w:right w:w="0" w:type="dxa"/>
        </w:tblCellMar>
      </w:tblPr>
      <w:tblGrid>
        <w:gridCol w:w="577"/>
        <w:gridCol w:w="1214"/>
        <w:gridCol w:w="736"/>
        <w:gridCol w:w="1978"/>
        <w:gridCol w:w="1601"/>
        <w:gridCol w:w="918"/>
        <w:gridCol w:w="1300"/>
        <w:gridCol w:w="938"/>
        <w:gridCol w:w="2822"/>
        <w:gridCol w:w="1716"/>
      </w:tblGrid>
      <w:tr>
        <w:tblPrEx>
          <w:tblLayout w:type="fixed"/>
          <w:tblCellMar>
            <w:top w:w="0" w:type="dxa"/>
            <w:left w:w="0" w:type="dxa"/>
            <w:bottom w:w="0" w:type="dxa"/>
            <w:right w:w="0" w:type="dxa"/>
          </w:tblCellMar>
        </w:tblPrEx>
        <w:trPr>
          <w:trHeight w:val="598" w:hRule="atLeast"/>
        </w:trPr>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序号</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日期</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凭证号</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摘要</w:t>
            </w:r>
          </w:p>
        </w:tc>
        <w:tc>
          <w:tcPr>
            <w:tcW w:w="160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金额（元）</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序号</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日期</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凭证号</w:t>
            </w:r>
          </w:p>
        </w:tc>
        <w:tc>
          <w:tcPr>
            <w:tcW w:w="282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摘要</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金额（元）</w:t>
            </w:r>
          </w:p>
        </w:tc>
      </w:tr>
      <w:tr>
        <w:tblPrEx>
          <w:tblLayout w:type="fixed"/>
          <w:tblCellMar>
            <w:top w:w="0" w:type="dxa"/>
            <w:left w:w="0" w:type="dxa"/>
            <w:bottom w:w="0" w:type="dxa"/>
            <w:right w:w="0" w:type="dxa"/>
          </w:tblCellMar>
        </w:tblPrEx>
        <w:trPr>
          <w:trHeight w:val="598" w:hRule="atLeast"/>
        </w:trPr>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2021-01-21</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付1月份县储贷款利息</w:t>
            </w:r>
          </w:p>
        </w:tc>
        <w:tc>
          <w:tcPr>
            <w:tcW w:w="160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49,329.53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8</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2021-08-21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w:t>
            </w:r>
          </w:p>
        </w:tc>
        <w:tc>
          <w:tcPr>
            <w:tcW w:w="282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付8月份县储贷款利息</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49,329.53</w:t>
            </w:r>
          </w:p>
        </w:tc>
      </w:tr>
      <w:tr>
        <w:tblPrEx>
          <w:tblLayout w:type="fixed"/>
          <w:tblCellMar>
            <w:top w:w="0" w:type="dxa"/>
            <w:left w:w="0" w:type="dxa"/>
            <w:bottom w:w="0" w:type="dxa"/>
            <w:right w:w="0" w:type="dxa"/>
          </w:tblCellMar>
        </w:tblPrEx>
        <w:trPr>
          <w:trHeight w:val="598" w:hRule="atLeast"/>
        </w:trPr>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2021-02-21</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付2月份县储贷款利息</w:t>
            </w:r>
          </w:p>
        </w:tc>
        <w:tc>
          <w:tcPr>
            <w:tcW w:w="160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49,329.53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9</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2021-09-21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w:t>
            </w:r>
          </w:p>
        </w:tc>
        <w:tc>
          <w:tcPr>
            <w:tcW w:w="282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付9月份县储贷款利息</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49,329.53</w:t>
            </w:r>
          </w:p>
        </w:tc>
      </w:tr>
      <w:tr>
        <w:tblPrEx>
          <w:tblLayout w:type="fixed"/>
          <w:tblCellMar>
            <w:top w:w="0" w:type="dxa"/>
            <w:left w:w="0" w:type="dxa"/>
            <w:bottom w:w="0" w:type="dxa"/>
            <w:right w:w="0" w:type="dxa"/>
          </w:tblCellMar>
        </w:tblPrEx>
        <w:trPr>
          <w:trHeight w:val="598" w:hRule="atLeast"/>
        </w:trPr>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2021-03-21</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付3月份县储贷款利息</w:t>
            </w:r>
          </w:p>
        </w:tc>
        <w:tc>
          <w:tcPr>
            <w:tcW w:w="160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44,555.70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10</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2021-10-21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w:t>
            </w:r>
          </w:p>
        </w:tc>
        <w:tc>
          <w:tcPr>
            <w:tcW w:w="282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付10月份县储贷款利息</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47,738.25</w:t>
            </w:r>
          </w:p>
        </w:tc>
      </w:tr>
      <w:tr>
        <w:tblPrEx>
          <w:tblLayout w:type="fixed"/>
          <w:tblCellMar>
            <w:top w:w="0" w:type="dxa"/>
            <w:left w:w="0" w:type="dxa"/>
            <w:bottom w:w="0" w:type="dxa"/>
            <w:right w:w="0" w:type="dxa"/>
          </w:tblCellMar>
        </w:tblPrEx>
        <w:trPr>
          <w:trHeight w:val="598" w:hRule="atLeast"/>
        </w:trPr>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2021-04-21</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付4月份县储贷款利息</w:t>
            </w:r>
          </w:p>
        </w:tc>
        <w:tc>
          <w:tcPr>
            <w:tcW w:w="160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54,688.73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11</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2021-11-21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w:t>
            </w:r>
          </w:p>
        </w:tc>
        <w:tc>
          <w:tcPr>
            <w:tcW w:w="282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付11月份县储贷款利息</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49,329.53</w:t>
            </w:r>
          </w:p>
        </w:tc>
      </w:tr>
      <w:tr>
        <w:tblPrEx>
          <w:tblLayout w:type="fixed"/>
          <w:tblCellMar>
            <w:top w:w="0" w:type="dxa"/>
            <w:left w:w="0" w:type="dxa"/>
            <w:bottom w:w="0" w:type="dxa"/>
            <w:right w:w="0" w:type="dxa"/>
          </w:tblCellMar>
        </w:tblPrEx>
        <w:trPr>
          <w:trHeight w:val="598" w:hRule="atLeast"/>
        </w:trPr>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2021-05-21</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付5月份县储贷款利息</w:t>
            </w:r>
          </w:p>
        </w:tc>
        <w:tc>
          <w:tcPr>
            <w:tcW w:w="160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42,379.05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12</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2021-11-21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w:t>
            </w:r>
          </w:p>
        </w:tc>
        <w:tc>
          <w:tcPr>
            <w:tcW w:w="282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付11月份县储贷款利息临时贷款</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5,613.30</w:t>
            </w:r>
          </w:p>
        </w:tc>
      </w:tr>
      <w:tr>
        <w:tblPrEx>
          <w:tblLayout w:type="fixed"/>
          <w:tblCellMar>
            <w:top w:w="0" w:type="dxa"/>
            <w:left w:w="0" w:type="dxa"/>
            <w:bottom w:w="0" w:type="dxa"/>
            <w:right w:w="0" w:type="dxa"/>
          </w:tblCellMar>
        </w:tblPrEx>
        <w:trPr>
          <w:trHeight w:val="598" w:hRule="atLeast"/>
        </w:trPr>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6</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2021-06-21</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付6月份县储贷款利息</w:t>
            </w:r>
          </w:p>
        </w:tc>
        <w:tc>
          <w:tcPr>
            <w:tcW w:w="160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49,329.53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13</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2021-11-30</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35#</w:t>
            </w:r>
          </w:p>
        </w:tc>
        <w:tc>
          <w:tcPr>
            <w:tcW w:w="282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rPr>
                <w:color w:val="000000"/>
                <w:kern w:val="0"/>
                <w:sz w:val="18"/>
                <w:szCs w:val="18"/>
              </w:rPr>
            </w:pPr>
            <w:r>
              <w:rPr>
                <w:rFonts w:hint="eastAsia"/>
                <w:color w:val="000000"/>
                <w:kern w:val="0"/>
                <w:sz w:val="18"/>
                <w:szCs w:val="18"/>
              </w:rPr>
              <w:t>农发行贷款本息调整（按政策退回利息）</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-14,968.80</w:t>
            </w:r>
          </w:p>
        </w:tc>
      </w:tr>
      <w:tr>
        <w:tblPrEx>
          <w:tblLayout w:type="fixed"/>
          <w:tblCellMar>
            <w:top w:w="0" w:type="dxa"/>
            <w:left w:w="0" w:type="dxa"/>
            <w:bottom w:w="0" w:type="dxa"/>
            <w:right w:w="0" w:type="dxa"/>
          </w:tblCellMar>
        </w:tblPrEx>
        <w:trPr>
          <w:trHeight w:val="598" w:hRule="atLeast"/>
        </w:trPr>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2021-07-21</w:t>
            </w:r>
          </w:p>
        </w:tc>
        <w:tc>
          <w:tcPr>
            <w:tcW w:w="7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付7月份县储贷款利息</w:t>
            </w:r>
          </w:p>
        </w:tc>
        <w:tc>
          <w:tcPr>
            <w:tcW w:w="160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47,738.25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14</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2021-12-21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w:t>
            </w:r>
          </w:p>
        </w:tc>
        <w:tc>
          <w:tcPr>
            <w:tcW w:w="282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付12月份县储贷款利息</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65,063.25</w:t>
            </w:r>
          </w:p>
        </w:tc>
      </w:tr>
      <w:tr>
        <w:tblPrEx>
          <w:tblLayout w:type="fixed"/>
          <w:tblCellMar>
            <w:top w:w="0" w:type="dxa"/>
            <w:left w:w="0" w:type="dxa"/>
            <w:bottom w:w="0" w:type="dxa"/>
            <w:right w:w="0" w:type="dxa"/>
          </w:tblCellMar>
        </w:tblPrEx>
        <w:trPr>
          <w:trHeight w:val="598" w:hRule="atLeast"/>
        </w:trPr>
        <w:tc>
          <w:tcPr>
            <w:tcW w:w="450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小计</w:t>
            </w:r>
          </w:p>
        </w:tc>
        <w:tc>
          <w:tcPr>
            <w:tcW w:w="160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337,350.32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p>
        </w:tc>
        <w:tc>
          <w:tcPr>
            <w:tcW w:w="50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小计</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251,434.59 </w:t>
            </w:r>
          </w:p>
        </w:tc>
      </w:tr>
      <w:tr>
        <w:tblPrEx>
          <w:tblLayout w:type="fixed"/>
          <w:tblCellMar>
            <w:top w:w="0" w:type="dxa"/>
            <w:left w:w="0" w:type="dxa"/>
            <w:bottom w:w="0" w:type="dxa"/>
            <w:right w:w="0" w:type="dxa"/>
          </w:tblCellMar>
        </w:tblPrEx>
        <w:trPr>
          <w:trHeight w:val="627" w:hRule="atLeast"/>
        </w:trPr>
        <w:tc>
          <w:tcPr>
            <w:tcW w:w="450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利息支出总额6</w:t>
            </w:r>
            <w:r>
              <w:rPr>
                <w:color w:val="000000"/>
                <w:kern w:val="0"/>
                <w:sz w:val="18"/>
                <w:szCs w:val="18"/>
              </w:rPr>
              <w:t>03,753.71</w:t>
            </w:r>
            <w:r>
              <w:rPr>
                <w:rFonts w:hint="eastAsia"/>
                <w:color w:val="000000"/>
                <w:kern w:val="0"/>
                <w:sz w:val="18"/>
                <w:szCs w:val="18"/>
              </w:rPr>
              <w:t>元。</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rPr>
                <w:color w:val="000000"/>
                <w:kern w:val="0"/>
                <w:sz w:val="18"/>
                <w:szCs w:val="18"/>
              </w:rPr>
            </w:pPr>
            <w:r>
              <w:rPr>
                <w:rFonts w:hint="eastAsia"/>
                <w:color w:val="000000"/>
                <w:kern w:val="0"/>
                <w:sz w:val="18"/>
                <w:szCs w:val="18"/>
              </w:rPr>
              <w:t>农发行按政策退</w:t>
            </w:r>
            <w:r>
              <w:rPr>
                <w:color w:val="000000"/>
                <w:kern w:val="0"/>
                <w:sz w:val="18"/>
                <w:szCs w:val="18"/>
              </w:rPr>
              <w:t>14,968.80</w:t>
            </w:r>
            <w:r>
              <w:rPr>
                <w:rFonts w:hint="eastAsia"/>
                <w:color w:val="000000"/>
                <w:kern w:val="0"/>
                <w:sz w:val="18"/>
                <w:szCs w:val="18"/>
              </w:rPr>
              <w:t>元</w:t>
            </w:r>
          </w:p>
        </w:tc>
        <w:tc>
          <w:tcPr>
            <w:tcW w:w="677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实际利息支出</w:t>
            </w:r>
            <w:r>
              <w:rPr>
                <w:color w:val="000000"/>
                <w:kern w:val="0"/>
                <w:sz w:val="18"/>
                <w:szCs w:val="18"/>
              </w:rPr>
              <w:t>588,784.91</w:t>
            </w:r>
            <w:r>
              <w:rPr>
                <w:rFonts w:hint="eastAsia"/>
                <w:color w:val="000000"/>
                <w:kern w:val="0"/>
                <w:sz w:val="18"/>
                <w:szCs w:val="18"/>
              </w:rPr>
              <w:t>元</w:t>
            </w:r>
          </w:p>
        </w:tc>
      </w:tr>
    </w:tbl>
    <w:p>
      <w:pPr>
        <w:widowControl/>
        <w:tabs>
          <w:tab w:val="left" w:pos="2940"/>
        </w:tabs>
        <w:rPr>
          <w:rFonts w:ascii="宋体" w:hAnsi="宋体"/>
          <w:sz w:val="32"/>
          <w:szCs w:val="32"/>
        </w:rPr>
      </w:pPr>
    </w:p>
    <w:p>
      <w:pPr>
        <w:widowControl/>
        <w:tabs>
          <w:tab w:val="left" w:pos="2940"/>
        </w:tabs>
        <w:rPr>
          <w:rFonts w:ascii="宋体" w:hAnsi="宋体"/>
          <w:sz w:val="32"/>
          <w:szCs w:val="32"/>
        </w:rPr>
      </w:pPr>
    </w:p>
    <w:p>
      <w:pPr>
        <w:widowControl/>
        <w:jc w:val="center"/>
        <w:rPr>
          <w:color w:val="000000"/>
          <w:kern w:val="0"/>
          <w:sz w:val="28"/>
          <w:szCs w:val="28"/>
        </w:rPr>
      </w:pPr>
      <w:r>
        <w:rPr>
          <w:rFonts w:hint="eastAsia"/>
          <w:color w:val="000000"/>
          <w:kern w:val="0"/>
          <w:sz w:val="32"/>
          <w:szCs w:val="32"/>
        </w:rPr>
        <w:t xml:space="preserve">  附件</w:t>
      </w:r>
      <w:r>
        <w:rPr>
          <w:color w:val="000000"/>
          <w:kern w:val="0"/>
          <w:sz w:val="32"/>
          <w:szCs w:val="32"/>
        </w:rPr>
        <w:t>4</w:t>
      </w:r>
      <w:r>
        <w:rPr>
          <w:rFonts w:hint="eastAsia"/>
          <w:color w:val="000000"/>
          <w:kern w:val="0"/>
          <w:sz w:val="32"/>
          <w:szCs w:val="32"/>
        </w:rPr>
        <w:t xml:space="preserve">： </w:t>
      </w:r>
      <w:r>
        <w:rPr>
          <w:color w:val="000000"/>
          <w:kern w:val="0"/>
          <w:sz w:val="32"/>
          <w:szCs w:val="32"/>
        </w:rPr>
        <w:t xml:space="preserve">        </w:t>
      </w:r>
      <w:r>
        <w:rPr>
          <w:rFonts w:hint="eastAsia"/>
          <w:color w:val="000000"/>
          <w:kern w:val="0"/>
          <w:sz w:val="32"/>
          <w:szCs w:val="32"/>
        </w:rPr>
        <w:t xml:space="preserve">2021年收购2200吨中晚稻情况明细表          </w:t>
      </w:r>
      <w:r>
        <w:rPr>
          <w:rFonts w:hint="eastAsia"/>
          <w:color w:val="000000"/>
          <w:kern w:val="0"/>
          <w:sz w:val="28"/>
          <w:szCs w:val="28"/>
        </w:rPr>
        <w:t>单位：公斤、元</w:t>
      </w:r>
    </w:p>
    <w:tbl>
      <w:tblPr>
        <w:tblStyle w:val="6"/>
        <w:tblW w:w="13982" w:type="dxa"/>
        <w:tblInd w:w="0" w:type="dxa"/>
        <w:tblLayout w:type="fixed"/>
        <w:tblCellMar>
          <w:top w:w="0" w:type="dxa"/>
          <w:left w:w="0" w:type="dxa"/>
          <w:bottom w:w="0" w:type="dxa"/>
          <w:right w:w="0" w:type="dxa"/>
        </w:tblCellMar>
      </w:tblPr>
      <w:tblGrid>
        <w:gridCol w:w="829"/>
        <w:gridCol w:w="1339"/>
        <w:gridCol w:w="1339"/>
        <w:gridCol w:w="1339"/>
        <w:gridCol w:w="1267"/>
        <w:gridCol w:w="1473"/>
        <w:gridCol w:w="1210"/>
        <w:gridCol w:w="1180"/>
        <w:gridCol w:w="1254"/>
        <w:gridCol w:w="1236"/>
        <w:gridCol w:w="1516"/>
      </w:tblGrid>
      <w:tr>
        <w:tblPrEx>
          <w:tblLayout w:type="fixed"/>
          <w:tblCellMar>
            <w:top w:w="0" w:type="dxa"/>
            <w:left w:w="0" w:type="dxa"/>
            <w:bottom w:w="0" w:type="dxa"/>
            <w:right w:w="0" w:type="dxa"/>
          </w:tblCellMar>
        </w:tblPrEx>
        <w:trPr>
          <w:trHeight w:val="355" w:hRule="atLeast"/>
          <w:tblHeader/>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序号</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售粮人</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粮食性质</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粮食品种</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毛重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皮重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净重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扣量合计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结算数量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单价</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金额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贺正东</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728,650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243,870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484,780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11,504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473,276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2.62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1,239,983.00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黄大元</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433,510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146,810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286,700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5,609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281,091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2.58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725,194.00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杨永征</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320,100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96,890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223,210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4,392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218,818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2.56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560,174.00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向海霞</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316,980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93,400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223,580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5,030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218,550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2.62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572,601.00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李鸿</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321,980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102,490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219,490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5,489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214,001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2.62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560,683.00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6</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庞圣军</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259,640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74,020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185,620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4,451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181,169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2.62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474,663.00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7</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丁仁清</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279,370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124,890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154,480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3,091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151,389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2.62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396,639.00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8</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欧高峰</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97,450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27,670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69,780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1,171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68,609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2.57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176,294.00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9</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才业培</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100,000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34,860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65,140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1,156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63,984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2.60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166,102.00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10</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鲁秉淼</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40,740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10,370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30,370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503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29,867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2.57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76,729.00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11</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吴佳银</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45,710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17,200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28,510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466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28,044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2.57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72,017.00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12</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刘广喜</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37,540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13,560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23,980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422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23,558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2.58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60,680.00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13</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周拥军</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32,530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9,290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23,240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349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22,891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2.56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58,601.00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14</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刘松礼</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33,010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10,770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22,240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395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21,845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2.58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56,275.00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15</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雷存任</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26,700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9,430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17,270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259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17,011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2.56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43,548.00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16</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李攸艳</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24,260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7,690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16,570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331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16,239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2.56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41,572.00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17</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薛国云</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25,210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8,630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16,580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663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15,917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2.56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40,748.00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18</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裴永志</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21,910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6,520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15,390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348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15,042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2.62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39,410.00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19</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罗成新</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27,990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13,120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14,870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223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14,647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2.56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37,496.00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20</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周三友</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21,630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8,460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13,170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250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12,920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2.61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33,702.00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21</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马先武</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22,560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10,540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12,020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232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11,788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2.59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30,486.00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22</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朱一鸣</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12,960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4,000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8,960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150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8,810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2.58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22,756.00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23</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罗安辉</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13,220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4,370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8,850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180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8,670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2.59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22,466.00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24</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田启平</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13,420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4,790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8,630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194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8,436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2.60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21,975.00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25</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鲁长生</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13,390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5,320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8,070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121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7,949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2.56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20,349.00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26</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陈观金</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11,360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5,090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6,270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125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6,145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2.59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15,911.00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27</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肖学生</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9,110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2,870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6,240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157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6,083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2.62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15,937.00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28</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万朝政</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8,800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3,250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5,550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83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5,467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2.62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14,324.00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29</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熊显惠</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6,960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2,420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4,540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113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4,427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2.62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11,599.00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30</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鲁礼民</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6,470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2,700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3,770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95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3,675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2.62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9,629.00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31</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李自祥</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6,150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2,610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3,540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53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3,487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2.56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8,927.00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32</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梁开泉</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4,700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1,470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3,230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81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3,149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2.62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8,250.00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33</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周如孝</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6,640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3,510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3,130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78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3,052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2.62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7,996.00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34</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游涛</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5,530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2,700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2,830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42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2,788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2.56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7,137.00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35</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李文华</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6,090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3,510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2,580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52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2,528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2.62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6,623.00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36</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张兴龙</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5,070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2,520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2,550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38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2,512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2.56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6,431.00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37</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庞风英</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4,150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1,590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2,560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64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2,496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2.62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6,540.00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38</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黄兆祥</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3,860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1,410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2,450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47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2,403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2.56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6,152.00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39</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郑学敏</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4,740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2,330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2,410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36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2,374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2.56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6,077.00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40</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梁龙</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4,710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2,650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2,060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52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2,008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2.62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5,261.00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41</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刘显喜</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3,450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1,490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1,960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37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1,923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2.56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4,923.00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42</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郑金玉</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4,550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2,690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1,860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47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1,813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2.62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4,750.00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43</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李士发</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3,960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2,350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1,610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40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1,570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2.56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4,019.00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44</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李昌晓</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4,120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2,630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1,490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37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1,453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2.62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3,807.00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45</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彭培怀</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3,910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2,700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1,210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18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1,192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2.56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3,052.00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46</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甘红潮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2,470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1,310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1,160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17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1,143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2.56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2,926.00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47</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甘元贵</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1,590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450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1,140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17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1,123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2.56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2,875.00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48</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俞宏喜</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1,860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820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1,040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16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1,024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2.56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2,621.00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49</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胡开生</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2,280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1,440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840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13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827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2.56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2,117.00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50</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游兴武</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870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290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580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9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571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2.56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1,462.00 </w:t>
            </w:r>
          </w:p>
        </w:tc>
      </w:tr>
      <w:tr>
        <w:tblPrEx>
          <w:tblLayout w:type="fixed"/>
          <w:tblCellMar>
            <w:top w:w="0" w:type="dxa"/>
            <w:left w:w="0" w:type="dxa"/>
            <w:bottom w:w="0" w:type="dxa"/>
            <w:right w:w="0" w:type="dxa"/>
          </w:tblCellMar>
        </w:tblPrEx>
        <w:trPr>
          <w:trHeight w:val="355" w:hRule="atLeast"/>
        </w:trPr>
        <w:tc>
          <w:tcPr>
            <w:tcW w:w="82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51</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张可枝</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650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400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246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2.56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630.00 </w:t>
            </w:r>
          </w:p>
        </w:tc>
      </w:tr>
      <w:tr>
        <w:tblPrEx>
          <w:tblLayout w:type="fixed"/>
          <w:tblCellMar>
            <w:top w:w="0" w:type="dxa"/>
            <w:left w:w="0" w:type="dxa"/>
            <w:bottom w:w="0" w:type="dxa"/>
            <w:right w:w="0" w:type="dxa"/>
          </w:tblCellMar>
        </w:tblPrEx>
        <w:trPr>
          <w:trHeight w:val="355" w:hRule="atLeast"/>
        </w:trPr>
        <w:tc>
          <w:tcPr>
            <w:tcW w:w="484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合计</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3,394,510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1,146,160 </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2,248,350 </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48,350 </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2,200,000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2.60 </w:t>
            </w:r>
          </w:p>
        </w:tc>
        <w:tc>
          <w:tcPr>
            <w:tcW w:w="15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5,721,119.00 </w:t>
            </w:r>
          </w:p>
        </w:tc>
      </w:tr>
    </w:tbl>
    <w:p>
      <w:pPr>
        <w:widowControl/>
        <w:jc w:val="center"/>
        <w:rPr>
          <w:color w:val="000000"/>
          <w:kern w:val="0"/>
          <w:sz w:val="18"/>
          <w:szCs w:val="18"/>
        </w:rPr>
      </w:pPr>
    </w:p>
    <w:p>
      <w:pPr>
        <w:widowControl/>
        <w:tabs>
          <w:tab w:val="left" w:pos="2940"/>
        </w:tabs>
        <w:rPr>
          <w:rFonts w:ascii="宋体" w:hAnsi="宋体"/>
          <w:sz w:val="32"/>
          <w:szCs w:val="32"/>
        </w:rPr>
      </w:pPr>
    </w:p>
    <w:p>
      <w:pPr>
        <w:widowControl/>
        <w:tabs>
          <w:tab w:val="left" w:pos="2940"/>
        </w:tabs>
        <w:rPr>
          <w:rFonts w:ascii="宋体" w:hAnsi="宋体"/>
          <w:sz w:val="32"/>
          <w:szCs w:val="32"/>
        </w:rPr>
      </w:pPr>
    </w:p>
    <w:p>
      <w:pPr>
        <w:widowControl/>
        <w:tabs>
          <w:tab w:val="left" w:pos="2940"/>
        </w:tabs>
        <w:rPr>
          <w:rFonts w:ascii="宋体" w:hAnsi="宋体"/>
          <w:sz w:val="32"/>
          <w:szCs w:val="32"/>
        </w:rPr>
      </w:pPr>
    </w:p>
    <w:p>
      <w:pPr>
        <w:widowControl/>
        <w:tabs>
          <w:tab w:val="left" w:pos="2940"/>
        </w:tabs>
        <w:rPr>
          <w:rFonts w:ascii="宋体" w:hAnsi="宋体"/>
          <w:sz w:val="32"/>
          <w:szCs w:val="32"/>
        </w:rPr>
      </w:pPr>
    </w:p>
    <w:p>
      <w:pPr>
        <w:widowControl/>
        <w:tabs>
          <w:tab w:val="left" w:pos="2940"/>
        </w:tabs>
        <w:rPr>
          <w:rFonts w:ascii="宋体" w:hAnsi="宋体"/>
          <w:sz w:val="32"/>
          <w:szCs w:val="32"/>
        </w:rPr>
      </w:pPr>
    </w:p>
    <w:p>
      <w:pPr>
        <w:widowControl/>
        <w:tabs>
          <w:tab w:val="left" w:pos="2940"/>
        </w:tabs>
        <w:rPr>
          <w:rFonts w:ascii="宋体" w:hAnsi="宋体"/>
          <w:sz w:val="24"/>
        </w:rPr>
      </w:pPr>
      <w:r>
        <w:rPr>
          <w:rFonts w:hint="eastAsia" w:ascii="宋体" w:hAnsi="宋体"/>
          <w:sz w:val="32"/>
          <w:szCs w:val="32"/>
        </w:rPr>
        <w:t xml:space="preserve">                    </w:t>
      </w:r>
      <w:r>
        <w:rPr>
          <w:rFonts w:hint="eastAsia"/>
          <w:sz w:val="32"/>
          <w:szCs w:val="32"/>
        </w:rPr>
        <w:t xml:space="preserve"> 附件</w:t>
      </w:r>
      <w:r>
        <w:rPr>
          <w:sz w:val="32"/>
          <w:szCs w:val="32"/>
        </w:rPr>
        <w:t>5</w:t>
      </w:r>
      <w:r>
        <w:rPr>
          <w:rFonts w:hint="eastAsia"/>
          <w:sz w:val="32"/>
          <w:szCs w:val="32"/>
        </w:rPr>
        <w:t xml:space="preserve">： </w:t>
      </w:r>
      <w:r>
        <w:rPr>
          <w:sz w:val="32"/>
          <w:szCs w:val="32"/>
        </w:rPr>
        <w:t xml:space="preserve"> </w:t>
      </w:r>
      <w:r>
        <w:rPr>
          <w:rFonts w:hint="eastAsia"/>
          <w:sz w:val="32"/>
          <w:szCs w:val="32"/>
        </w:rPr>
        <w:t xml:space="preserve">2018年收购2200吨中晚稻情况明细表  </w:t>
      </w:r>
      <w:r>
        <w:rPr>
          <w:rFonts w:hint="eastAsia" w:ascii="宋体" w:hAnsi="宋体"/>
          <w:sz w:val="32"/>
          <w:szCs w:val="32"/>
        </w:rPr>
        <w:t xml:space="preserve">         </w:t>
      </w:r>
      <w:r>
        <w:rPr>
          <w:rFonts w:hint="eastAsia" w:ascii="宋体" w:hAnsi="宋体"/>
          <w:sz w:val="24"/>
        </w:rPr>
        <w:t>单位：公斤、元</w:t>
      </w:r>
    </w:p>
    <w:tbl>
      <w:tblPr>
        <w:tblStyle w:val="6"/>
        <w:tblW w:w="13982" w:type="dxa"/>
        <w:tblInd w:w="0" w:type="dxa"/>
        <w:tblLayout w:type="fixed"/>
        <w:tblCellMar>
          <w:top w:w="0" w:type="dxa"/>
          <w:left w:w="0" w:type="dxa"/>
          <w:bottom w:w="0" w:type="dxa"/>
          <w:right w:w="0" w:type="dxa"/>
        </w:tblCellMar>
      </w:tblPr>
      <w:tblGrid>
        <w:gridCol w:w="946"/>
        <w:gridCol w:w="1140"/>
        <w:gridCol w:w="1460"/>
        <w:gridCol w:w="1590"/>
        <w:gridCol w:w="1300"/>
        <w:gridCol w:w="1370"/>
        <w:gridCol w:w="1330"/>
        <w:gridCol w:w="1470"/>
        <w:gridCol w:w="1380"/>
        <w:gridCol w:w="1996"/>
      </w:tblGrid>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序号</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交粮人</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粮食性质</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粮食品种</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皮重</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毛重</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扣量</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净重</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 单价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 金额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彭传刚</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222620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794520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17158</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554742</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1,353,570.48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杨永征</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153970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471750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9532</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308248</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752,125.48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赵志岗</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86550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303930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6532</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210848</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514,469.12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朱传岩</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65790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230700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4947</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159963</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390,309.72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刘良元</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59630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203470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4316</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139524</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340,438.56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6</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王中怀</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57600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199230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4250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137380</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335,207.20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7</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向海霞</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42190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147980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3173</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102617</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250,385.48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8</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贺正东</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42870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147520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3139</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101511</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247,686.84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9</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才业培</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41060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133780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2806</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89914</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219,191.48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10</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易先元</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23970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89280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1960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63350</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154,574.00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11</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万山华</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12850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51030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1145</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37035</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90,365.40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12</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曾祥银</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14410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52080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1130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36540</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89,157.60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13</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齐少鑫</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14550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50520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1079</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34891</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85,134.04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14</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齐兴均</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13720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49640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1078</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34842</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85,014.48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15</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王鲁湘</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14060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49030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1049</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33921</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82,767.24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16</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易建贵</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20330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53830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1006</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32494</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79,285.36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17</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张自力</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11760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44010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967</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31283</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76,330.52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18</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彭传刚</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7550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31900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731</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23619</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57,630.36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19</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雷存任</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5860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24300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567</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17873</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43,610.12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20</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罗成新</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5310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13610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265</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8035</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19,605.40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21</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石国才</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5400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13080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230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7450</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18,178.00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序号</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交粮人</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粮食性质</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粮食品种</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皮重</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毛重</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扣量</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净重</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单价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金额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22</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周昌发</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2400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8000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168</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5432</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13,254.08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23</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雷波山</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5000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10220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156</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5064</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12,356.16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24</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辛继芦</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1530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5120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108</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3482</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8,496.08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25</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鲁秉淼</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970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4490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105</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3415</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8,332.60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26</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王中双</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1060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3030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59</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1911</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4,662.84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27</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鲁秉森</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490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2260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71</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1699</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4,145.56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28</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合秉淼</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490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2230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70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1670</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4,074.80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29</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雷存在</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520</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1770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38</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1212</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2,957.28 </w:t>
            </w:r>
          </w:p>
        </w:tc>
      </w:tr>
      <w:tr>
        <w:tblPrEx>
          <w:tblLayout w:type="fixed"/>
          <w:tblCellMar>
            <w:top w:w="0" w:type="dxa"/>
            <w:left w:w="0" w:type="dxa"/>
            <w:bottom w:w="0" w:type="dxa"/>
            <w:right w:w="0" w:type="dxa"/>
          </w:tblCellMar>
        </w:tblPrEx>
        <w:trPr>
          <w:trHeight w:val="28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30</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彭传刚</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县级储备粮</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中晚灿稻</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22345</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12310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10035</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2.52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25,288.20 </w:t>
            </w:r>
          </w:p>
        </w:tc>
      </w:tr>
      <w:tr>
        <w:tblPrEx>
          <w:tblLayout w:type="fixed"/>
          <w:tblCellMar>
            <w:top w:w="0" w:type="dxa"/>
            <w:left w:w="0" w:type="dxa"/>
            <w:bottom w:w="0" w:type="dxa"/>
            <w:right w:w="0" w:type="dxa"/>
          </w:tblCellMar>
        </w:tblPrEx>
        <w:trPr>
          <w:trHeight w:val="288" w:hRule="atLeast"/>
        </w:trPr>
        <w:tc>
          <w:tcPr>
            <w:tcW w:w="6436"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合计</w:t>
            </w: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2,200,000.00 </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2.44 </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rPr>
                <w:color w:val="000000"/>
                <w:kern w:val="0"/>
                <w:sz w:val="18"/>
                <w:szCs w:val="18"/>
              </w:rPr>
            </w:pPr>
            <w:r>
              <w:rPr>
                <w:rFonts w:hint="eastAsia"/>
                <w:color w:val="000000"/>
                <w:kern w:val="0"/>
                <w:sz w:val="18"/>
                <w:szCs w:val="18"/>
              </w:rPr>
              <w:t xml:space="preserve"> 5,368,604.48 </w:t>
            </w:r>
          </w:p>
        </w:tc>
      </w:tr>
    </w:tbl>
    <w:p>
      <w:pPr>
        <w:widowControl/>
        <w:ind w:firstLine="480" w:firstLineChars="200"/>
        <w:rPr>
          <w:color w:val="000000"/>
          <w:kern w:val="0"/>
          <w:sz w:val="24"/>
        </w:rPr>
      </w:pPr>
      <w:r>
        <w:rPr>
          <w:rFonts w:hint="eastAsia"/>
          <w:color w:val="000000"/>
          <w:kern w:val="0"/>
          <w:sz w:val="24"/>
        </w:rPr>
        <w:t>注：2018年12月65#凭证，2018年12月10日收购彭传刚中晚稻10.035吨，单价2</w:t>
      </w:r>
      <w:r>
        <w:rPr>
          <w:color w:val="000000"/>
          <w:kern w:val="0"/>
          <w:sz w:val="24"/>
        </w:rPr>
        <w:t>.52</w:t>
      </w:r>
      <w:r>
        <w:rPr>
          <w:rFonts w:hint="eastAsia"/>
          <w:color w:val="000000"/>
          <w:kern w:val="0"/>
          <w:sz w:val="24"/>
        </w:rPr>
        <w:t>元/公斤，金额25288.20元。</w:t>
      </w:r>
    </w:p>
    <w:p>
      <w:pPr>
        <w:widowControl/>
        <w:jc w:val="center"/>
        <w:rPr>
          <w:color w:val="000000"/>
          <w:kern w:val="0"/>
          <w:sz w:val="18"/>
          <w:szCs w:val="18"/>
        </w:rPr>
      </w:pPr>
    </w:p>
    <w:p>
      <w:pPr>
        <w:widowControl/>
        <w:jc w:val="center"/>
        <w:rPr>
          <w:color w:val="000000"/>
          <w:kern w:val="0"/>
          <w:sz w:val="18"/>
          <w:szCs w:val="18"/>
        </w:rPr>
      </w:pPr>
    </w:p>
    <w:p>
      <w:pPr>
        <w:widowControl/>
        <w:jc w:val="center"/>
        <w:rPr>
          <w:color w:val="000000"/>
          <w:kern w:val="0"/>
          <w:sz w:val="18"/>
          <w:szCs w:val="18"/>
        </w:rPr>
      </w:pPr>
    </w:p>
    <w:p>
      <w:pPr>
        <w:widowControl/>
        <w:jc w:val="center"/>
        <w:rPr>
          <w:color w:val="000000"/>
          <w:kern w:val="0"/>
          <w:sz w:val="18"/>
          <w:szCs w:val="18"/>
        </w:rPr>
      </w:pPr>
    </w:p>
    <w:p>
      <w:pPr>
        <w:widowControl/>
        <w:jc w:val="center"/>
        <w:rPr>
          <w:color w:val="000000"/>
          <w:kern w:val="0"/>
          <w:sz w:val="18"/>
          <w:szCs w:val="18"/>
        </w:rPr>
      </w:pPr>
    </w:p>
    <w:p>
      <w:pPr>
        <w:widowControl/>
        <w:jc w:val="center"/>
        <w:rPr>
          <w:color w:val="000000"/>
          <w:kern w:val="0"/>
          <w:sz w:val="18"/>
          <w:szCs w:val="18"/>
        </w:rPr>
      </w:pPr>
    </w:p>
    <w:p>
      <w:pPr>
        <w:widowControl/>
        <w:jc w:val="center"/>
        <w:rPr>
          <w:color w:val="000000"/>
          <w:kern w:val="0"/>
          <w:sz w:val="18"/>
          <w:szCs w:val="18"/>
        </w:rPr>
      </w:pPr>
    </w:p>
    <w:p>
      <w:pPr>
        <w:widowControl/>
        <w:jc w:val="center"/>
        <w:rPr>
          <w:color w:val="000000"/>
          <w:kern w:val="0"/>
          <w:sz w:val="18"/>
          <w:szCs w:val="18"/>
        </w:rPr>
      </w:pPr>
    </w:p>
    <w:p>
      <w:pPr>
        <w:widowControl/>
        <w:jc w:val="center"/>
        <w:rPr>
          <w:color w:val="000000"/>
          <w:kern w:val="0"/>
          <w:sz w:val="18"/>
          <w:szCs w:val="18"/>
        </w:rPr>
      </w:pPr>
    </w:p>
    <w:p>
      <w:pPr>
        <w:widowControl/>
        <w:jc w:val="center"/>
        <w:rPr>
          <w:color w:val="000000"/>
          <w:kern w:val="0"/>
          <w:sz w:val="18"/>
          <w:szCs w:val="18"/>
        </w:rPr>
      </w:pPr>
    </w:p>
    <w:p>
      <w:pPr>
        <w:widowControl/>
        <w:jc w:val="center"/>
        <w:rPr>
          <w:color w:val="000000"/>
          <w:kern w:val="0"/>
          <w:sz w:val="18"/>
          <w:szCs w:val="18"/>
        </w:rPr>
      </w:pPr>
    </w:p>
    <w:p>
      <w:pPr>
        <w:widowControl/>
        <w:jc w:val="center"/>
        <w:rPr>
          <w:color w:val="000000"/>
          <w:kern w:val="0"/>
          <w:sz w:val="18"/>
          <w:szCs w:val="18"/>
        </w:rPr>
      </w:pPr>
    </w:p>
    <w:p>
      <w:pPr>
        <w:widowControl/>
        <w:jc w:val="center"/>
        <w:rPr>
          <w:color w:val="000000"/>
          <w:kern w:val="0"/>
          <w:sz w:val="18"/>
          <w:szCs w:val="18"/>
        </w:rPr>
      </w:pPr>
    </w:p>
    <w:p>
      <w:pPr>
        <w:widowControl/>
        <w:jc w:val="center"/>
        <w:rPr>
          <w:color w:val="000000"/>
          <w:kern w:val="0"/>
          <w:sz w:val="18"/>
          <w:szCs w:val="18"/>
        </w:rPr>
      </w:pPr>
      <w:r>
        <w:rPr>
          <w:rFonts w:hint="eastAsia"/>
          <w:color w:val="000000"/>
          <w:kern w:val="0"/>
          <w:sz w:val="32"/>
          <w:szCs w:val="32"/>
        </w:rPr>
        <w:t xml:space="preserve">            </w:t>
      </w:r>
    </w:p>
    <w:sectPr>
      <w:pgSz w:w="16838" w:h="11906" w:orient="landscape"/>
      <w:pgMar w:top="1797" w:right="1440" w:bottom="1797"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7juml68BAABL&#10;AwAADgAAAAAAAAABACAAAAAeAQAAZHJzL2Uyb0RvYy54bWxQSwUGAAAAAAYABgBZAQAAPwUAAAAA&#10;">
              <v:fill on="f" focussize="0,0"/>
              <v:stroke on="f"/>
              <v:imagedata o:title=""/>
              <o:lock v:ext="edit" aspectratio="f"/>
              <v:textbox inset="0mm,0mm,0mm,0mm" style="mso-fit-shape-to-text:t;">
                <w:txbxContent>
                  <w:p>
                    <w:pPr>
                      <w:pStyle w:val="3"/>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c17eWrgEAAEsD&#10;AAAOAAAAAAAAAAEAIAAAAB4BAABkcnMvZTJvRG9jLnhtbFBLBQYAAAAABgAGAFkBAAA+BQAAAAA=&#10;">
              <v:fill on="f" focussize="0,0"/>
              <v:stroke on="f"/>
              <v:imagedata o:title=""/>
              <o:lock v:ext="edit" aspectratio="f"/>
              <v:textbox inset="0mm,0mm,0mm,0mm" style="mso-fit-shape-to-text:t;">
                <w:txbxContent>
                  <w:p>
                    <w:pPr>
                      <w:pStyle w:val="3"/>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0BB4FE"/>
    <w:multiLevelType w:val="singleLevel"/>
    <w:tmpl w:val="590BB4F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AE4"/>
    <w:rsid w:val="000072A8"/>
    <w:rsid w:val="00007952"/>
    <w:rsid w:val="00012000"/>
    <w:rsid w:val="00015252"/>
    <w:rsid w:val="000218B3"/>
    <w:rsid w:val="00023EE9"/>
    <w:rsid w:val="00040809"/>
    <w:rsid w:val="0004504D"/>
    <w:rsid w:val="00045AE9"/>
    <w:rsid w:val="0005075D"/>
    <w:rsid w:val="00054208"/>
    <w:rsid w:val="00056B77"/>
    <w:rsid w:val="0006673A"/>
    <w:rsid w:val="000A1CD0"/>
    <w:rsid w:val="000A7C65"/>
    <w:rsid w:val="000B10F0"/>
    <w:rsid w:val="000B3D65"/>
    <w:rsid w:val="000C5005"/>
    <w:rsid w:val="000D0362"/>
    <w:rsid w:val="000E3301"/>
    <w:rsid w:val="000E4FC3"/>
    <w:rsid w:val="000F1E5D"/>
    <w:rsid w:val="000F4953"/>
    <w:rsid w:val="000F7632"/>
    <w:rsid w:val="00102F0D"/>
    <w:rsid w:val="001432D6"/>
    <w:rsid w:val="00143930"/>
    <w:rsid w:val="00145FAC"/>
    <w:rsid w:val="00152F13"/>
    <w:rsid w:val="00157B2D"/>
    <w:rsid w:val="00164991"/>
    <w:rsid w:val="00165ECB"/>
    <w:rsid w:val="00167A3E"/>
    <w:rsid w:val="00177247"/>
    <w:rsid w:val="00177320"/>
    <w:rsid w:val="001838F2"/>
    <w:rsid w:val="001856DA"/>
    <w:rsid w:val="00197AC7"/>
    <w:rsid w:val="001A3952"/>
    <w:rsid w:val="001A4ABC"/>
    <w:rsid w:val="001A51D6"/>
    <w:rsid w:val="001B3BA9"/>
    <w:rsid w:val="001B4CBA"/>
    <w:rsid w:val="001E0223"/>
    <w:rsid w:val="001E379E"/>
    <w:rsid w:val="001F62A9"/>
    <w:rsid w:val="002049D4"/>
    <w:rsid w:val="00205E97"/>
    <w:rsid w:val="00215BBE"/>
    <w:rsid w:val="00216B16"/>
    <w:rsid w:val="0023506C"/>
    <w:rsid w:val="002409DC"/>
    <w:rsid w:val="00242882"/>
    <w:rsid w:val="00243F70"/>
    <w:rsid w:val="002458E6"/>
    <w:rsid w:val="00250A42"/>
    <w:rsid w:val="00251090"/>
    <w:rsid w:val="00251653"/>
    <w:rsid w:val="00251CA3"/>
    <w:rsid w:val="00261894"/>
    <w:rsid w:val="0026292E"/>
    <w:rsid w:val="00262C02"/>
    <w:rsid w:val="00273773"/>
    <w:rsid w:val="002817F2"/>
    <w:rsid w:val="00284B85"/>
    <w:rsid w:val="002973C9"/>
    <w:rsid w:val="002A0E5B"/>
    <w:rsid w:val="002A5C5B"/>
    <w:rsid w:val="002C3F14"/>
    <w:rsid w:val="002D2F2D"/>
    <w:rsid w:val="002D4E2B"/>
    <w:rsid w:val="002D5F53"/>
    <w:rsid w:val="002E0DA5"/>
    <w:rsid w:val="002F0953"/>
    <w:rsid w:val="002F4DC9"/>
    <w:rsid w:val="00301D81"/>
    <w:rsid w:val="00306C35"/>
    <w:rsid w:val="003155F5"/>
    <w:rsid w:val="00320A18"/>
    <w:rsid w:val="003278D8"/>
    <w:rsid w:val="00336A2D"/>
    <w:rsid w:val="00337725"/>
    <w:rsid w:val="00337F80"/>
    <w:rsid w:val="0034124F"/>
    <w:rsid w:val="00354AE4"/>
    <w:rsid w:val="00356D86"/>
    <w:rsid w:val="00360158"/>
    <w:rsid w:val="003A7907"/>
    <w:rsid w:val="003A7D7D"/>
    <w:rsid w:val="003B5988"/>
    <w:rsid w:val="003C031D"/>
    <w:rsid w:val="003C53B7"/>
    <w:rsid w:val="003C6C98"/>
    <w:rsid w:val="003D28D0"/>
    <w:rsid w:val="003E3A91"/>
    <w:rsid w:val="003F4FC5"/>
    <w:rsid w:val="003F51B6"/>
    <w:rsid w:val="0040058E"/>
    <w:rsid w:val="00400FDD"/>
    <w:rsid w:val="00402E4B"/>
    <w:rsid w:val="00405BD0"/>
    <w:rsid w:val="00432529"/>
    <w:rsid w:val="00433C24"/>
    <w:rsid w:val="00442D08"/>
    <w:rsid w:val="004446F3"/>
    <w:rsid w:val="00446F8A"/>
    <w:rsid w:val="0045238F"/>
    <w:rsid w:val="00465AE8"/>
    <w:rsid w:val="00470F21"/>
    <w:rsid w:val="004739F9"/>
    <w:rsid w:val="00474444"/>
    <w:rsid w:val="004747F0"/>
    <w:rsid w:val="00482A02"/>
    <w:rsid w:val="004A1E19"/>
    <w:rsid w:val="004A3752"/>
    <w:rsid w:val="004B00D9"/>
    <w:rsid w:val="004B1992"/>
    <w:rsid w:val="004C4D59"/>
    <w:rsid w:val="004C5256"/>
    <w:rsid w:val="004C5761"/>
    <w:rsid w:val="004D4D2C"/>
    <w:rsid w:val="004E37CF"/>
    <w:rsid w:val="004E66B9"/>
    <w:rsid w:val="004E7133"/>
    <w:rsid w:val="004F1337"/>
    <w:rsid w:val="00506A62"/>
    <w:rsid w:val="0050771A"/>
    <w:rsid w:val="0051242E"/>
    <w:rsid w:val="00513DA1"/>
    <w:rsid w:val="00515C78"/>
    <w:rsid w:val="005230B2"/>
    <w:rsid w:val="00527F94"/>
    <w:rsid w:val="00530CCF"/>
    <w:rsid w:val="00532EE2"/>
    <w:rsid w:val="00533893"/>
    <w:rsid w:val="00535038"/>
    <w:rsid w:val="00540876"/>
    <w:rsid w:val="005479F7"/>
    <w:rsid w:val="0055538A"/>
    <w:rsid w:val="00565160"/>
    <w:rsid w:val="00565AF5"/>
    <w:rsid w:val="00566824"/>
    <w:rsid w:val="005669FA"/>
    <w:rsid w:val="005744DF"/>
    <w:rsid w:val="005754DD"/>
    <w:rsid w:val="00585071"/>
    <w:rsid w:val="00593B07"/>
    <w:rsid w:val="005E208D"/>
    <w:rsid w:val="005E335D"/>
    <w:rsid w:val="005E3E21"/>
    <w:rsid w:val="00611D00"/>
    <w:rsid w:val="00641AC4"/>
    <w:rsid w:val="00656336"/>
    <w:rsid w:val="006571B9"/>
    <w:rsid w:val="006653FE"/>
    <w:rsid w:val="00672562"/>
    <w:rsid w:val="006A3AA2"/>
    <w:rsid w:val="006B69A5"/>
    <w:rsid w:val="006C398B"/>
    <w:rsid w:val="006C494A"/>
    <w:rsid w:val="006E112B"/>
    <w:rsid w:val="006F156F"/>
    <w:rsid w:val="006F33D7"/>
    <w:rsid w:val="00715AFF"/>
    <w:rsid w:val="00726851"/>
    <w:rsid w:val="00734232"/>
    <w:rsid w:val="0073494F"/>
    <w:rsid w:val="00745A39"/>
    <w:rsid w:val="00751A57"/>
    <w:rsid w:val="00757DB3"/>
    <w:rsid w:val="00764741"/>
    <w:rsid w:val="00764E10"/>
    <w:rsid w:val="00772433"/>
    <w:rsid w:val="00774716"/>
    <w:rsid w:val="007777E8"/>
    <w:rsid w:val="00780564"/>
    <w:rsid w:val="0079472A"/>
    <w:rsid w:val="007A1460"/>
    <w:rsid w:val="007A65E0"/>
    <w:rsid w:val="007B1DB5"/>
    <w:rsid w:val="007B4340"/>
    <w:rsid w:val="007D2521"/>
    <w:rsid w:val="007D3A2B"/>
    <w:rsid w:val="007D66BD"/>
    <w:rsid w:val="007E1C25"/>
    <w:rsid w:val="00804000"/>
    <w:rsid w:val="0082016A"/>
    <w:rsid w:val="00820BB2"/>
    <w:rsid w:val="008248A5"/>
    <w:rsid w:val="00834DA6"/>
    <w:rsid w:val="00836549"/>
    <w:rsid w:val="00850A53"/>
    <w:rsid w:val="00856A44"/>
    <w:rsid w:val="00871814"/>
    <w:rsid w:val="0088718B"/>
    <w:rsid w:val="00890B6B"/>
    <w:rsid w:val="008938D3"/>
    <w:rsid w:val="00893DC1"/>
    <w:rsid w:val="008A1BC8"/>
    <w:rsid w:val="008B4421"/>
    <w:rsid w:val="008C7D14"/>
    <w:rsid w:val="008C7E81"/>
    <w:rsid w:val="008D203B"/>
    <w:rsid w:val="008D2920"/>
    <w:rsid w:val="008D36E2"/>
    <w:rsid w:val="008D58A9"/>
    <w:rsid w:val="008E6F78"/>
    <w:rsid w:val="00904D82"/>
    <w:rsid w:val="00912DFA"/>
    <w:rsid w:val="00931EF5"/>
    <w:rsid w:val="00932A7E"/>
    <w:rsid w:val="00937A84"/>
    <w:rsid w:val="00953366"/>
    <w:rsid w:val="00953F0C"/>
    <w:rsid w:val="009613AE"/>
    <w:rsid w:val="00962978"/>
    <w:rsid w:val="00966946"/>
    <w:rsid w:val="009755C1"/>
    <w:rsid w:val="00984AB0"/>
    <w:rsid w:val="009869B4"/>
    <w:rsid w:val="00992808"/>
    <w:rsid w:val="00994B92"/>
    <w:rsid w:val="00994C06"/>
    <w:rsid w:val="009A049A"/>
    <w:rsid w:val="009A0641"/>
    <w:rsid w:val="009A2F38"/>
    <w:rsid w:val="009A363B"/>
    <w:rsid w:val="009C5468"/>
    <w:rsid w:val="009D2F89"/>
    <w:rsid w:val="009D63AC"/>
    <w:rsid w:val="009E3C3A"/>
    <w:rsid w:val="009E4889"/>
    <w:rsid w:val="009E6B22"/>
    <w:rsid w:val="009F3901"/>
    <w:rsid w:val="009F7375"/>
    <w:rsid w:val="00A107E2"/>
    <w:rsid w:val="00A11927"/>
    <w:rsid w:val="00A23AE4"/>
    <w:rsid w:val="00A31E96"/>
    <w:rsid w:val="00A3569B"/>
    <w:rsid w:val="00A42689"/>
    <w:rsid w:val="00A666F6"/>
    <w:rsid w:val="00A8084F"/>
    <w:rsid w:val="00AA1295"/>
    <w:rsid w:val="00AB4336"/>
    <w:rsid w:val="00AC0099"/>
    <w:rsid w:val="00AD3423"/>
    <w:rsid w:val="00AE29EE"/>
    <w:rsid w:val="00AF253F"/>
    <w:rsid w:val="00B029BA"/>
    <w:rsid w:val="00B07AE0"/>
    <w:rsid w:val="00B1357E"/>
    <w:rsid w:val="00B15329"/>
    <w:rsid w:val="00B23C38"/>
    <w:rsid w:val="00B365BB"/>
    <w:rsid w:val="00B44329"/>
    <w:rsid w:val="00B45FEC"/>
    <w:rsid w:val="00B519B1"/>
    <w:rsid w:val="00B60C7E"/>
    <w:rsid w:val="00B64D9F"/>
    <w:rsid w:val="00B81C12"/>
    <w:rsid w:val="00B87D34"/>
    <w:rsid w:val="00B9157A"/>
    <w:rsid w:val="00B92103"/>
    <w:rsid w:val="00B94F59"/>
    <w:rsid w:val="00BB7BEF"/>
    <w:rsid w:val="00BC47EA"/>
    <w:rsid w:val="00BD12A6"/>
    <w:rsid w:val="00BD2049"/>
    <w:rsid w:val="00BE0015"/>
    <w:rsid w:val="00BE4FD5"/>
    <w:rsid w:val="00BF4273"/>
    <w:rsid w:val="00C051DD"/>
    <w:rsid w:val="00C12A8A"/>
    <w:rsid w:val="00C145D2"/>
    <w:rsid w:val="00C232B1"/>
    <w:rsid w:val="00C24E5E"/>
    <w:rsid w:val="00C3347D"/>
    <w:rsid w:val="00C3365F"/>
    <w:rsid w:val="00C37753"/>
    <w:rsid w:val="00C42038"/>
    <w:rsid w:val="00C457A5"/>
    <w:rsid w:val="00C56FC1"/>
    <w:rsid w:val="00C5783D"/>
    <w:rsid w:val="00C620D1"/>
    <w:rsid w:val="00C7183D"/>
    <w:rsid w:val="00C74FF1"/>
    <w:rsid w:val="00C834C3"/>
    <w:rsid w:val="00C83DB2"/>
    <w:rsid w:val="00C8609D"/>
    <w:rsid w:val="00C9439F"/>
    <w:rsid w:val="00CA21ED"/>
    <w:rsid w:val="00CA6CE0"/>
    <w:rsid w:val="00CB2C5D"/>
    <w:rsid w:val="00CC354C"/>
    <w:rsid w:val="00CC5CE5"/>
    <w:rsid w:val="00CF5A0F"/>
    <w:rsid w:val="00CF6355"/>
    <w:rsid w:val="00D00D87"/>
    <w:rsid w:val="00D16FFD"/>
    <w:rsid w:val="00D45713"/>
    <w:rsid w:val="00D50692"/>
    <w:rsid w:val="00D564D9"/>
    <w:rsid w:val="00D62F8F"/>
    <w:rsid w:val="00D75CEE"/>
    <w:rsid w:val="00D76FBC"/>
    <w:rsid w:val="00D810CA"/>
    <w:rsid w:val="00D81179"/>
    <w:rsid w:val="00D93834"/>
    <w:rsid w:val="00D93CAF"/>
    <w:rsid w:val="00DA7239"/>
    <w:rsid w:val="00DC1D46"/>
    <w:rsid w:val="00DE0C94"/>
    <w:rsid w:val="00DE4519"/>
    <w:rsid w:val="00DE45EA"/>
    <w:rsid w:val="00DF1880"/>
    <w:rsid w:val="00DF61E1"/>
    <w:rsid w:val="00E00C6C"/>
    <w:rsid w:val="00E3318D"/>
    <w:rsid w:val="00E37DF6"/>
    <w:rsid w:val="00E45289"/>
    <w:rsid w:val="00E51629"/>
    <w:rsid w:val="00E620C4"/>
    <w:rsid w:val="00E810B1"/>
    <w:rsid w:val="00E833A6"/>
    <w:rsid w:val="00E856F4"/>
    <w:rsid w:val="00E91AD7"/>
    <w:rsid w:val="00E91D88"/>
    <w:rsid w:val="00E92DBE"/>
    <w:rsid w:val="00E97A82"/>
    <w:rsid w:val="00EA19F5"/>
    <w:rsid w:val="00EA2D38"/>
    <w:rsid w:val="00EA4568"/>
    <w:rsid w:val="00EA6DCC"/>
    <w:rsid w:val="00EC661E"/>
    <w:rsid w:val="00ED257A"/>
    <w:rsid w:val="00ED2E0E"/>
    <w:rsid w:val="00ED4D52"/>
    <w:rsid w:val="00EE5B8E"/>
    <w:rsid w:val="00EE7C64"/>
    <w:rsid w:val="00EF3BEB"/>
    <w:rsid w:val="00EF5E5C"/>
    <w:rsid w:val="00F14181"/>
    <w:rsid w:val="00F172A9"/>
    <w:rsid w:val="00F17306"/>
    <w:rsid w:val="00F42A09"/>
    <w:rsid w:val="00F64348"/>
    <w:rsid w:val="00F66112"/>
    <w:rsid w:val="00F67787"/>
    <w:rsid w:val="00F73941"/>
    <w:rsid w:val="00F85B87"/>
    <w:rsid w:val="00FA62B0"/>
    <w:rsid w:val="00FC02A2"/>
    <w:rsid w:val="00FE3304"/>
    <w:rsid w:val="00FF6190"/>
    <w:rsid w:val="00FF7470"/>
    <w:rsid w:val="01C61FC9"/>
    <w:rsid w:val="057E64FE"/>
    <w:rsid w:val="07284D62"/>
    <w:rsid w:val="0E780752"/>
    <w:rsid w:val="11161A7C"/>
    <w:rsid w:val="1325029E"/>
    <w:rsid w:val="134116AF"/>
    <w:rsid w:val="13597430"/>
    <w:rsid w:val="148E275C"/>
    <w:rsid w:val="1572301E"/>
    <w:rsid w:val="157B147B"/>
    <w:rsid w:val="179151C2"/>
    <w:rsid w:val="1A0E26DD"/>
    <w:rsid w:val="1B0E342C"/>
    <w:rsid w:val="1C6E6D04"/>
    <w:rsid w:val="1CEC72E3"/>
    <w:rsid w:val="1DBC46C1"/>
    <w:rsid w:val="1EC91E93"/>
    <w:rsid w:val="215659F7"/>
    <w:rsid w:val="26C76910"/>
    <w:rsid w:val="28404163"/>
    <w:rsid w:val="28E5408A"/>
    <w:rsid w:val="2A523BB6"/>
    <w:rsid w:val="2B6821F0"/>
    <w:rsid w:val="2BCF4A19"/>
    <w:rsid w:val="2C58588E"/>
    <w:rsid w:val="2EE12A4D"/>
    <w:rsid w:val="307249FB"/>
    <w:rsid w:val="32122612"/>
    <w:rsid w:val="32C138ED"/>
    <w:rsid w:val="32FB2E1E"/>
    <w:rsid w:val="358F5630"/>
    <w:rsid w:val="35DF0FD9"/>
    <w:rsid w:val="361C0BF5"/>
    <w:rsid w:val="3AB87811"/>
    <w:rsid w:val="3AC0466D"/>
    <w:rsid w:val="3C5A582B"/>
    <w:rsid w:val="3D7A4B06"/>
    <w:rsid w:val="3E3E2028"/>
    <w:rsid w:val="3E623C43"/>
    <w:rsid w:val="41312E14"/>
    <w:rsid w:val="42D02CC3"/>
    <w:rsid w:val="44716ACB"/>
    <w:rsid w:val="44737078"/>
    <w:rsid w:val="44A31C8E"/>
    <w:rsid w:val="45B03E1A"/>
    <w:rsid w:val="50436308"/>
    <w:rsid w:val="51421298"/>
    <w:rsid w:val="52AA40BF"/>
    <w:rsid w:val="53923EB6"/>
    <w:rsid w:val="551A69E0"/>
    <w:rsid w:val="551C45A8"/>
    <w:rsid w:val="57DB49D3"/>
    <w:rsid w:val="590C092E"/>
    <w:rsid w:val="59824D13"/>
    <w:rsid w:val="5A8C5B7B"/>
    <w:rsid w:val="5BE5776A"/>
    <w:rsid w:val="5EAA1FBA"/>
    <w:rsid w:val="5EEC7D25"/>
    <w:rsid w:val="603E4F06"/>
    <w:rsid w:val="630C6964"/>
    <w:rsid w:val="636E04DD"/>
    <w:rsid w:val="656B4E3D"/>
    <w:rsid w:val="658E1627"/>
    <w:rsid w:val="65C617B5"/>
    <w:rsid w:val="66DB550E"/>
    <w:rsid w:val="67B0372C"/>
    <w:rsid w:val="68844873"/>
    <w:rsid w:val="68C44501"/>
    <w:rsid w:val="6B9966A4"/>
    <w:rsid w:val="6C476DC5"/>
    <w:rsid w:val="6F7A194B"/>
    <w:rsid w:val="6F814F64"/>
    <w:rsid w:val="6FBF18AC"/>
    <w:rsid w:val="712B7BA9"/>
    <w:rsid w:val="72E975E1"/>
    <w:rsid w:val="74567CDD"/>
    <w:rsid w:val="76731342"/>
    <w:rsid w:val="77D91F9D"/>
    <w:rsid w:val="77E8446C"/>
    <w:rsid w:val="77FC2740"/>
    <w:rsid w:val="7BB74AE9"/>
    <w:rsid w:val="7C8E5AAD"/>
    <w:rsid w:val="7D812EC0"/>
    <w:rsid w:val="7E98281A"/>
    <w:rsid w:val="7F3D2A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link w:val="11"/>
    <w:unhideWhenUsed/>
    <w:qFormat/>
    <w:uiPriority w:val="99"/>
    <w:pPr>
      <w:widowControl/>
      <w:spacing w:after="120" w:line="276" w:lineRule="auto"/>
      <w:jc w:val="left"/>
    </w:pPr>
    <w:rPr>
      <w:rFonts w:ascii="微软雅黑" w:hAnsi="微软雅黑" w:eastAsia="微软雅黑" w:cstheme="minorBidi"/>
      <w:kern w:val="0"/>
      <w:sz w:val="22"/>
      <w:szCs w:val="22"/>
      <w:lang w:eastAsia="en-US"/>
    </w:rPr>
  </w:style>
  <w:style w:type="paragraph" w:styleId="3">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8">
    <w:name w:val="Emphasis"/>
    <w:basedOn w:val="7"/>
    <w:qFormat/>
    <w:uiPriority w:val="20"/>
    <w:rPr>
      <w:i/>
      <w:iCs/>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正文文本 字符"/>
    <w:basedOn w:val="7"/>
    <w:link w:val="2"/>
    <w:uiPriority w:val="99"/>
    <w:rPr>
      <w:rFonts w:ascii="微软雅黑" w:hAnsi="微软雅黑" w:eastAsia="微软雅黑" w:cstheme="minorBidi"/>
      <w:sz w:val="22"/>
      <w:szCs w:val="22"/>
      <w:lang w:eastAsia="en-US"/>
    </w:rPr>
  </w:style>
  <w:style w:type="character" w:customStyle="1" w:styleId="12">
    <w:name w:val="font31"/>
    <w:basedOn w:val="7"/>
    <w:qFormat/>
    <w:uiPriority w:val="0"/>
    <w:rPr>
      <w:rFonts w:hint="eastAsia" w:ascii="仿宋" w:hAnsi="仿宋" w:eastAsia="仿宋" w:cs="仿宋"/>
      <w:color w:val="000000"/>
      <w:sz w:val="21"/>
      <w:szCs w:val="21"/>
      <w:u w:val="none"/>
    </w:rPr>
  </w:style>
  <w:style w:type="character" w:customStyle="1" w:styleId="13">
    <w:name w:val="font41"/>
    <w:basedOn w:val="7"/>
    <w:qFormat/>
    <w:uiPriority w:val="0"/>
    <w:rPr>
      <w:rFonts w:hint="eastAsia" w:ascii="仿宋" w:hAnsi="仿宋" w:eastAsia="仿宋" w:cs="仿宋"/>
      <w:b/>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31A2F1-AE22-404D-AB90-97DFE6EA0758}">
  <ds:schemaRefs/>
</ds:datastoreItem>
</file>

<file path=docProps/app.xml><?xml version="1.0" encoding="utf-8"?>
<Properties xmlns="http://schemas.openxmlformats.org/officeDocument/2006/extended-properties" xmlns:vt="http://schemas.openxmlformats.org/officeDocument/2006/docPropsVTypes">
  <Template>Normal</Template>
  <Pages>29</Pages>
  <Words>2840</Words>
  <Characters>16188</Characters>
  <Lines>134</Lines>
  <Paragraphs>37</Paragraphs>
  <TotalTime>104</TotalTime>
  <ScaleCrop>false</ScaleCrop>
  <LinksUpToDate>false</LinksUpToDate>
  <CharactersWithSpaces>18991</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2021-10-21T02:34:00Z</dcterms:created>
  <dc:creator>khaki</dc:creator>
  <cp:lastModifiedBy>平静的心</cp:lastModifiedBy>
  <cp:lastPrinted>2022-06-15T07:25:09Z</cp:lastPrinted>
  <dcterms:modified xsi:type="dcterms:W3CDTF">2022-06-15T07:32:29Z</dcterms:modified>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96DD03596FE9450F81F4009FBE4AE3A2</vt:lpwstr>
  </property>
</Properties>
</file>