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hint="eastAsia" w:eastAsia="方正小标宋_GBK"/>
          <w:sz w:val="44"/>
          <w:szCs w:val="44"/>
          <w:lang w:val="en-US" w:eastAsia="zh-CN"/>
        </w:rPr>
        <w:t>新洲镇人民政府2021年度</w:t>
      </w:r>
      <w:r>
        <w:rPr>
          <w:rFonts w:eastAsia="方正小标宋_GBK"/>
          <w:sz w:val="44"/>
          <w:szCs w:val="44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6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bCs/>
          <w:sz w:val="32"/>
          <w:szCs w:val="32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仿宋_GB2312" w:hAnsi="仿宋" w:eastAsia="仿宋_GB2312"/>
          <w:sz w:val="32"/>
          <w:szCs w:val="32"/>
        </w:rPr>
        <w:t>主要职能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负责宣传贯彻党的路线、方针、政策和国家法律法规，执行上级党委的决定和命令；负责对新洲镇实施政治、思想和方针政策的领导；负责乡镇的思想政治工作和精神文明建设；负责乡镇社会治安综合治理工作；负责乡镇党风廉政建设；负责乡镇干部工作；负责乡镇基层党组织和乡镇机关支部的建设；负责对乡镇工青妇群众组织的领导；负责乡镇党的统战工作；负责乡镇和机关党员教育管理工作；负责乡镇武装部工作及完成市委交办的其他工作任务。统筹区域发展，参与拟定关于辖区发展的重大决策和建设规划并统筹落实，促进项目发展等工作。对辖区内各类行政执法工作进行统筹协调。保障村（居）自治。指导村（居）民委员会建设，健全村（居）民自治平台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津市市新洲镇人民政府为独立核算的行政单位，属一级预算单位，统一社会信用代码11430781780872044B，单位负责人覃宇。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、根据编委核定，本单位下辖内设机构：党政办公室、党建办公室、经济发展办公室、平安建设和应急管理办公室、自然资源和生态环境办公室、社会事务办公室；事业站所：综合行政执法队、政务服务中心、农业综合服务中心、社会事务综合服务中心、退役军人服务站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3、</w:t>
      </w:r>
      <w:bookmarkStart w:id="0" w:name="_Hlk44192558"/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2021年人员编制数73人，其中行政编制28人、事业编制45人；实有在职人数56人，其中行政编制21人、事业编制35人</w:t>
      </w:r>
      <w:bookmarkEnd w:id="0"/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。另有临聘人员29人。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" w:eastAsia="宋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4、新洲镇辖区</w:t>
      </w:r>
      <w:r>
        <w:rPr>
          <w:rFonts w:hint="eastAsia" w:ascii="仿宋" w:hAnsi="仿宋" w:eastAsia="仿宋"/>
          <w:sz w:val="32"/>
          <w:szCs w:val="32"/>
        </w:rPr>
        <w:t>总面积86.12平方公里，辖7个行政村，4个社区，总人口3.03万人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pStyle w:val="6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ind w:firstLine="640" w:firstLineChars="200"/>
        <w:rPr>
          <w:rFonts w:hint="eastAsia" w:eastAsia="楷体_GB2312"/>
          <w:bCs/>
          <w:sz w:val="32"/>
          <w:szCs w:val="32"/>
          <w:lang w:val="en-US" w:eastAsia="zh-CN"/>
        </w:rPr>
      </w:pPr>
      <w:r>
        <w:rPr>
          <w:rFonts w:hint="eastAsia" w:eastAsia="楷体_GB2312"/>
          <w:bCs/>
          <w:sz w:val="32"/>
          <w:szCs w:val="32"/>
          <w:lang w:val="en-US" w:eastAsia="zh-CN"/>
        </w:rPr>
        <w:t>（一）基本支出情况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2021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年</w:t>
      </w:r>
      <w:r>
        <w:rPr>
          <w:rFonts w:hint="eastAsia" w:eastAsia="仿宋_GB2312" w:cs="Times New Roman"/>
          <w:bCs/>
          <w:color w:val="000000"/>
          <w:kern w:val="0"/>
          <w:sz w:val="32"/>
          <w:szCs w:val="32"/>
          <w:lang w:eastAsia="zh-CN"/>
        </w:rPr>
        <w:t>基本支出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数为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998.54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万元，其中：工资福利支出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745.1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万元，主要包括用于基本工资、津贴补贴、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其他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社会保障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缴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费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、机关事业单位基本养老保险缴费、住房公积金和其他工资福利支出等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；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商品服务支出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238.9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万元是指为保障单位机构正常运转、完成日常工作任务而发生的各项支出，包括办公费、印刷费、水电费、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邮电费、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办公设备购置等日常公用经费等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；对个人和家庭的补助支出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14.54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。</w:t>
      </w:r>
    </w:p>
    <w:p>
      <w:pPr>
        <w:ind w:firstLine="640" w:firstLineChars="200"/>
        <w:rPr>
          <w:rFonts w:hint="eastAsia" w:eastAsia="楷体_GB2312"/>
          <w:bCs/>
          <w:sz w:val="32"/>
          <w:szCs w:val="32"/>
          <w:lang w:val="en-US" w:eastAsia="zh-CN"/>
        </w:rPr>
      </w:pPr>
      <w:r>
        <w:rPr>
          <w:rFonts w:hint="eastAsia" w:eastAsia="楷体_GB2312"/>
          <w:bCs/>
          <w:sz w:val="32"/>
          <w:szCs w:val="32"/>
          <w:lang w:val="en-US" w:eastAsia="zh-CN"/>
        </w:rPr>
        <w:t>（二）项目支出情况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2021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年本部门项目支出预算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4388万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元，附属单位补助支出为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369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万元，是指村级基层党组织工作任务或村级、社区建设发展，保证基层政权运转的转移支付支出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。</w:t>
      </w:r>
    </w:p>
    <w:p>
      <w:pPr>
        <w:pStyle w:val="6"/>
        <w:widowControl/>
        <w:numPr>
          <w:ilvl w:val="0"/>
          <w:numId w:val="1"/>
        </w:numPr>
        <w:spacing w:line="600" w:lineRule="exact"/>
        <w:ind w:left="640" w:leftChars="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ind w:firstLine="640" w:firstLineChars="200"/>
        <w:rPr>
          <w:rFonts w:hint="eastAsia" w:eastAsia="楷体_GB2312"/>
          <w:bCs/>
          <w:sz w:val="32"/>
          <w:szCs w:val="32"/>
          <w:lang w:val="en-US" w:eastAsia="zh-CN"/>
        </w:rPr>
      </w:pPr>
      <w:r>
        <w:rPr>
          <w:rFonts w:hint="eastAsia" w:eastAsia="楷体_GB2312"/>
          <w:bCs/>
          <w:sz w:val="32"/>
          <w:szCs w:val="32"/>
          <w:lang w:val="en-US" w:eastAsia="zh-CN"/>
        </w:rPr>
        <w:t>（一）</w:t>
      </w:r>
      <w:bookmarkStart w:id="1" w:name="_Hlk43554445"/>
      <w:bookmarkStart w:id="2" w:name="_Hlk43554464"/>
      <w:r>
        <w:rPr>
          <w:rFonts w:hint="eastAsia" w:eastAsia="楷体_GB2312"/>
          <w:bCs/>
          <w:sz w:val="32"/>
          <w:szCs w:val="32"/>
          <w:lang w:val="en-US" w:eastAsia="zh-CN"/>
        </w:rPr>
        <w:t>政府性基金预算</w:t>
      </w:r>
      <w:bookmarkEnd w:id="1"/>
      <w:r>
        <w:rPr>
          <w:rFonts w:hint="eastAsia" w:eastAsia="楷体_GB2312"/>
          <w:bCs/>
          <w:sz w:val="32"/>
          <w:szCs w:val="32"/>
          <w:lang w:val="en-US" w:eastAsia="zh-CN"/>
        </w:rPr>
        <w:t>情况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2021年，无政府性基金预算收入。</w:t>
      </w:r>
    </w:p>
    <w:p>
      <w:pPr>
        <w:ind w:firstLine="640" w:firstLineChars="200"/>
        <w:rPr>
          <w:rFonts w:hint="eastAsia" w:eastAsia="楷体_GB2312"/>
          <w:bCs/>
          <w:sz w:val="32"/>
          <w:szCs w:val="32"/>
          <w:lang w:val="en-US" w:eastAsia="zh-CN"/>
        </w:rPr>
      </w:pPr>
      <w:r>
        <w:rPr>
          <w:rFonts w:hint="eastAsia" w:eastAsia="楷体_GB2312"/>
          <w:bCs/>
          <w:sz w:val="32"/>
          <w:szCs w:val="32"/>
          <w:lang w:val="en-US" w:eastAsia="zh-CN"/>
        </w:rPr>
        <w:t>（二）</w:t>
      </w:r>
      <w:bookmarkStart w:id="3" w:name="_Hlk43554505"/>
      <w:r>
        <w:rPr>
          <w:rFonts w:hint="eastAsia" w:eastAsia="楷体_GB2312"/>
          <w:bCs/>
          <w:sz w:val="32"/>
          <w:szCs w:val="32"/>
          <w:lang w:val="en-US" w:eastAsia="zh-CN"/>
        </w:rPr>
        <w:t>政府性基金决算</w:t>
      </w:r>
      <w:bookmarkEnd w:id="3"/>
      <w:r>
        <w:rPr>
          <w:rFonts w:hint="eastAsia" w:eastAsia="楷体_GB2312"/>
          <w:bCs/>
          <w:sz w:val="32"/>
          <w:szCs w:val="32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bookmarkStart w:id="4" w:name="_Hlk43554670"/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2021年，政府性基金决算</w:t>
      </w:r>
      <w:bookmarkEnd w:id="4"/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收入</w:t>
      </w:r>
      <w:bookmarkStart w:id="5" w:name="_Hlk43554570"/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4813.3万元，</w:t>
      </w:r>
      <w:bookmarkEnd w:id="5"/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分别为2020年第九批次建设用地（增减挂钩）土地征收补偿款253.3万元，资产租赁费86万元，彩票公益金安排收入4万元，津港新城散货码头建设项目拆迁补偿安置费用（国拆）4470万元。决算支出4813.3万元，分别用于（增减挂钩）土地征收补偿款253.3万元，新洲镇水面养殖租赁86万元，镇政府维修维护费4万元，津港新城散货码头建设项目拆迁补偿安置费用4470万元。无结余。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ind w:firstLine="640" w:firstLineChars="200"/>
        <w:rPr>
          <w:rFonts w:eastAsia="楷体_GB2312"/>
          <w:bCs/>
          <w:sz w:val="32"/>
          <w:szCs w:val="32"/>
        </w:rPr>
      </w:pPr>
      <w:r>
        <w:rPr>
          <w:rFonts w:hint="eastAsia" w:eastAsia="楷体_GB2312"/>
          <w:bCs/>
          <w:sz w:val="32"/>
          <w:szCs w:val="32"/>
        </w:rPr>
        <w:t>(一）</w:t>
      </w:r>
      <w:r>
        <w:rPr>
          <w:rFonts w:eastAsia="楷体_GB2312"/>
          <w:bCs/>
          <w:sz w:val="32"/>
          <w:szCs w:val="32"/>
        </w:rPr>
        <w:t>产出指标完成情况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2021年，新洲镇党委在市委、市政府的正确领导下，坚持党建引领，全面贯彻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落实乡村振兴战略，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围绕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市委政府“一三五”战略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目标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重点开展六大底板工作。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default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安全生产：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开展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次大型安全生产宣传活动，入户宣传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次，发放资料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万份，出动执法人员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2650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人次，检查生产经营单位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833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家，其中纳入行政执法系统现场检查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95次，罚款88次，共计7810元。出动烟花爆竹检查人员40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人次，处罚单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位10家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生态环保：签订家禽家畜及水面养殖承诺书156份；对全镇四大重点企业排水口进行监测并建立台账，对6个入河排口进行监测并建立台账，对饮用水水源环境问题进行整改，处理投诉事件10起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，监管小微企业环保排放，摸排及监管危险废物，管控中元节大气污染。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default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粮食生产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：全年粮食播种面积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6.12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万亩，总产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2.41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万吨。落实高档优质稻面积达到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1.5万亩以上,中晚稻优质率85%以上。建成绿色双季稻轮作示范基地15个，示范面积10000亩。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4、</w:t>
      </w:r>
      <w:r>
        <w:rPr>
          <w:rFonts w:hint="default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耕地保护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：抛荒耕地面积1086.3亩，复耕面积1010.390亩，复种面积855.95亩，全面完成本年度任务。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5、</w:t>
      </w:r>
      <w:r>
        <w:rPr>
          <w:rFonts w:hint="default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乡村振兴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：36个扶贫项目建设项目，建设资金246万。防返贫监测纳入8人、退出0人。产业扶贫分红资金23万元。振兴车间项目，“企业+车间+农户”4个车间，百余个就业岗位，带动群众年均增收2000多元。发放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小额贴息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贷款120万元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6、</w:t>
      </w:r>
      <w:r>
        <w:rPr>
          <w:rFonts w:hint="default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信访维稳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:定期开展安全生产隐患排查，未发生一起安全生产责任事故。深入开展扫黑除恶、平安创建、民情民意走访、信访问题化解、矛盾纠纷调处，安全保障了建党一百周年等4个重大特护期的稳定、信访接待20余人次，成功转化邪教人员6名，完善镇村两级270个高清探头的雪亮工程，提升群众安全指数。</w:t>
      </w:r>
    </w:p>
    <w:p>
      <w:pPr>
        <w:ind w:firstLine="640" w:firstLineChars="200"/>
        <w:rPr>
          <w:rFonts w:hint="eastAsia" w:ascii="Times New Roman" w:hAnsi="Times New Roman" w:eastAsia="楷体_GB2312" w:cs="Times New Roman"/>
          <w:bCs/>
          <w:sz w:val="32"/>
          <w:szCs w:val="32"/>
          <w:lang w:eastAsia="zh-CN"/>
        </w:rPr>
      </w:pPr>
      <w:r>
        <w:rPr>
          <w:rFonts w:hint="eastAsia" w:eastAsia="楷体_GB2312"/>
          <w:bCs/>
          <w:sz w:val="32"/>
          <w:szCs w:val="32"/>
        </w:rPr>
        <w:t>(</w:t>
      </w:r>
      <w:r>
        <w:rPr>
          <w:rFonts w:hint="eastAsia" w:eastAsia="楷体_GB2312"/>
          <w:bCs/>
          <w:sz w:val="32"/>
          <w:szCs w:val="32"/>
          <w:lang w:eastAsia="zh-CN"/>
        </w:rPr>
        <w:t>二</w:t>
      </w:r>
      <w:r>
        <w:rPr>
          <w:rFonts w:hint="eastAsia" w:eastAsia="楷体_GB2312"/>
          <w:bCs/>
          <w:sz w:val="32"/>
          <w:szCs w:val="32"/>
        </w:rPr>
        <w:t>）</w:t>
      </w:r>
      <w:r>
        <w:rPr>
          <w:rFonts w:ascii="Times New Roman" w:hAnsi="Times New Roman" w:eastAsia="楷体_GB2312" w:cs="Times New Roman"/>
          <w:bCs/>
          <w:sz w:val="32"/>
          <w:szCs w:val="32"/>
        </w:rPr>
        <w:t>效益指标</w:t>
      </w:r>
      <w:r>
        <w:rPr>
          <w:rFonts w:hint="eastAsia" w:ascii="Times New Roman" w:hAnsi="Times New Roman" w:eastAsia="楷体_GB2312" w:cs="Times New Roman"/>
          <w:bCs/>
          <w:sz w:val="32"/>
          <w:szCs w:val="32"/>
        </w:rPr>
        <w:t>完成</w:t>
      </w:r>
      <w:r>
        <w:rPr>
          <w:rFonts w:ascii="Times New Roman" w:hAnsi="Times New Roman" w:eastAsia="楷体_GB2312" w:cs="Times New Roman"/>
          <w:bCs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经济效益</w:t>
      </w:r>
      <w:r>
        <w:rPr>
          <w:rFonts w:hint="eastAsia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招商引资：引进粤旺集团6000亩野油菜订单农业项目，现已落地并得到食用菌产业升级项目意向。项目推进：完成区家垸黑臭水体整治的污水管网4756米，配合津市港二期建设，完成征地408亩，拆迁安置92户。争资争项：向上争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500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万，现已完成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100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%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。南北双环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：神九堰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成功创建为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3A景区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，引进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陈九堰乡村旅游开发公司，对景区升级改造，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建设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精品民宿、农耕体验、工艺制作项目。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新建肖家湖广场，晚上肖家湖东基础设施建设。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社会效益</w:t>
      </w:r>
      <w:r>
        <w:rPr>
          <w:rFonts w:hint="eastAsia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提高幸福指数：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安全饮水工程实现全覆盖，电网升级改造20.2公里，机耕道新建维修42公里，堰塘整修213口，沟渠清淤33公里。天然气正式入驻新洲。发展社会事业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养老保险、合作医疗参保率达92%以上。业务技能培训以及招聘会开展经常，成功就业800余人。服务园区，为园区输送就业劳动力近4000人。新洲中学，津市三中提质改造。卫生院医疗设施设备逐步配齐，敬老院、石子岭殡仪服务站等服务设施完成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</w:t>
      </w:r>
      <w:r>
        <w:rPr>
          <w:rFonts w:hint="eastAsia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环境效益</w:t>
      </w:r>
      <w:r>
        <w:rPr>
          <w:rFonts w:hint="eastAsia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加大天然林保护力度，加快生态补绿工程建设。严控农业面源污染，探索粪污无害化处理模式、秸秆综合利用，实现农业可持续发展，打造环境优美的海绵乡镇。推进人居环境整治和农村生活污水整治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4、</w:t>
      </w:r>
      <w:r>
        <w:rPr>
          <w:rFonts w:hint="eastAsia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可持续影响</w:t>
      </w:r>
      <w:r>
        <w:rPr>
          <w:rFonts w:hint="eastAsia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人居环境持续改善，保障生活污水处理站运营，抓好“绿色存折”垃圾分类制度推行，做好道路保洁、垃圾清运，显著提升镇容镇貌。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5、</w:t>
      </w:r>
      <w:r>
        <w:rPr>
          <w:rFonts w:hint="eastAsia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满意度</w:t>
      </w:r>
      <w:r>
        <w:rPr>
          <w:rFonts w:hint="eastAsia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新洲镇辖区内居民及企业对政府工作满意度达95%以上。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  <w:bookmarkStart w:id="6" w:name="_GoBack"/>
      <w:bookmarkEnd w:id="6"/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会计基础工作欠规范。单位未对专项资金进行专项核算，基本支出与项目支出混淆，项目支出未按资金内容明细核算，收支对应关系模糊。</w:t>
      </w:r>
    </w:p>
    <w:p>
      <w:pPr>
        <w:pStyle w:val="6"/>
        <w:widowControl/>
        <w:spacing w:line="600" w:lineRule="exact"/>
        <w:ind w:left="640" w:firstLine="0" w:firstLineChars="0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六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1、</w:t>
      </w:r>
      <w:r>
        <w:rPr>
          <w:rFonts w:hint="eastAsia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完善预算编制。</w:t>
      </w:r>
      <w:r>
        <w:rPr>
          <w:rFonts w:ascii="Times New Roman" w:hAnsi="Times New Roman" w:eastAsia="仿宋_GB2312" w:cs="Times New Roman"/>
          <w:sz w:val="32"/>
          <w:szCs w:val="32"/>
        </w:rPr>
        <w:t>单位各项收入支出全面纳入预算管理，统筹安排。根据人员编制和相关标准编制基本支出预算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；将部门整体的绩效目标细化分解为具体的工作任务；通过清晰、可衡量的指标值予以体现，与部门年度的任务数或计划数相对应；与本年度部门预算资金相匹配；</w:t>
      </w:r>
      <w:r>
        <w:rPr>
          <w:rFonts w:ascii="Times New Roman" w:hAnsi="Times New Roman" w:eastAsia="仿宋_GB2312" w:cs="Times New Roman"/>
          <w:sz w:val="32"/>
          <w:szCs w:val="32"/>
        </w:rPr>
        <w:t>形成科学完整的部门总预算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2、</w:t>
      </w:r>
      <w:r>
        <w:rPr>
          <w:rFonts w:hint="eastAsia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规范项目采购。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按照严格年度目标或计划实际情况编制资产采购预算，严格按照资产采购预算进行资产或工程项目采购。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3、</w:t>
      </w:r>
      <w:r>
        <w:rPr>
          <w:rFonts w:hint="eastAsia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加强项目管理。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对于征拆补偿项目，须严格按照规定，有征地审批文件，有征拆预算批复，有到位征拆补偿资金，严格按照规定的项目和标准进行补偿，严禁超标准进行补偿。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4、</w:t>
      </w:r>
      <w:r>
        <w:rPr>
          <w:rFonts w:hint="eastAsia" w:ascii="Times New Roman" w:hAnsi="Times New Roman" w:eastAsia="楷体_GB2312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优化制度建设。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全面清理单位现行管理制度，查漏补缺，整章建制，完善制度体系；对于现行制度中部分条款欠缺、过时、不适用的问题，应参照上级规定及业务工作要求修订、完善，让各项工作有章可循，提高部门管理水平。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A7C126"/>
    <w:multiLevelType w:val="singleLevel"/>
    <w:tmpl w:val="A8A7C12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03752C8"/>
    <w:rsid w:val="0058523E"/>
    <w:rsid w:val="02616A43"/>
    <w:rsid w:val="03A83AD9"/>
    <w:rsid w:val="05235E1B"/>
    <w:rsid w:val="0563090D"/>
    <w:rsid w:val="06A0349B"/>
    <w:rsid w:val="074E2EF7"/>
    <w:rsid w:val="08400A92"/>
    <w:rsid w:val="0A0623A5"/>
    <w:rsid w:val="0AA71C12"/>
    <w:rsid w:val="0D145A89"/>
    <w:rsid w:val="0D31309F"/>
    <w:rsid w:val="0ECA37AB"/>
    <w:rsid w:val="109D1177"/>
    <w:rsid w:val="11B76268"/>
    <w:rsid w:val="122338FE"/>
    <w:rsid w:val="12690DA6"/>
    <w:rsid w:val="131A75A3"/>
    <w:rsid w:val="132F62D2"/>
    <w:rsid w:val="158D108E"/>
    <w:rsid w:val="17740758"/>
    <w:rsid w:val="17AC6144"/>
    <w:rsid w:val="1A3A17E5"/>
    <w:rsid w:val="1B70036D"/>
    <w:rsid w:val="1D3D339A"/>
    <w:rsid w:val="1D5726AE"/>
    <w:rsid w:val="1E4C5F8A"/>
    <w:rsid w:val="1EAF02C7"/>
    <w:rsid w:val="1EB853CE"/>
    <w:rsid w:val="1EC34309"/>
    <w:rsid w:val="1EDB2E6A"/>
    <w:rsid w:val="23360FB7"/>
    <w:rsid w:val="242F6132"/>
    <w:rsid w:val="24B6415E"/>
    <w:rsid w:val="2713284B"/>
    <w:rsid w:val="291F6183"/>
    <w:rsid w:val="2DAD00C8"/>
    <w:rsid w:val="2FB120F1"/>
    <w:rsid w:val="38454281"/>
    <w:rsid w:val="3A076E09"/>
    <w:rsid w:val="3AB3217D"/>
    <w:rsid w:val="3B8F3226"/>
    <w:rsid w:val="3BDD426E"/>
    <w:rsid w:val="3E063608"/>
    <w:rsid w:val="3E4800C5"/>
    <w:rsid w:val="3F3B19D7"/>
    <w:rsid w:val="40354679"/>
    <w:rsid w:val="40E816EB"/>
    <w:rsid w:val="427C7F99"/>
    <w:rsid w:val="42D552A6"/>
    <w:rsid w:val="438D0328"/>
    <w:rsid w:val="46491E27"/>
    <w:rsid w:val="47613FA5"/>
    <w:rsid w:val="48D82045"/>
    <w:rsid w:val="49695393"/>
    <w:rsid w:val="4BC74FBB"/>
    <w:rsid w:val="52E236E7"/>
    <w:rsid w:val="536410A5"/>
    <w:rsid w:val="56FB3ACE"/>
    <w:rsid w:val="570A1F63"/>
    <w:rsid w:val="57415259"/>
    <w:rsid w:val="5789732C"/>
    <w:rsid w:val="58ED38EB"/>
    <w:rsid w:val="5A7A747D"/>
    <w:rsid w:val="5A9D5D9B"/>
    <w:rsid w:val="5AFF2775"/>
    <w:rsid w:val="5BE30FD5"/>
    <w:rsid w:val="5C814A76"/>
    <w:rsid w:val="5EFA1E2B"/>
    <w:rsid w:val="5FD41360"/>
    <w:rsid w:val="60E05AE3"/>
    <w:rsid w:val="62040898"/>
    <w:rsid w:val="622A170C"/>
    <w:rsid w:val="652E3DE8"/>
    <w:rsid w:val="664408C2"/>
    <w:rsid w:val="66AA053E"/>
    <w:rsid w:val="679B2764"/>
    <w:rsid w:val="67A41618"/>
    <w:rsid w:val="67F87BB6"/>
    <w:rsid w:val="68815DFE"/>
    <w:rsid w:val="708F6BDE"/>
    <w:rsid w:val="711315BD"/>
    <w:rsid w:val="71706A0F"/>
    <w:rsid w:val="760D6F22"/>
    <w:rsid w:val="761738FD"/>
    <w:rsid w:val="76B92C06"/>
    <w:rsid w:val="76C84BF7"/>
    <w:rsid w:val="77DE0B76"/>
    <w:rsid w:val="7F20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before="100" w:beforeAutospacing="1" w:after="0"/>
      <w:ind w:left="0" w:firstLine="420" w:firstLineChars="200"/>
    </w:pPr>
    <w:rPr>
      <w:rFonts w:ascii="Calibri" w:hAnsi="Calibri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/>
    </w:r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7">
    <w:name w:val="ca-22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2819</Words>
  <Characters>3013</Characters>
  <Lines>0</Lines>
  <Paragraphs>0</Paragraphs>
  <TotalTime>13</TotalTime>
  <ScaleCrop>false</ScaleCrop>
  <LinksUpToDate>false</LinksUpToDate>
  <CharactersWithSpaces>3014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cp:lastPrinted>2022-03-29T00:28:58Z</cp:lastPrinted>
  <dcterms:modified xsi:type="dcterms:W3CDTF">2022-03-29T00:33:20Z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