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eastAsia="方正小标宋_GBK"/>
          <w:sz w:val="44"/>
          <w:szCs w:val="44"/>
          <w:lang w:eastAsia="zh-CN"/>
        </w:rPr>
      </w:pPr>
      <w:r>
        <w:rPr>
          <w:rFonts w:hint="eastAsia" w:eastAsia="方正小标宋_GBK"/>
          <w:sz w:val="44"/>
          <w:szCs w:val="44"/>
          <w:lang w:val="en-US" w:eastAsia="zh-CN"/>
        </w:rPr>
        <w:t>新洲镇人民政府天子岗棚户区（东门桥至花山寺东段）改扩翻建工程2021年度</w:t>
      </w:r>
      <w:r>
        <w:rPr>
          <w:rFonts w:hint="eastAsia" w:eastAsia="方正小标宋_GBK"/>
          <w:sz w:val="44"/>
          <w:szCs w:val="44"/>
          <w:lang w:eastAsia="zh-CN"/>
        </w:rPr>
        <w:t>项目</w:t>
      </w:r>
    </w:p>
    <w:p>
      <w:pPr>
        <w:spacing w:line="600" w:lineRule="exact"/>
        <w:jc w:val="center"/>
        <w:rPr>
          <w:rFonts w:eastAsia="方正小标宋_GBK"/>
          <w:sz w:val="44"/>
          <w:szCs w:val="44"/>
        </w:rPr>
      </w:pPr>
      <w:r>
        <w:rPr>
          <w:rFonts w:eastAsia="方正小标宋_GBK"/>
          <w:sz w:val="44"/>
          <w:szCs w:val="44"/>
        </w:rPr>
        <w:t>支出绩效报告</w:t>
      </w:r>
    </w:p>
    <w:p>
      <w:pPr>
        <w:adjustRightInd w:val="0"/>
        <w:spacing w:line="600" w:lineRule="exact"/>
        <w:ind w:right="641"/>
        <w:rPr>
          <w:rFonts w:eastAsia="仿宋_GB2312"/>
          <w:sz w:val="32"/>
          <w:szCs w:val="32"/>
        </w:rPr>
      </w:pPr>
      <w:bookmarkStart w:id="0" w:name="_GoBack"/>
      <w:bookmarkEnd w:id="0"/>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3" w:firstLineChars="200"/>
        <w:rPr>
          <w:rFonts w:hint="eastAsia" w:ascii="Times New Roman Regular" w:hAnsi="Times New Roman Regular" w:eastAsia="楷体" w:cs="Times New Roman Regular"/>
          <w:b/>
          <w:bCs/>
          <w:color w:val="auto"/>
          <w:kern w:val="2"/>
          <w:sz w:val="32"/>
          <w:szCs w:val="32"/>
          <w:highlight w:val="none"/>
          <w:lang w:val="en-US" w:eastAsia="zh-Hans" w:bidi="ar-SA"/>
        </w:rPr>
      </w:pPr>
      <w:r>
        <w:rPr>
          <w:rFonts w:hint="eastAsia" w:ascii="Times New Roman Regular" w:hAnsi="Times New Roman Regular" w:eastAsia="楷体" w:cs="Times New Roman Regular"/>
          <w:b/>
          <w:bCs/>
          <w:color w:val="auto"/>
          <w:kern w:val="2"/>
          <w:sz w:val="32"/>
          <w:szCs w:val="32"/>
          <w:highlight w:val="none"/>
          <w:lang w:val="en-US" w:eastAsia="zh-Hans" w:bidi="ar-SA"/>
        </w:rPr>
        <w:t>（一）项目实施单位基本情况。</w:t>
      </w:r>
    </w:p>
    <w:p>
      <w:pPr>
        <w:pStyle w:val="7"/>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津市市新洲镇人民政府为独立核算的行政单位，属一级预算单位，统一社会信用代码11430781780872044B，单位负责人覃宇。</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sz w:val="32"/>
          <w:szCs w:val="32"/>
        </w:rPr>
        <w:t>主要职能</w:t>
      </w:r>
      <w:r>
        <w:rPr>
          <w:rFonts w:hint="eastAsia" w:ascii="仿宋_GB2312" w:hAnsi="仿宋" w:eastAsia="仿宋_GB2312"/>
          <w:sz w:val="32"/>
          <w:szCs w:val="32"/>
          <w:lang w:eastAsia="zh-CN"/>
        </w:rPr>
        <w:t>：</w:t>
      </w:r>
      <w:r>
        <w:rPr>
          <w:rFonts w:hint="eastAsia" w:ascii="仿宋_GB2312" w:hAnsi="仿宋" w:eastAsia="仿宋_GB2312" w:cs="Times New Roman"/>
          <w:kern w:val="2"/>
          <w:sz w:val="32"/>
          <w:szCs w:val="32"/>
          <w:lang w:val="en-US" w:eastAsia="zh-CN" w:bidi="ar-SA"/>
        </w:rPr>
        <w:t>负责宣传贯彻党的路线、方针、政策和国家法律法规，执行上级党委的决定和命令；负责对新洲镇实施政治、思想和方针政策的领导；负责乡镇的思想政治工作和精神文明建设；负责乡镇社会治安综合治理工作；负责乡镇党风廉政建设；负责乡镇干部工作；负责乡镇基层党组织和乡镇机关支部的建设；负责对乡镇工青妇群众组织的领导；负责乡镇党的统战工作；负责乡镇和机关党员教育管理工作；负责乡镇武装部工作及完成市委交办的其他工作任务。统筹区域发展，参与拟定关于辖区发展的重大决策和建设规划并统筹落实，促进项目发展等工作。对辖区内各类行政执法工作进行统筹协调。保障村（居）自治。指导村（居）民委员会建设，健全村（居）民自治平台。</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r>
        <w:rPr>
          <w:rFonts w:hint="eastAsia" w:ascii="仿宋_GB2312" w:hAnsi="仿宋" w:eastAsia="仿宋_GB2312" w:cs="Times New Roman"/>
          <w:kern w:val="2"/>
          <w:sz w:val="32"/>
          <w:szCs w:val="32"/>
          <w:lang w:val="en-US" w:eastAsia="zh-CN" w:bidi="ar-SA"/>
        </w:rPr>
        <w:t>根据编委核定，本单位下辖内设机构：党政办公室、党建办公室、经济发展办公室、平安建设和应急管理办公室、自然资源和生态环境办公室、社会事务办公室；事业站所：综合行政执法队、政务服务中心、农业综合服务中心、社会事务综合服务中心、退役军人服务站。</w:t>
      </w:r>
    </w:p>
    <w:p>
      <w:pPr>
        <w:numPr>
          <w:ilvl w:val="0"/>
          <w:numId w:val="1"/>
        </w:numPr>
        <w:adjustRightInd w:val="0"/>
        <w:snapToGrid w:val="0"/>
        <w:spacing w:line="600" w:lineRule="exact"/>
        <w:ind w:firstLine="643" w:firstLineChars="200"/>
        <w:rPr>
          <w:rFonts w:hint="eastAsia" w:ascii="Times New Roman Regular" w:hAnsi="Times New Roman Regular" w:eastAsia="楷体" w:cs="Times New Roman Regular"/>
          <w:b/>
          <w:bCs/>
          <w:color w:val="auto"/>
          <w:kern w:val="2"/>
          <w:sz w:val="32"/>
          <w:szCs w:val="32"/>
          <w:highlight w:val="none"/>
          <w:lang w:val="en-US" w:eastAsia="zh-Hans" w:bidi="ar-SA"/>
        </w:rPr>
      </w:pPr>
      <w:r>
        <w:rPr>
          <w:rFonts w:hint="eastAsia" w:ascii="Times New Roman Regular" w:hAnsi="Times New Roman Regular" w:eastAsia="楷体" w:cs="Times New Roman Regular"/>
          <w:b/>
          <w:bCs/>
          <w:color w:val="auto"/>
          <w:kern w:val="2"/>
          <w:sz w:val="32"/>
          <w:szCs w:val="32"/>
          <w:highlight w:val="none"/>
          <w:lang w:val="en-US" w:eastAsia="zh-CN" w:bidi="ar-SA"/>
        </w:rPr>
        <w:t>项目</w:t>
      </w:r>
      <w:r>
        <w:rPr>
          <w:rFonts w:hint="eastAsia" w:ascii="Times New Roman Regular" w:hAnsi="Times New Roman Regular" w:eastAsia="楷体" w:cs="Times New Roman Regular"/>
          <w:b/>
          <w:bCs/>
          <w:color w:val="auto"/>
          <w:kern w:val="2"/>
          <w:sz w:val="32"/>
          <w:szCs w:val="32"/>
          <w:highlight w:val="none"/>
          <w:lang w:val="en-US" w:eastAsia="zh-Hans" w:bidi="ar-SA"/>
        </w:rPr>
        <w:t>基本情况。</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津市市委、市人民政府为解决城市低收入家庭住房困难问题，取得一定成效。随着工业化、城市化的“双轮驱动”战略的实施，城市建设速度进一步加快，津市实现快速发展，但目前津市市新洲镇天子岗棚户区还是我国工业化初期形成的简易住宅区，环境较差，区内基础设施处于空白、安全隐患突出、社会管理相对薄弱，群众要求改造的愿望强烈，迫在眉睫，正是在以上背景下提出了“津市市天子岗棚户区改扩建配套基础设施建设项目”。</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项目名称：新洲镇人民政府天子岗棚户区（东门桥至花山寺东段）改扩翻建工程；项目承办单位：新洲镇人民政府；建设地点：新洲镇天子岗社区；建设性质：改造。</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3" w:firstLineChars="200"/>
        <w:textAlignment w:val="auto"/>
        <w:rPr>
          <w:rFonts w:hint="eastAsia" w:ascii="Times New Roman Regular" w:hAnsi="Times New Roman Regular" w:eastAsia="楷体" w:cs="Times New Roman Regular"/>
          <w:b/>
          <w:bCs/>
          <w:color w:val="auto"/>
          <w:kern w:val="2"/>
          <w:sz w:val="32"/>
          <w:szCs w:val="32"/>
          <w:highlight w:val="none"/>
          <w:lang w:val="en-US" w:eastAsia="zh-CN" w:bidi="ar-SA"/>
        </w:rPr>
      </w:pPr>
      <w:r>
        <w:rPr>
          <w:rFonts w:hint="eastAsia" w:ascii="Times New Roman Regular" w:hAnsi="Times New Roman Regular" w:eastAsia="楷体" w:cs="Times New Roman Regular"/>
          <w:b/>
          <w:bCs/>
          <w:color w:val="auto"/>
          <w:kern w:val="2"/>
          <w:sz w:val="32"/>
          <w:szCs w:val="32"/>
          <w:highlight w:val="none"/>
          <w:lang w:val="en-US" w:eastAsia="zh-CN" w:bidi="ar-SA"/>
        </w:rPr>
        <w:t>项目绩效目标。</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加快解决中低收入群众的住房困难问题，提高生活质量，改善生活环境，共享改革发展成果，提高党和政府的威信，增强人民群众的向心力和凝聚力。</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改善天子岗棚户区内环境，加大对天子岗社区的建设与开发，通过辐射带动作用，促进居民消费，扩大社会就业，发展社区公共服务，加强社会管理，推进平安社区建设，充分发挥扩内需、惠民生、保稳点重要结合点的作用。</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Times New Roman Regular" w:hAnsi="Times New Roman Regular" w:eastAsia="楷体" w:cs="Times New Roman Regular"/>
          <w:b/>
          <w:bCs/>
          <w:color w:val="auto"/>
          <w:kern w:val="2"/>
          <w:sz w:val="32"/>
          <w:szCs w:val="32"/>
          <w:highlight w:val="none"/>
          <w:lang w:val="en-US" w:eastAsia="zh-CN" w:bidi="ar-SA"/>
        </w:rPr>
      </w:pPr>
      <w:r>
        <w:rPr>
          <w:rFonts w:hint="eastAsia" w:ascii="Times New Roman Regular" w:hAnsi="Times New Roman Regular" w:eastAsia="楷体" w:cs="Times New Roman Regular"/>
          <w:b/>
          <w:bCs/>
          <w:color w:val="auto"/>
          <w:kern w:val="2"/>
          <w:sz w:val="32"/>
          <w:szCs w:val="32"/>
          <w:highlight w:val="none"/>
          <w:lang w:val="en-US" w:eastAsia="zh-CN" w:bidi="ar-SA"/>
        </w:rPr>
        <w:t>（一）项目资金及自筹资金的安排落实、总投入等情况。</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新洲镇天子岗棚户区（东段）改造工程争取上级财政配套解决项目资金，并保证建设资金足额、及时到位，要求建设主管部门全力支持本项目的建设，明确给予本项目最大的优惠政策，尽可能的减免相关费用，是有限的资金全部落实到项目建设中去。政府采购预算价为1614284元。</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Chars="200"/>
        <w:textAlignment w:val="auto"/>
        <w:rPr>
          <w:rFonts w:hint="eastAsia" w:ascii="Times New Roman Regular" w:hAnsi="Times New Roman Regular" w:eastAsia="楷体" w:cs="Times New Roman Regular"/>
          <w:b/>
          <w:bCs/>
          <w:color w:val="auto"/>
          <w:kern w:val="2"/>
          <w:sz w:val="32"/>
          <w:szCs w:val="32"/>
          <w:highlight w:val="none"/>
          <w:lang w:val="en-US" w:eastAsia="zh-CN" w:bidi="ar-SA"/>
        </w:rPr>
      </w:pPr>
      <w:r>
        <w:rPr>
          <w:rFonts w:hint="eastAsia" w:ascii="Times New Roman Regular" w:hAnsi="Times New Roman Regular" w:eastAsia="楷体" w:cs="Times New Roman Regular"/>
          <w:b/>
          <w:bCs/>
          <w:color w:val="auto"/>
          <w:kern w:val="2"/>
          <w:sz w:val="32"/>
          <w:szCs w:val="32"/>
          <w:highlight w:val="none"/>
          <w:lang w:val="en-US" w:eastAsia="zh-CN" w:bidi="ar-SA"/>
        </w:rPr>
        <w:t>项目资金实际使用情况。</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经津市市财政投资评审中心评审后金额为：</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超合同工程量15%以外：57222.31元。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1-9#楼立面改造工程-合同内：90221.34元。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10-16#楼立面改造工程-合同内：102170.66元。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17#楼立面改造工程-合同内：19341.67元。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18-20#楼立面改造工程-合同内:11823.85元。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22-23#楼立面改造工程-合同内:34402.67元。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25-26#楼立面改造工程-合同内:26814.47元。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28-31#楼立面改造工程-合同内：48819.25元。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32-35#楼立面改造工程-合同内:47548.56元。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36-39#楼立面改造工程-合同内:56217.61元。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40-42#楼立面改造工程-合同内：46588.83元。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43-49#楼立面改造工程-合同内:83021.77元。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51-56#楼立面改造工程-合同内:69891.70元。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57-59#楼立面改造工程-合同内:3593.37元。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60-61#楼立面改造工程-合同内:33518.08元。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62-65#楼立面改造工程-合同内:34267.41元。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66-70#楼立面改造工程-合同内:50401.26元。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71-76#楼立面改造工程-合同内:45655.91元。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屋面基层及天沟改造工程-超合同工程量15%以外：49018.99元。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合同外：350090.64元。</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投标与中标优惠：-1632.13元。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合计：1258998.22元。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Times New Roman Regular" w:hAnsi="Times New Roman Regular" w:eastAsia="楷体" w:cs="Times New Roman Regular"/>
          <w:b/>
          <w:bCs/>
          <w:color w:val="auto"/>
          <w:kern w:val="2"/>
          <w:sz w:val="32"/>
          <w:szCs w:val="32"/>
          <w:highlight w:val="none"/>
          <w:lang w:val="en-US" w:eastAsia="zh-CN" w:bidi="ar-SA"/>
        </w:rPr>
      </w:pPr>
      <w:r>
        <w:rPr>
          <w:rFonts w:hint="eastAsia" w:ascii="Times New Roman Regular" w:hAnsi="Times New Roman Regular" w:eastAsia="楷体" w:cs="Times New Roman Regular"/>
          <w:b/>
          <w:bCs/>
          <w:color w:val="auto"/>
          <w:kern w:val="2"/>
          <w:sz w:val="32"/>
          <w:szCs w:val="32"/>
          <w:highlight w:val="none"/>
          <w:lang w:val="en-US" w:eastAsia="zh-CN" w:bidi="ar-SA"/>
        </w:rPr>
        <w:t>（三）项目资金管理情况分析。</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资金管理制度：新洲镇人民政府天子岗棚户区（东门桥至花山寺东段）改扩翻建工程建设资金实行单设账户、单独管理、单独核算、单独使用的管理方式，专款专用。委派财务人员管理该项目工程建设的财务活动，严格执行国家财政法律法规，并接受上级财政、审计部门的检查、审计。</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val="en-US" w:eastAsia="zh-CN"/>
        </w:rPr>
      </w:pPr>
      <w:r>
        <w:rPr>
          <w:rFonts w:hint="eastAsia" w:ascii="仿宋_GB2312" w:hAnsi="仿宋" w:eastAsia="仿宋_GB2312" w:cs="Times New Roman"/>
          <w:kern w:val="2"/>
          <w:sz w:val="32"/>
          <w:szCs w:val="32"/>
          <w:lang w:val="en-US" w:eastAsia="zh-CN" w:bidi="ar-SA"/>
        </w:rPr>
        <w:t>执行情况：建设资金由津市市财政局财政支付中心依据项目的施工进度计划，依照设计、施工、采购等相关合同的约定同步支付给承包单位。资金应严格按照专项资金的用途使用项目资金，做好工程预决算。</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项目招投标情况：2019年9月24日于常德市公共资源交易网挂出招标公告；2019年10月8日在常德市公共资源交易中心谈判五室召开津市市新洲镇天子岗棚户区（东门桥至花山寺东段）改扩翻建工程竞争性谈判资格审查会；最终由湖南省津市市阳由建筑工程有限责任公司中标。2019年12月2日开工，2020年12月11日竣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竣工验收情况：于2021年2月底新洲镇人民政府天子岗棚户区（东门桥至花山寺东段）改扩翻建工程全部验收合格，2021年9月3日津市市财政投资评审中心进行工程结算评审。</w:t>
      </w:r>
    </w:p>
    <w:p>
      <w:pPr>
        <w:numPr>
          <w:ilvl w:val="0"/>
          <w:numId w:val="4"/>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新洲镇人民政府天子岗棚户区（东门桥至花山寺东段）改扩翻建工程建设资金专款专用，工程结算金额比预算金额减少355285.78元，既做到专项资金专项使用又做到高效使用资金。严格把关工程实施全过程。</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长期效益：本项目是为新洲镇提供服务的公益性项目，体现党和政府对民生工程的重视，对人民的关心。极大地满足集镇对于棚户区的质量需求，使棚户区居民拥有一个更加良好的生活环境。</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Times New Roman" w:hAnsi="Times New Roman" w:eastAsia="仿宋_GB2312" w:cs="Times New Roman"/>
          <w:sz w:val="32"/>
          <w:szCs w:val="32"/>
        </w:rPr>
      </w:pPr>
      <w:r>
        <w:rPr>
          <w:rFonts w:hint="eastAsia" w:eastAsia="黑体"/>
          <w:sz w:val="32"/>
          <w:szCs w:val="32"/>
          <w:lang w:eastAsia="zh-CN"/>
        </w:rPr>
        <w:t>五</w:t>
      </w:r>
      <w:r>
        <w:rPr>
          <w:rFonts w:eastAsia="黑体"/>
          <w:sz w:val="32"/>
          <w:szCs w:val="32"/>
        </w:rPr>
        <w:t>、其他需要说明的问题</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1、按照严格年度目标或计划实际情况编制资产采购预算，严格按照资产采购预算进行资产或工程项目采购。</w:t>
      </w:r>
    </w:p>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2、提升绩效产出效果。加强时间节点管理，明确实施过程关键节点；开展绩效运行监控，可在6月、10月等关键节点监控各绩效目标完成程度。对于完成情况不达标的，应向相关经办部门或站所下发预警通知，督查催工，确保项目产出。</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rPr>
      </w:pP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加强绩效管理。提高绩效认识，重视绩效目标。细化部门工作计划，根据工作计划合理设置绩效目标。专项资金应根据专项资金申报资金用途，细化量化绩效目标。</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eastAsia="黑体"/>
          <w:sz w:val="32"/>
          <w:szCs w:val="32"/>
          <w:lang w:val="en-US"/>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5"/>
        <w:tblW w:w="9999" w:type="dxa"/>
        <w:jc w:val="center"/>
        <w:tblLayout w:type="autofit"/>
        <w:tblCellMar>
          <w:top w:w="0" w:type="dxa"/>
          <w:left w:w="108" w:type="dxa"/>
          <w:bottom w:w="0" w:type="dxa"/>
          <w:right w:w="108" w:type="dxa"/>
        </w:tblCellMar>
      </w:tblPr>
      <w:tblGrid>
        <w:gridCol w:w="1135"/>
        <w:gridCol w:w="992"/>
        <w:gridCol w:w="1261"/>
        <w:gridCol w:w="1224"/>
        <w:gridCol w:w="1134"/>
        <w:gridCol w:w="1189"/>
        <w:gridCol w:w="773"/>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新洲镇人民政府天子岗棚户区（东门桥至花山寺东段）改扩翻建工程</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津市市新洲镇人民政府</w:t>
            </w:r>
          </w:p>
        </w:tc>
        <w:tc>
          <w:tcPr>
            <w:tcW w:w="1189"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064"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津市市新洲镇人民政府</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89"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7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1189"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7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1189"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125.9</w:t>
            </w:r>
          </w:p>
        </w:tc>
        <w:tc>
          <w:tcPr>
            <w:tcW w:w="7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9"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完成</w:t>
            </w:r>
            <w:r>
              <w:rPr>
                <w:rFonts w:hint="eastAsia" w:eastAsia="仿宋_GB2312"/>
                <w:color w:val="000000"/>
                <w:kern w:val="0"/>
                <w:szCs w:val="21"/>
                <w:lang w:val="en-US" w:eastAsia="zh-CN"/>
              </w:rPr>
              <w:t>新洲镇人民政府天子岗棚户区（东门桥至花山寺东段）改扩翻建工程，改善棚户区内居民</w:t>
            </w:r>
            <w:r>
              <w:rPr>
                <w:rFonts w:hint="eastAsia" w:eastAsia="仿宋_GB2312"/>
                <w:color w:val="000000"/>
                <w:kern w:val="0"/>
                <w:szCs w:val="21"/>
                <w:lang w:val="en-US" w:eastAsia="zh-CN"/>
              </w:rPr>
              <w:br w:type="textWrapping"/>
            </w:r>
            <w:r>
              <w:rPr>
                <w:rFonts w:hint="eastAsia" w:eastAsia="仿宋_GB2312"/>
                <w:color w:val="000000"/>
                <w:kern w:val="0"/>
                <w:szCs w:val="21"/>
                <w:lang w:val="en-US" w:eastAsia="zh-CN"/>
              </w:rPr>
              <w:t>生活环境。</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完成天子岗棚户区改造，主要包括：墙面清洗、清水墙面抹灰、外墙面刷乳胶漆，瓦屋面及防水处理、门窗刷漆等工程。</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8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改造楼栋数</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76栋</w:t>
            </w:r>
          </w:p>
        </w:tc>
        <w:tc>
          <w:tcPr>
            <w:tcW w:w="1189"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76栋</w:t>
            </w:r>
          </w:p>
        </w:tc>
        <w:tc>
          <w:tcPr>
            <w:tcW w:w="7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9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工程</w:t>
            </w:r>
            <w:r>
              <w:rPr>
                <w:rFonts w:hint="eastAsia" w:eastAsia="仿宋_GB2312"/>
                <w:color w:val="000000"/>
                <w:kern w:val="0"/>
                <w:szCs w:val="21"/>
              </w:rPr>
              <w:t>项目金额</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125.9</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125.9</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工程前期准备</w:t>
            </w:r>
          </w:p>
          <w:p>
            <w:pPr>
              <w:widowControl/>
              <w:jc w:val="left"/>
              <w:rPr>
                <w:rFonts w:eastAsia="仿宋_GB2312"/>
                <w:color w:val="000000"/>
                <w:kern w:val="0"/>
                <w:szCs w:val="21"/>
              </w:rPr>
            </w:pPr>
            <w:r>
              <w:rPr>
                <w:rFonts w:hint="eastAsia" w:eastAsia="仿宋_GB2312"/>
                <w:color w:val="000000"/>
                <w:kern w:val="0"/>
                <w:szCs w:val="21"/>
              </w:rPr>
              <w:t>到位率。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4.5</w:t>
            </w:r>
          </w:p>
        </w:tc>
        <w:tc>
          <w:tcPr>
            <w:tcW w:w="141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以后前期准备充分</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项目验收合格率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墙面清洗及时率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提质改造完工及时率</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瓦屋面喷漆</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20元/㎡</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20元/㎡</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SBS改性沥青卷材</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20元/㎡</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20元/㎡</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促进建筑企业、建筑材料售卖</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促进新洲镇经济发展</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提升</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提升</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辖区内社会安全稳定</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棚户区居民生活水平</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改善</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改善</w:t>
            </w:r>
          </w:p>
        </w:tc>
        <w:tc>
          <w:tcPr>
            <w:tcW w:w="773"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辖区内环境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改善</w:t>
            </w:r>
          </w:p>
        </w:tc>
        <w:tc>
          <w:tcPr>
            <w:tcW w:w="11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改善</w:t>
            </w:r>
          </w:p>
        </w:tc>
        <w:tc>
          <w:tcPr>
            <w:tcW w:w="7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9.5</w:t>
            </w:r>
          </w:p>
        </w:tc>
        <w:tc>
          <w:tcPr>
            <w:tcW w:w="1418"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加大棚户区绿化环境改造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外墙美观</w:t>
            </w:r>
          </w:p>
        </w:tc>
        <w:tc>
          <w:tcPr>
            <w:tcW w:w="1134"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89"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7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4.25</w:t>
            </w:r>
          </w:p>
        </w:tc>
        <w:tc>
          <w:tcPr>
            <w:tcW w:w="1418"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持续进行</w:t>
            </w:r>
          </w:p>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外观改造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棚户区楼房结实度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118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提升</w:t>
            </w:r>
          </w:p>
        </w:tc>
        <w:tc>
          <w:tcPr>
            <w:tcW w:w="7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持续发展</w:t>
            </w:r>
          </w:p>
        </w:tc>
        <w:tc>
          <w:tcPr>
            <w:tcW w:w="1134"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持续</w:t>
            </w:r>
          </w:p>
        </w:tc>
        <w:tc>
          <w:tcPr>
            <w:tcW w:w="1189"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持续</w:t>
            </w:r>
          </w:p>
        </w:tc>
        <w:tc>
          <w:tcPr>
            <w:tcW w:w="7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棚户区居民满意度</w:t>
            </w:r>
          </w:p>
        </w:tc>
        <w:tc>
          <w:tcPr>
            <w:tcW w:w="1134"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1189"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7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新洲镇居民满意度</w:t>
            </w:r>
          </w:p>
        </w:tc>
        <w:tc>
          <w:tcPr>
            <w:tcW w:w="1134"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1189"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7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935"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73"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98.25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rPr>
          <w:rFonts w:eastAsia="仿宋_GB2312"/>
          <w:sz w:val="24"/>
        </w:rPr>
      </w:pPr>
      <w:r>
        <w:rPr>
          <w:rFonts w:eastAsia="仿宋_GB2312"/>
          <w:sz w:val="24"/>
        </w:rPr>
        <w:t>填表人：</w:t>
      </w:r>
      <w:r>
        <w:rPr>
          <w:rFonts w:hint="eastAsia" w:eastAsia="仿宋_GB2312"/>
          <w:sz w:val="24"/>
          <w:lang w:eastAsia="zh-CN"/>
        </w:rPr>
        <w:t>杜玉灵</w:t>
      </w:r>
      <w:r>
        <w:rPr>
          <w:rFonts w:eastAsia="仿宋_GB2312"/>
          <w:sz w:val="24"/>
        </w:rPr>
        <w:t xml:space="preserve">   </w:t>
      </w:r>
      <w:r>
        <w:rPr>
          <w:rFonts w:hint="eastAsia" w:eastAsia="仿宋_GB2312"/>
          <w:sz w:val="24"/>
          <w:lang w:val="en-US" w:eastAsia="zh-CN"/>
        </w:rPr>
        <w:t xml:space="preserve">    </w:t>
      </w:r>
      <w:r>
        <w:rPr>
          <w:rFonts w:eastAsia="仿宋_GB2312"/>
          <w:sz w:val="24"/>
        </w:rPr>
        <w:t>填报日期：</w:t>
      </w:r>
      <w:r>
        <w:rPr>
          <w:rFonts w:hint="eastAsia" w:eastAsia="仿宋_GB2312"/>
          <w:sz w:val="24"/>
          <w:lang w:val="en-US" w:eastAsia="zh-CN"/>
        </w:rPr>
        <w:t>2022年3月28日</w:t>
      </w:r>
      <w:r>
        <w:rPr>
          <w:rFonts w:eastAsia="仿宋_GB2312"/>
          <w:sz w:val="24"/>
        </w:rPr>
        <w:t xml:space="preserve">       </w:t>
      </w:r>
      <w:r>
        <w:rPr>
          <w:rFonts w:hint="eastAsia" w:eastAsia="仿宋_GB2312"/>
          <w:sz w:val="24"/>
          <w:lang w:val="en-US" w:eastAsia="zh-CN"/>
        </w:rPr>
        <w:t xml:space="preserve"> </w:t>
      </w:r>
      <w:r>
        <w:rPr>
          <w:rFonts w:eastAsia="仿宋_GB2312"/>
          <w:sz w:val="24"/>
        </w:rPr>
        <w:t>联系电话：</w:t>
      </w:r>
      <w:r>
        <w:rPr>
          <w:rFonts w:hint="eastAsia" w:eastAsia="仿宋_GB2312"/>
          <w:sz w:val="24"/>
          <w:lang w:val="en-US" w:eastAsia="zh-CN"/>
        </w:rPr>
        <w:t>4263357</w:t>
      </w:r>
      <w:r>
        <w:rPr>
          <w:rFonts w:eastAsia="仿宋_GB2312"/>
          <w:sz w:val="24"/>
        </w:rPr>
        <w:t xml:space="preserve">      </w:t>
      </w:r>
    </w:p>
    <w:p>
      <w:pPr>
        <w:spacing w:before="120" w:beforeLines="50"/>
        <w:rPr>
          <w:rFonts w:eastAsia="仿宋_GB2312"/>
          <w:sz w:val="24"/>
        </w:rPr>
      </w:pPr>
    </w:p>
    <w:p>
      <w:pPr>
        <w:spacing w:before="120" w:beforeLines="50"/>
      </w:pPr>
      <w:r>
        <w:rPr>
          <w:rFonts w:eastAsia="仿宋_GB2312"/>
          <w:sz w:val="24"/>
        </w:rPr>
        <w:t>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0DBD4"/>
    <w:multiLevelType w:val="singleLevel"/>
    <w:tmpl w:val="E540DBD4"/>
    <w:lvl w:ilvl="0" w:tentative="0">
      <w:start w:val="1"/>
      <w:numFmt w:val="decimal"/>
      <w:suff w:val="nothing"/>
      <w:lvlText w:val="%1、"/>
      <w:lvlJc w:val="left"/>
    </w:lvl>
  </w:abstractNum>
  <w:abstractNum w:abstractNumId="1">
    <w:nsid w:val="E8AC75B7"/>
    <w:multiLevelType w:val="singleLevel"/>
    <w:tmpl w:val="E8AC75B7"/>
    <w:lvl w:ilvl="0" w:tentative="0">
      <w:start w:val="2"/>
      <w:numFmt w:val="chineseCounting"/>
      <w:suff w:val="nothing"/>
      <w:lvlText w:val="（%1）"/>
      <w:lvlJc w:val="left"/>
      <w:rPr>
        <w:rFonts w:hint="eastAsia"/>
      </w:rPr>
    </w:lvl>
  </w:abstractNum>
  <w:abstractNum w:abstractNumId="2">
    <w:nsid w:val="47CD9F08"/>
    <w:multiLevelType w:val="singleLevel"/>
    <w:tmpl w:val="47CD9F08"/>
    <w:lvl w:ilvl="0" w:tentative="0">
      <w:start w:val="4"/>
      <w:numFmt w:val="chineseCounting"/>
      <w:suff w:val="nothing"/>
      <w:lvlText w:val="%1、"/>
      <w:lvlJc w:val="left"/>
      <w:rPr>
        <w:rFonts w:hint="eastAsia"/>
      </w:rPr>
    </w:lvl>
  </w:abstractNum>
  <w:abstractNum w:abstractNumId="3">
    <w:nsid w:val="7A7EF5EC"/>
    <w:multiLevelType w:val="singleLevel"/>
    <w:tmpl w:val="7A7EF5EC"/>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7A6F63"/>
    <w:rsid w:val="00AA3CEC"/>
    <w:rsid w:val="022655F4"/>
    <w:rsid w:val="023F66B6"/>
    <w:rsid w:val="056B1570"/>
    <w:rsid w:val="057C377D"/>
    <w:rsid w:val="05AD3936"/>
    <w:rsid w:val="06622973"/>
    <w:rsid w:val="07577FFE"/>
    <w:rsid w:val="096F639D"/>
    <w:rsid w:val="09BC05EC"/>
    <w:rsid w:val="0A1E12A6"/>
    <w:rsid w:val="0A4707FD"/>
    <w:rsid w:val="0AD83203"/>
    <w:rsid w:val="0B753148"/>
    <w:rsid w:val="0C191D25"/>
    <w:rsid w:val="0CAF268A"/>
    <w:rsid w:val="0CCF6888"/>
    <w:rsid w:val="0CFE4450"/>
    <w:rsid w:val="0F1B4006"/>
    <w:rsid w:val="0F492922"/>
    <w:rsid w:val="0FA638D0"/>
    <w:rsid w:val="0FD83CA6"/>
    <w:rsid w:val="110411F6"/>
    <w:rsid w:val="12A13D28"/>
    <w:rsid w:val="14BE346A"/>
    <w:rsid w:val="15485429"/>
    <w:rsid w:val="158C3568"/>
    <w:rsid w:val="16FB6BF7"/>
    <w:rsid w:val="17E01949"/>
    <w:rsid w:val="17EE4066"/>
    <w:rsid w:val="19017DC9"/>
    <w:rsid w:val="190A3122"/>
    <w:rsid w:val="1A8D54AB"/>
    <w:rsid w:val="1BAD5FE6"/>
    <w:rsid w:val="1BD6378F"/>
    <w:rsid w:val="1C055E22"/>
    <w:rsid w:val="1C8925AF"/>
    <w:rsid w:val="1D4B3D09"/>
    <w:rsid w:val="1E0D0FBE"/>
    <w:rsid w:val="20032679"/>
    <w:rsid w:val="22486A69"/>
    <w:rsid w:val="254046FD"/>
    <w:rsid w:val="273B6B9C"/>
    <w:rsid w:val="2742617D"/>
    <w:rsid w:val="27C052F3"/>
    <w:rsid w:val="28B135BA"/>
    <w:rsid w:val="295757E3"/>
    <w:rsid w:val="29915E49"/>
    <w:rsid w:val="2A080B08"/>
    <w:rsid w:val="2C365B84"/>
    <w:rsid w:val="2CB573F1"/>
    <w:rsid w:val="2DA336ED"/>
    <w:rsid w:val="2DAE631A"/>
    <w:rsid w:val="2E01637F"/>
    <w:rsid w:val="2E2C36E3"/>
    <w:rsid w:val="2F2D326E"/>
    <w:rsid w:val="2F9E416C"/>
    <w:rsid w:val="302D729E"/>
    <w:rsid w:val="305B5409"/>
    <w:rsid w:val="30B26121"/>
    <w:rsid w:val="3240775C"/>
    <w:rsid w:val="33C10429"/>
    <w:rsid w:val="346278A6"/>
    <w:rsid w:val="36415851"/>
    <w:rsid w:val="36B83D65"/>
    <w:rsid w:val="37991DE9"/>
    <w:rsid w:val="39671A73"/>
    <w:rsid w:val="3BD643C7"/>
    <w:rsid w:val="3C343492"/>
    <w:rsid w:val="3D806841"/>
    <w:rsid w:val="3EC7548D"/>
    <w:rsid w:val="3EE15E23"/>
    <w:rsid w:val="3F19380F"/>
    <w:rsid w:val="42DF08CC"/>
    <w:rsid w:val="430F2F5F"/>
    <w:rsid w:val="432F1853"/>
    <w:rsid w:val="43EC14F2"/>
    <w:rsid w:val="43EF4B3E"/>
    <w:rsid w:val="445A645C"/>
    <w:rsid w:val="45097E82"/>
    <w:rsid w:val="452D591E"/>
    <w:rsid w:val="45B222C8"/>
    <w:rsid w:val="4642189D"/>
    <w:rsid w:val="47A619B8"/>
    <w:rsid w:val="487D713D"/>
    <w:rsid w:val="4902013C"/>
    <w:rsid w:val="49C16F7D"/>
    <w:rsid w:val="4A4C4A99"/>
    <w:rsid w:val="4B531E57"/>
    <w:rsid w:val="4BBE3774"/>
    <w:rsid w:val="4F204746"/>
    <w:rsid w:val="4FF359B6"/>
    <w:rsid w:val="500100D3"/>
    <w:rsid w:val="513335F8"/>
    <w:rsid w:val="51917235"/>
    <w:rsid w:val="53EF6C55"/>
    <w:rsid w:val="55081F04"/>
    <w:rsid w:val="55D43B94"/>
    <w:rsid w:val="55FA184D"/>
    <w:rsid w:val="562C39D0"/>
    <w:rsid w:val="56625644"/>
    <w:rsid w:val="5697709C"/>
    <w:rsid w:val="58CE6FC1"/>
    <w:rsid w:val="5B01367D"/>
    <w:rsid w:val="5B6F05E7"/>
    <w:rsid w:val="5BD17498"/>
    <w:rsid w:val="5D0336DD"/>
    <w:rsid w:val="5D3A2E77"/>
    <w:rsid w:val="5F2B2A77"/>
    <w:rsid w:val="5F6366B5"/>
    <w:rsid w:val="612358BE"/>
    <w:rsid w:val="61706E67"/>
    <w:rsid w:val="61CE3B8D"/>
    <w:rsid w:val="62BC7E8A"/>
    <w:rsid w:val="65E25469"/>
    <w:rsid w:val="66415276"/>
    <w:rsid w:val="6AEA7C8A"/>
    <w:rsid w:val="6C841A18"/>
    <w:rsid w:val="6D286FC5"/>
    <w:rsid w:val="6DB10C18"/>
    <w:rsid w:val="6E9E24DB"/>
    <w:rsid w:val="6FB62831"/>
    <w:rsid w:val="70926DFA"/>
    <w:rsid w:val="70C60851"/>
    <w:rsid w:val="71186BD3"/>
    <w:rsid w:val="711E7770"/>
    <w:rsid w:val="715E0A8A"/>
    <w:rsid w:val="71804EA4"/>
    <w:rsid w:val="71FB277D"/>
    <w:rsid w:val="722F4919"/>
    <w:rsid w:val="72AA7CFF"/>
    <w:rsid w:val="73116E3A"/>
    <w:rsid w:val="746C7962"/>
    <w:rsid w:val="74B9247B"/>
    <w:rsid w:val="76CC0B8C"/>
    <w:rsid w:val="78AF42C1"/>
    <w:rsid w:val="78C935D5"/>
    <w:rsid w:val="78DB6E64"/>
    <w:rsid w:val="79660E24"/>
    <w:rsid w:val="79FE3F6F"/>
    <w:rsid w:val="7A434CC1"/>
    <w:rsid w:val="7B310FBD"/>
    <w:rsid w:val="7B542EFE"/>
    <w:rsid w:val="7B8732D3"/>
    <w:rsid w:val="7C8D3BF7"/>
    <w:rsid w:val="7C9C2DAE"/>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rPr>
  </w:style>
  <w:style w:type="paragraph" w:styleId="3">
    <w:name w:val="Body Text Indent"/>
    <w:basedOn w:val="1"/>
    <w:qFormat/>
    <w:uiPriority w:val="0"/>
    <w:pPr>
      <w:spacing w:after="120"/>
      <w:ind w:left="420" w:leftChars="200"/>
    </w:pPr>
    <w:rPr>
      <w:rFonts w:ascii="Times New Roman" w:hAnsi="Times New Roman"/>
    </w:rPr>
  </w:style>
  <w:style w:type="paragraph" w:styleId="4">
    <w:name w:val="Body Text First Indent 2"/>
    <w:basedOn w:val="3"/>
    <w:qFormat/>
    <w:uiPriority w:val="0"/>
    <w:pPr>
      <w:spacing w:before="100" w:beforeAutospacing="1" w:after="0"/>
      <w:ind w:left="0" w:firstLine="420" w:firstLineChars="200"/>
    </w:pPr>
    <w:rPr>
      <w:rFonts w:ascii="Calibri" w:hAnsi="Calibri"/>
    </w:rPr>
  </w:style>
  <w:style w:type="paragraph" w:styleId="7">
    <w:name w:val="List Paragraph"/>
    <w:basedOn w:val="1"/>
    <w:qFormat/>
    <w:uiPriority w:val="99"/>
    <w:pPr>
      <w:ind w:firstLine="420" w:firstLineChars="200"/>
    </w:pPr>
    <w:rPr>
      <w:rFonts w:ascii="Calibri" w:hAnsi="Calibri" w:eastAsia="宋体" w:cs="Times New Roman"/>
      <w:szCs w:val="22"/>
    </w:rPr>
  </w:style>
  <w:style w:type="paragraph" w:customStyle="1" w:styleId="8">
    <w:name w:val="_Style 1"/>
    <w:basedOn w:val="1"/>
    <w:qFormat/>
    <w:uiPriority w:val="99"/>
    <w:pPr>
      <w:ind w:firstLine="420" w:firstLineChars="200"/>
    </w:pPr>
    <w:rPr>
      <w:rFonts w:ascii="Calibri" w:hAnsi="Calibri" w:eastAsia="宋体" w:cs="Times New Roman"/>
      <w:szCs w:val="22"/>
    </w:rPr>
  </w:style>
  <w:style w:type="character" w:customStyle="1" w:styleId="9">
    <w:name w:val="ca-22"/>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3049</Words>
  <Characters>3471</Characters>
  <Lines>0</Lines>
  <Paragraphs>0</Paragraphs>
  <TotalTime>19</TotalTime>
  <ScaleCrop>false</ScaleCrop>
  <LinksUpToDate>false</LinksUpToDate>
  <CharactersWithSpaces>3546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2022-03-29T00:28:46Z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