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毛里湖镇澧水（津市段）沿河农村生活污水处理一期工程项目2021年度</w:t>
      </w:r>
      <w:r>
        <w:rPr>
          <w:rFonts w:hint="eastAsia" w:eastAsia="方正小标宋_GBK"/>
          <w:sz w:val="36"/>
          <w:szCs w:val="36"/>
          <w:lang w:eastAsia="zh-CN"/>
        </w:rPr>
        <w:t>项目</w:t>
      </w:r>
      <w:r>
        <w:rPr>
          <w:rFonts w:eastAsia="方正小标宋_GBK"/>
          <w:sz w:val="36"/>
          <w:szCs w:val="36"/>
        </w:rPr>
        <w:t>支出绩效报告</w:t>
      </w:r>
    </w:p>
    <w:p>
      <w:pPr>
        <w:adjustRightInd w:val="0"/>
        <w:spacing w:line="600" w:lineRule="exact"/>
        <w:ind w:right="641"/>
        <w:rPr>
          <w:rFonts w:eastAsia="仿宋_GB2312"/>
          <w:sz w:val="32"/>
          <w:szCs w:val="32"/>
        </w:rPr>
      </w:pP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根据《中华人民共和国地方各级人民代表大会和地方各级人民政府组织法》规定，镇政府的主要职责是：</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1.贯彻执行党的路线、方针、政策和国家法律法规，贯彻执行上级行政机关的决议、命令及同级党委的决定，执行镇人民代表大会的决议。</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2.对镇人民代表大会及其主席团和上级行政机关负责并报告工作。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3.编制本镇国民经济和社会发展中、长期规划和年度计划，并组织实施，加快城乡一体化发展；编制并执行财政预算。</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4.管理本行政区域经济和教育、科学、文化、卫生、体育、民政、计划生育等社会事业的行政工作。</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5.负责辖区内行政执法工作，严格按照法律规定的权限和程序履行职责，维护经济社会秩序，健全利益协调和纠纷调处机制，及时化解矛盾，维护社会公平正义，确保社会稳定。</w:t>
      </w:r>
    </w:p>
    <w:p>
      <w:pPr>
        <w:spacing w:line="58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6.指导、支持和帮助村民委员会工作。</w:t>
      </w:r>
    </w:p>
    <w:p>
      <w:pPr>
        <w:widowControl/>
        <w:spacing w:line="600" w:lineRule="exact"/>
        <w:ind w:firstLine="627" w:firstLineChars="196"/>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7.承办市委、市政府交办的其他事项。</w:t>
      </w:r>
    </w:p>
    <w:p>
      <w:pPr>
        <w:pStyle w:val="3"/>
        <w:keepNext w:val="0"/>
        <w:keepLines w:val="0"/>
        <w:pageBreakBefore w:val="0"/>
        <w:widowControl w:val="0"/>
        <w:kinsoku/>
        <w:wordWrap/>
        <w:overflowPunct/>
        <w:topLinePunct w:val="0"/>
        <w:autoSpaceDE w:val="0"/>
        <w:autoSpaceDN w:val="0"/>
        <w:bidi w:val="0"/>
        <w:adjustRightInd w:val="0"/>
        <w:snapToGrid w:val="0"/>
        <w:spacing w:before="0" w:line="600" w:lineRule="exact"/>
        <w:ind w:left="0" w:right="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（二）机构设置。</w:t>
      </w:r>
    </w:p>
    <w:p>
      <w:pPr>
        <w:adjustRightInd w:val="0"/>
        <w:snapToGrid w:val="0"/>
        <w:spacing w:line="600" w:lineRule="exact"/>
        <w:ind w:firstLine="640" w:firstLineChars="200"/>
        <w:rPr>
          <w:rFonts w:eastAsia="仿宋_GB2312"/>
          <w:sz w:val="32"/>
          <w:szCs w:val="32"/>
        </w:rPr>
      </w:pPr>
      <w:r>
        <w:rPr>
          <w:rFonts w:hint="eastAsia" w:ascii="仿宋_GB2312" w:hAnsi="仿宋_GB2312" w:eastAsia="仿宋_GB2312" w:cs="仿宋_GB2312"/>
          <w:sz w:val="32"/>
          <w:szCs w:val="32"/>
          <w:lang w:eastAsia="zh-CN"/>
        </w:rPr>
        <w:t>根据编委核定，本单位内设机构</w:t>
      </w:r>
      <w:r>
        <w:rPr>
          <w:rFonts w:hint="eastAsia" w:ascii="仿宋_GB2312" w:hAnsi="仿宋_GB2312" w:eastAsia="仿宋_GB2312" w:cs="仿宋_GB2312"/>
          <w:sz w:val="32"/>
          <w:szCs w:val="32"/>
          <w:lang w:val="en-US" w:eastAsia="zh-CN"/>
        </w:rPr>
        <w:t>6个：</w:t>
      </w:r>
      <w:r>
        <w:rPr>
          <w:rFonts w:hint="eastAsia" w:ascii="仿宋_GB2312" w:hAnsi="仿宋_GB2312" w:eastAsia="仿宋_GB2312" w:cs="仿宋_GB2312"/>
          <w:sz w:val="32"/>
          <w:szCs w:val="32"/>
        </w:rPr>
        <w:t>党政办公室</w:t>
      </w:r>
      <w:r>
        <w:rPr>
          <w:rFonts w:hint="eastAsia" w:ascii="仿宋_GB2312" w:hAnsi="仿宋_GB2312" w:eastAsia="仿宋_GB2312" w:cs="仿宋_GB2312"/>
          <w:sz w:val="32"/>
          <w:szCs w:val="32"/>
          <w:lang w:eastAsia="zh-CN"/>
        </w:rPr>
        <w:t>、党建办公室、经济发展办公室、平安建设和应急管理办公室、自然资源和生态环境办公室，社会事务办公室。事业站所</w:t>
      </w:r>
      <w:r>
        <w:rPr>
          <w:rFonts w:hint="eastAsia" w:ascii="仿宋_GB2312" w:hAnsi="仿宋_GB2312" w:eastAsia="仿宋_GB2312" w:cs="仿宋_GB2312"/>
          <w:sz w:val="32"/>
          <w:szCs w:val="32"/>
          <w:lang w:val="en-US" w:eastAsia="zh-CN"/>
        </w:rPr>
        <w:t>5个</w:t>
      </w:r>
      <w:r>
        <w:rPr>
          <w:rFonts w:hint="eastAsia" w:ascii="仿宋_GB2312" w:hAnsi="仿宋_GB2312" w:eastAsia="仿宋_GB2312" w:cs="仿宋_GB2312"/>
          <w:sz w:val="32"/>
          <w:szCs w:val="32"/>
          <w:lang w:eastAsia="zh-CN"/>
        </w:rPr>
        <w:t>：综合行政执法队、政务服务中心、农业综合服务中心、社会事务综合服务中心、退役军人服务站。</w:t>
      </w:r>
    </w:p>
    <w:p>
      <w:pPr>
        <w:numPr>
          <w:ilvl w:val="0"/>
          <w:numId w:val="1"/>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基本情况。</w:t>
      </w:r>
    </w:p>
    <w:p>
      <w:pPr>
        <w:pStyle w:val="2"/>
        <w:numPr>
          <w:ilvl w:val="0"/>
          <w:numId w:val="0"/>
        </w:numPr>
        <w:ind w:firstLine="640" w:firstLineChars="200"/>
      </w:pPr>
      <w:r>
        <w:rPr>
          <w:rFonts w:hint="eastAsia" w:eastAsia="仿宋_GB2312"/>
          <w:sz w:val="32"/>
          <w:szCs w:val="32"/>
          <w:lang w:eastAsia="zh-CN"/>
        </w:rPr>
        <w:t>项目位于津市市毛里湖镇澧水沿河大山村四组、六组、十组、十一组、樟树村十六组、箭楼村二组、万家村三组、四组、七组、双坪村村部、中南村五组、七星村十四组。主要工程内容为：新建分散式生活污水处理四格化粪池，集中式生活污水处理站及配套收集官网，沟渠生态恢复工程等。</w:t>
      </w:r>
    </w:p>
    <w:p>
      <w:pPr>
        <w:numPr>
          <w:ilvl w:val="0"/>
          <w:numId w:val="1"/>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绩效目标。</w:t>
      </w:r>
    </w:p>
    <w:p>
      <w:pPr>
        <w:pStyle w:val="2"/>
        <w:numPr>
          <w:ilvl w:val="0"/>
          <w:numId w:val="0"/>
        </w:numPr>
        <w:ind w:firstLine="640" w:firstLineChars="200"/>
        <w:rPr>
          <w:rFonts w:hint="default" w:eastAsia="仿宋_GB2312"/>
          <w:sz w:val="32"/>
          <w:szCs w:val="32"/>
          <w:lang w:val="en-US" w:eastAsia="zh-CN"/>
        </w:rPr>
      </w:pPr>
      <w:r>
        <w:rPr>
          <w:rFonts w:hint="eastAsia" w:eastAsia="仿宋_GB2312"/>
          <w:sz w:val="32"/>
          <w:szCs w:val="32"/>
          <w:lang w:eastAsia="zh-CN"/>
        </w:rPr>
        <w:t>通过农村生活污水处理工程的建设，强化农村污染源头限制与治理，实现农村生活污水有序排放，改善农村人居生活环境，提高农村居民生活质量，提升中小河道水质环境，促进美丽乡村建设。</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w:t>
      </w:r>
      <w:r>
        <w:rPr>
          <w:rFonts w:eastAsia="仿宋_GB2312"/>
          <w:sz w:val="32"/>
          <w:szCs w:val="32"/>
        </w:rPr>
        <w:t>资金及自筹资金的安排落实、总投入等情况。</w:t>
      </w:r>
    </w:p>
    <w:p>
      <w:pPr>
        <w:pStyle w:val="2"/>
        <w:ind w:firstLine="640" w:firstLineChars="200"/>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澧水（津市段）沿河农村生活污水处理一期工程项目资金来源为中央专项资金（湘财资环指[2020]31号）总投入资金8062039.80元，已经到位7342247.5元,已经拨付7342247.5元。</w:t>
      </w:r>
    </w:p>
    <w:p>
      <w:pPr>
        <w:numPr>
          <w:ilvl w:val="0"/>
          <w:numId w:val="2"/>
        </w:num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资金实际使用情况。</w:t>
      </w:r>
    </w:p>
    <w:p>
      <w:pPr>
        <w:pStyle w:val="2"/>
        <w:numPr>
          <w:ilvl w:val="0"/>
          <w:numId w:val="0"/>
        </w:numPr>
        <w:ind w:firstLine="640" w:firstLineChars="200"/>
      </w:pPr>
      <w:r>
        <w:rPr>
          <w:rFonts w:hint="eastAsia" w:ascii="Times New Roman" w:hAnsi="Times New Roman" w:eastAsia="仿宋_GB2312" w:cs="Times New Roman"/>
          <w:kern w:val="2"/>
          <w:sz w:val="32"/>
          <w:szCs w:val="32"/>
          <w:lang w:val="en-US" w:eastAsia="zh-CN" w:bidi="ar-SA"/>
        </w:rPr>
        <w:t>澧水（津市段）沿河农村生活污水处理一期工程项目中央专项资金由津市市环保局转拨毛里湖镇人民政府7342247.5元。按照工程进度已拨付7342247.5元。</w:t>
      </w:r>
    </w:p>
    <w:p>
      <w:pPr>
        <w:numPr>
          <w:ilvl w:val="0"/>
          <w:numId w:val="2"/>
        </w:numPr>
        <w:adjustRightInd w:val="0"/>
        <w:snapToGrid w:val="0"/>
        <w:spacing w:line="600" w:lineRule="exact"/>
        <w:ind w:left="0" w:leftChars="0" w:firstLine="640" w:firstLineChars="200"/>
        <w:rPr>
          <w:rFonts w:eastAsia="仿宋_GB2312"/>
          <w:sz w:val="32"/>
          <w:szCs w:val="32"/>
        </w:rPr>
      </w:pPr>
      <w:r>
        <w:rPr>
          <w:rFonts w:hint="eastAsia" w:eastAsia="仿宋_GB2312"/>
          <w:sz w:val="32"/>
          <w:szCs w:val="32"/>
          <w:lang w:eastAsia="zh-CN"/>
        </w:rPr>
        <w:t>项目</w:t>
      </w:r>
      <w:r>
        <w:rPr>
          <w:rFonts w:eastAsia="仿宋_GB2312"/>
          <w:sz w:val="32"/>
          <w:szCs w:val="32"/>
        </w:rPr>
        <w:t>资金管理情况分析。</w:t>
      </w:r>
    </w:p>
    <w:p>
      <w:pPr>
        <w:pStyle w:val="2"/>
        <w:numPr>
          <w:ilvl w:val="0"/>
          <w:numId w:val="0"/>
        </w:numPr>
        <w:ind w:firstLine="640" w:firstLineChars="200"/>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澧水（津市段）沿河农村生活污水处理一期工程项目财政资金的使用符合相关法律规定；坚持突出重点，统筹安排，注重效益；坚持经济效益、社会效益和生态效益并重，促进美丽乡村建设。项目资金拨付时均根据预算方案的安排、领导的批示或会议纪要确定支出的额度，资金拔付时，实行了联审会签程序，保障了资金的公开透明。</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hint="eastAsia" w:eastAsia="仿宋_GB2312"/>
          <w:sz w:val="32"/>
          <w:szCs w:val="32"/>
          <w:lang w:eastAsia="zh-CN"/>
        </w:rPr>
      </w:pPr>
      <w:r>
        <w:rPr>
          <w:rFonts w:eastAsia="仿宋_GB2312"/>
          <w:sz w:val="32"/>
          <w:szCs w:val="32"/>
        </w:rPr>
        <w:t>项目组织实施情况</w:t>
      </w:r>
      <w:r>
        <w:rPr>
          <w:rFonts w:hint="eastAsia" w:eastAsia="仿宋_GB2312"/>
          <w:sz w:val="32"/>
          <w:szCs w:val="32"/>
          <w:lang w:eastAsia="zh-CN"/>
        </w:rPr>
        <w:t>。</w:t>
      </w:r>
    </w:p>
    <w:p>
      <w:pPr>
        <w:adjustRightInd w:val="0"/>
        <w:snapToGrid w:val="0"/>
        <w:spacing w:line="600" w:lineRule="exact"/>
        <w:ind w:firstLine="640" w:firstLineChars="200"/>
        <w:rPr>
          <w:rFonts w:hint="eastAsia" w:eastAsia="仿宋_GB2312"/>
          <w:sz w:val="32"/>
          <w:szCs w:val="32"/>
          <w:lang w:eastAsia="zh-CN"/>
        </w:rPr>
      </w:pPr>
      <w:r>
        <w:rPr>
          <w:rFonts w:hint="eastAsia" w:ascii="Times New Roman" w:hAnsi="Times New Roman" w:eastAsia="仿宋_GB2312" w:cs="Times New Roman"/>
          <w:kern w:val="2"/>
          <w:sz w:val="32"/>
          <w:szCs w:val="32"/>
          <w:lang w:val="en-US" w:eastAsia="zh-CN" w:bidi="ar-SA"/>
        </w:rPr>
        <w:t>澧水（津市段）沿河农村生活污水处理一期工程项目于</w:t>
      </w:r>
      <w:r>
        <w:rPr>
          <w:rFonts w:hint="eastAsia" w:eastAsia="仿宋_GB2312" w:cs="Times New Roman"/>
          <w:kern w:val="2"/>
          <w:sz w:val="32"/>
          <w:szCs w:val="32"/>
          <w:lang w:val="en-US" w:eastAsia="zh-CN" w:bidi="ar-SA"/>
        </w:rPr>
        <w:t>2021年3月8日开标，中标单位为湖南净源环境工程有限公司津市分公司，同月项目开始施工，</w:t>
      </w:r>
      <w:r>
        <w:rPr>
          <w:rFonts w:hint="eastAsia" w:ascii="Times New Roman" w:hAnsi="Times New Roman" w:eastAsia="仿宋_GB2312" w:cs="Times New Roman"/>
          <w:kern w:val="2"/>
          <w:sz w:val="32"/>
          <w:szCs w:val="32"/>
          <w:lang w:val="en-US" w:eastAsia="zh-CN" w:bidi="ar-SA"/>
        </w:rPr>
        <w:t>2021年8月25日进行</w:t>
      </w:r>
      <w:r>
        <w:rPr>
          <w:rFonts w:hint="eastAsia" w:eastAsia="仿宋_GB2312" w:cs="Times New Roman"/>
          <w:kern w:val="2"/>
          <w:sz w:val="32"/>
          <w:szCs w:val="32"/>
          <w:lang w:val="en-US" w:eastAsia="zh-CN" w:bidi="ar-SA"/>
        </w:rPr>
        <w:t>财政</w:t>
      </w:r>
      <w:r>
        <w:rPr>
          <w:rFonts w:hint="eastAsia" w:ascii="Times New Roman" w:hAnsi="Times New Roman" w:eastAsia="仿宋_GB2312" w:cs="Times New Roman"/>
          <w:kern w:val="2"/>
          <w:sz w:val="32"/>
          <w:szCs w:val="32"/>
          <w:lang w:val="en-US" w:eastAsia="zh-CN" w:bidi="ar-SA"/>
        </w:rPr>
        <w:t>预算评审</w:t>
      </w:r>
      <w:r>
        <w:rPr>
          <w:rFonts w:hint="eastAsia" w:eastAsia="仿宋_GB2312" w:cs="Times New Roman"/>
          <w:kern w:val="2"/>
          <w:sz w:val="32"/>
          <w:szCs w:val="32"/>
          <w:lang w:val="en-US" w:eastAsia="zh-CN" w:bidi="ar-SA"/>
        </w:rPr>
        <w:t>，金额为806</w:t>
      </w:r>
      <w:r>
        <w:rPr>
          <w:rFonts w:hint="eastAsia" w:ascii="Times New Roman" w:hAnsi="Times New Roman" w:eastAsia="仿宋_GB2312" w:cs="Times New Roman"/>
          <w:kern w:val="2"/>
          <w:sz w:val="32"/>
          <w:szCs w:val="32"/>
          <w:lang w:val="en-US" w:eastAsia="zh-CN" w:bidi="ar-SA"/>
        </w:rPr>
        <w:t>2039.80</w:t>
      </w:r>
      <w:r>
        <w:rPr>
          <w:rFonts w:hint="eastAsia" w:eastAsia="仿宋_GB2312" w:cs="Times New Roman"/>
          <w:kern w:val="2"/>
          <w:sz w:val="32"/>
          <w:szCs w:val="32"/>
          <w:lang w:val="en-US" w:eastAsia="zh-CN" w:bidi="ar-SA"/>
        </w:rPr>
        <w:t>元</w:t>
      </w:r>
      <w:r>
        <w:rPr>
          <w:rFonts w:eastAsia="仿宋_GB2312"/>
          <w:sz w:val="32"/>
          <w:szCs w:val="32"/>
        </w:rPr>
        <w:t>，</w:t>
      </w:r>
      <w:r>
        <w:rPr>
          <w:rFonts w:hint="eastAsia" w:eastAsia="仿宋_GB2312"/>
          <w:sz w:val="32"/>
          <w:szCs w:val="32"/>
          <w:lang w:eastAsia="zh-CN"/>
        </w:rPr>
        <w:t>该项目目前已经基本完工，暂未进行财政审计决算评审。</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lang w:val="en-US" w:eastAsia="zh-CN"/>
        </w:rPr>
      </w:pPr>
      <w:r>
        <w:rPr>
          <w:rFonts w:hint="eastAsia" w:ascii="Times New Roman" w:hAnsi="Times New Roman" w:eastAsia="仿宋_GB2312" w:cs="Times New Roman"/>
          <w:kern w:val="2"/>
          <w:sz w:val="32"/>
          <w:szCs w:val="32"/>
          <w:lang w:val="en-US" w:eastAsia="zh-CN" w:bidi="ar-SA"/>
        </w:rPr>
        <w:t>澧水（津市段）沿河农村生活污水处理一期工程项目严格按照预算标准进行成本控制，没有超出预算总额，符合预期标准</w:t>
      </w:r>
      <w:bookmarkStart w:id="0" w:name="_GoBack"/>
      <w:bookmarkEnd w:id="0"/>
      <w:r>
        <w:rPr>
          <w:rFonts w:hint="eastAsia" w:ascii="Times New Roman" w:hAnsi="Times New Roman" w:eastAsia="仿宋_GB2312" w:cs="Times New Roman"/>
          <w:kern w:val="2"/>
          <w:sz w:val="32"/>
          <w:szCs w:val="32"/>
          <w:lang w:val="en-US" w:eastAsia="zh-CN" w:bidi="ar-SA"/>
        </w:rPr>
        <w:t>，</w:t>
      </w:r>
      <w:r>
        <w:rPr>
          <w:rFonts w:hint="eastAsia" w:eastAsia="仿宋_GB2312"/>
          <w:sz w:val="32"/>
          <w:szCs w:val="32"/>
          <w:lang w:eastAsia="zh-CN"/>
        </w:rPr>
        <w:t>项目建成后生活污水处理率达到了</w:t>
      </w:r>
      <w:r>
        <w:rPr>
          <w:rFonts w:hint="eastAsia" w:eastAsia="仿宋_GB2312"/>
          <w:sz w:val="32"/>
          <w:szCs w:val="32"/>
          <w:lang w:val="en-US" w:eastAsia="zh-CN"/>
        </w:rPr>
        <w:t>100%，彻底解决了该地生活污水的问题，</w:t>
      </w:r>
      <w:r>
        <w:rPr>
          <w:rFonts w:hint="eastAsia" w:eastAsia="仿宋_GB2312"/>
          <w:sz w:val="32"/>
          <w:szCs w:val="32"/>
          <w:lang w:eastAsia="zh-CN"/>
        </w:rPr>
        <w:t>实现农村生活污水有序排放，</w:t>
      </w:r>
      <w:r>
        <w:rPr>
          <w:rFonts w:hint="eastAsia" w:eastAsia="仿宋_GB2312"/>
          <w:sz w:val="32"/>
          <w:szCs w:val="32"/>
          <w:lang w:val="en-US" w:eastAsia="zh-CN"/>
        </w:rPr>
        <w:t>改善了沿河居民的居住环境和生活环境，提升居民的幸福感，符合预期目标。</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eastAsia="黑体"/>
          <w:sz w:val="32"/>
          <w:szCs w:val="32"/>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4"/>
        <w:tblW w:w="9999" w:type="dxa"/>
        <w:jc w:val="center"/>
        <w:tblLayout w:type="autofit"/>
        <w:tblCellMar>
          <w:top w:w="0" w:type="dxa"/>
          <w:left w:w="108" w:type="dxa"/>
          <w:bottom w:w="0" w:type="dxa"/>
          <w:right w:w="108" w:type="dxa"/>
        </w:tblCellMar>
      </w:tblPr>
      <w:tblGrid>
        <w:gridCol w:w="1135"/>
        <w:gridCol w:w="992"/>
        <w:gridCol w:w="1261"/>
        <w:gridCol w:w="1224"/>
        <w:gridCol w:w="1134"/>
        <w:gridCol w:w="1134"/>
        <w:gridCol w:w="828"/>
        <w:gridCol w:w="873"/>
        <w:gridCol w:w="1418"/>
      </w:tblGrid>
      <w:tr>
        <w:tblPrEx>
          <w:tblCellMar>
            <w:top w:w="0" w:type="dxa"/>
            <w:left w:w="108" w:type="dxa"/>
            <w:bottom w:w="0" w:type="dxa"/>
            <w:right w:w="108" w:type="dxa"/>
          </w:tblCellMar>
        </w:tblPrEx>
        <w:trPr>
          <w:trHeight w:val="1053"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864"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kern w:val="2"/>
                <w:sz w:val="24"/>
                <w:szCs w:val="24"/>
                <w:lang w:val="en-US" w:eastAsia="zh-CN" w:bidi="ar-SA"/>
              </w:rPr>
              <w:t>澧水（津市段）沿河农村生活污水处理一期工程项目</w:t>
            </w:r>
            <w:r>
              <w:rPr>
                <w:rFonts w:eastAsia="仿宋_GB2312"/>
                <w:color w:val="000000"/>
                <w:kern w:val="0"/>
                <w:sz w:val="24"/>
                <w:szCs w:val="24"/>
              </w:rPr>
              <w:t>　</w:t>
            </w:r>
          </w:p>
        </w:tc>
      </w:tr>
      <w:tr>
        <w:tblPrEx>
          <w:tblCellMar>
            <w:top w:w="0" w:type="dxa"/>
            <w:left w:w="108" w:type="dxa"/>
            <w:bottom w:w="0" w:type="dxa"/>
            <w:right w:w="108" w:type="dxa"/>
          </w:tblCellMar>
        </w:tblPrEx>
        <w:trPr>
          <w:trHeight w:val="340" w:hRule="atLeast"/>
          <w:jc w:val="center"/>
        </w:trPr>
        <w:tc>
          <w:tcPr>
            <w:tcW w:w="1135"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611"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津市市环保局</w:t>
            </w:r>
          </w:p>
        </w:tc>
        <w:tc>
          <w:tcPr>
            <w:tcW w:w="1134"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津市市毛里湖镇人民政府</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项目资金</w:t>
            </w:r>
            <w:r>
              <w:rPr>
                <w:rFonts w:eastAsia="仿宋_GB2312"/>
                <w:color w:val="000000"/>
                <w:kern w:val="0"/>
                <w:szCs w:val="21"/>
              </w:rPr>
              <w:br w:type="textWrapping"/>
            </w:r>
            <w:r>
              <w:rPr>
                <w:rFonts w:eastAsia="仿宋_GB2312"/>
                <w:color w:val="000000"/>
                <w:kern w:val="0"/>
                <w:szCs w:val="21"/>
              </w:rPr>
              <w:t>（万元）</w:t>
            </w: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134"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82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873"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418"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55"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tabs>
                <w:tab w:val="center" w:pos="504"/>
              </w:tabs>
              <w:jc w:val="left"/>
              <w:rPr>
                <w:rFonts w:hint="default" w:eastAsia="仿宋_GB2312"/>
                <w:color w:val="000000"/>
                <w:kern w:val="0"/>
                <w:sz w:val="11"/>
                <w:szCs w:val="11"/>
                <w:lang w:val="en-US" w:eastAsia="zh-CN"/>
              </w:rPr>
            </w:pPr>
            <w:r>
              <w:rPr>
                <w:rFonts w:eastAsia="仿宋_GB2312"/>
                <w:color w:val="000000"/>
                <w:kern w:val="0"/>
                <w:szCs w:val="21"/>
              </w:rPr>
              <w:t>　</w:t>
            </w:r>
            <w:r>
              <w:rPr>
                <w:rFonts w:hint="eastAsia" w:ascii="Times New Roman" w:hAnsi="Times New Roman" w:eastAsia="仿宋_GB2312" w:cs="Times New Roman"/>
                <w:kern w:val="2"/>
                <w:sz w:val="22"/>
                <w:szCs w:val="22"/>
                <w:lang w:val="en-US" w:eastAsia="zh-CN" w:bidi="ar-SA"/>
              </w:rPr>
              <w:t>806.20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806.20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 w:val="16"/>
                <w:szCs w:val="16"/>
                <w:lang w:val="en-US"/>
              </w:rPr>
            </w:pPr>
            <w:r>
              <w:rPr>
                <w:rFonts w:eastAsia="仿宋_GB2312"/>
                <w:color w:val="000000"/>
                <w:kern w:val="0"/>
                <w:sz w:val="16"/>
                <w:szCs w:val="16"/>
              </w:rPr>
              <w:t>　</w:t>
            </w:r>
            <w:r>
              <w:rPr>
                <w:rFonts w:hint="eastAsia" w:ascii="Times New Roman" w:hAnsi="Times New Roman" w:eastAsia="仿宋_GB2312" w:cs="Times New Roman"/>
                <w:kern w:val="2"/>
                <w:sz w:val="22"/>
                <w:szCs w:val="22"/>
                <w:lang w:val="en-US" w:eastAsia="zh-CN" w:bidi="ar-SA"/>
              </w:rPr>
              <w:t>734.22</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91%</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w:t>
            </w:r>
          </w:p>
        </w:tc>
      </w:tr>
      <w:tr>
        <w:tblPrEx>
          <w:tblCellMar>
            <w:top w:w="0" w:type="dxa"/>
            <w:left w:w="108" w:type="dxa"/>
            <w:bottom w:w="0" w:type="dxa"/>
            <w:right w:w="108" w:type="dxa"/>
          </w:tblCellMar>
        </w:tblPrEx>
        <w:trPr>
          <w:trHeight w:val="34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806.20</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806.20</w:t>
            </w:r>
          </w:p>
        </w:tc>
        <w:tc>
          <w:tcPr>
            <w:tcW w:w="1134"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16"/>
                <w:szCs w:val="16"/>
                <w:lang w:val="en-US" w:eastAsia="zh-CN" w:bidi="ar-SA"/>
              </w:rPr>
            </w:pPr>
            <w:r>
              <w:rPr>
                <w:rFonts w:eastAsia="仿宋_GB2312"/>
                <w:color w:val="000000"/>
                <w:kern w:val="0"/>
                <w:sz w:val="16"/>
                <w:szCs w:val="16"/>
              </w:rPr>
              <w:t>　</w:t>
            </w:r>
            <w:r>
              <w:rPr>
                <w:rFonts w:hint="eastAsia" w:ascii="Times New Roman" w:hAnsi="Times New Roman" w:eastAsia="仿宋_GB2312" w:cs="Times New Roman"/>
                <w:kern w:val="2"/>
                <w:sz w:val="22"/>
                <w:szCs w:val="22"/>
                <w:lang w:val="en-US" w:eastAsia="zh-CN" w:bidi="ar-SA"/>
              </w:rPr>
              <w:t>734.22</w:t>
            </w:r>
          </w:p>
        </w:tc>
        <w:tc>
          <w:tcPr>
            <w:tcW w:w="828" w:type="dxa"/>
            <w:tcBorders>
              <w:top w:val="nil"/>
              <w:left w:val="nil"/>
              <w:bottom w:val="single" w:color="auto" w:sz="4" w:space="0"/>
              <w:right w:val="single" w:color="auto" w:sz="4" w:space="0"/>
            </w:tcBorders>
            <w:noWrap w:val="0"/>
            <w:vAlign w:val="center"/>
          </w:tcPr>
          <w:p>
            <w:pPr>
              <w:widowControl/>
              <w:jc w:val="left"/>
              <w:rPr>
                <w:rFonts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10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91%</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eastAsia="仿宋_GB2312"/>
                <w:color w:val="000000"/>
                <w:kern w:val="0"/>
                <w:szCs w:val="21"/>
              </w:rPr>
              <w:t>　</w:t>
            </w:r>
            <w:r>
              <w:rPr>
                <w:rFonts w:hint="eastAsia" w:eastAsia="仿宋_GB2312"/>
                <w:color w:val="000000"/>
                <w:kern w:val="0"/>
                <w:szCs w:val="21"/>
                <w:lang w:val="en-US" w:eastAsia="zh-CN"/>
              </w:rPr>
              <w:t>9</w:t>
            </w:r>
          </w:p>
        </w:tc>
      </w:tr>
      <w:tr>
        <w:tblPrEx>
          <w:tblCellMar>
            <w:top w:w="0" w:type="dxa"/>
            <w:left w:w="108" w:type="dxa"/>
            <w:bottom w:w="0" w:type="dxa"/>
            <w:right w:w="108" w:type="dxa"/>
          </w:tblCellMar>
        </w:tblPrEx>
        <w:trPr>
          <w:trHeight w:val="28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50" w:hRule="atLeast"/>
          <w:jc w:val="center"/>
        </w:trPr>
        <w:tc>
          <w:tcPr>
            <w:tcW w:w="113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253"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13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532" w:hRule="atLeast"/>
          <w:jc w:val="center"/>
        </w:trPr>
        <w:tc>
          <w:tcPr>
            <w:tcW w:w="1135"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611" w:type="dxa"/>
            <w:gridSpan w:val="4"/>
            <w:tcBorders>
              <w:top w:val="single" w:color="auto" w:sz="4" w:space="0"/>
              <w:left w:val="nil"/>
              <w:bottom w:val="single" w:color="auto" w:sz="4" w:space="0"/>
              <w:right w:val="single" w:color="000000" w:sz="4" w:space="0"/>
            </w:tcBorders>
            <w:noWrap w:val="0"/>
            <w:vAlign w:val="center"/>
          </w:tcPr>
          <w:p>
            <w:pPr>
              <w:widowControl/>
              <w:jc w:val="left"/>
              <w:rPr>
                <w:rFonts w:eastAsia="仿宋_GB2312"/>
                <w:color w:val="000000"/>
                <w:kern w:val="0"/>
                <w:szCs w:val="21"/>
              </w:rPr>
            </w:pPr>
            <w:r>
              <w:rPr>
                <w:rFonts w:hint="eastAsia" w:eastAsia="仿宋_GB2312"/>
                <w:sz w:val="21"/>
                <w:szCs w:val="21"/>
                <w:lang w:eastAsia="zh-CN"/>
              </w:rPr>
              <w:t>强化农村污染源头限制与治理，实现农村生活污水有序排放，改善农村人居生活环境，提高农村居民生活质量，提升中小河道水质环境，促进美丽乡村建设。</w:t>
            </w:r>
            <w:r>
              <w:rPr>
                <w:rFonts w:eastAsia="仿宋_GB2312"/>
                <w:color w:val="000000"/>
                <w:kern w:val="0"/>
                <w:szCs w:val="21"/>
              </w:rPr>
              <w:t>　</w:t>
            </w:r>
          </w:p>
        </w:tc>
        <w:tc>
          <w:tcPr>
            <w:tcW w:w="4253"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项目已经全部竣工。</w:t>
            </w:r>
          </w:p>
        </w:tc>
      </w:tr>
      <w:tr>
        <w:tblPrEx>
          <w:tblCellMar>
            <w:top w:w="0" w:type="dxa"/>
            <w:left w:w="108" w:type="dxa"/>
            <w:bottom w:w="0" w:type="dxa"/>
            <w:right w:w="108" w:type="dxa"/>
          </w:tblCellMar>
        </w:tblPrEx>
        <w:trPr>
          <w:trHeight w:val="703" w:hRule="atLeast"/>
          <w:jc w:val="center"/>
        </w:trPr>
        <w:tc>
          <w:tcPr>
            <w:tcW w:w="1135"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992"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26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22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1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82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873"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418"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化粪池数量</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8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污水处理站个数</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2</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化粪池合格率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275"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污水处理达标率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工程按时完工率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29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验收及时率</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工程总额</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806.2</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806.2</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29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tabs>
                <w:tab w:val="center" w:pos="504"/>
              </w:tabs>
              <w:jc w:val="left"/>
              <w:rPr>
                <w:rFonts w:hint="eastAsia" w:eastAsia="仿宋_GB2312"/>
                <w:color w:val="000000"/>
                <w:kern w:val="0"/>
                <w:szCs w:val="21"/>
                <w:lang w:eastAsia="zh-CN"/>
              </w:rPr>
            </w:pPr>
            <w:r>
              <w:rPr>
                <w:rFonts w:hint="eastAsia" w:eastAsia="仿宋_GB2312"/>
                <w:color w:val="000000"/>
                <w:kern w:val="0"/>
                <w:szCs w:val="21"/>
                <w:lang w:eastAsia="zh-CN"/>
              </w:rPr>
              <w:t>化粪池金额</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200</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200</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restart"/>
            <w:tcBorders>
              <w:top w:val="single" w:color="auto" w:sz="4" w:space="0"/>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eastAsia="仿宋_GB2312"/>
                <w:color w:val="000000"/>
                <w:kern w:val="0"/>
                <w:szCs w:val="21"/>
              </w:rPr>
            </w:pPr>
          </w:p>
          <w:p>
            <w:pPr>
              <w:widowControl/>
              <w:jc w:val="left"/>
              <w:rPr>
                <w:rFonts w:eastAsia="仿宋_GB2312"/>
                <w:color w:val="000000"/>
                <w:kern w:val="0"/>
                <w:szCs w:val="21"/>
              </w:rPr>
            </w:pPr>
            <w:r>
              <w:rPr>
                <w:rFonts w:eastAsia="仿宋_GB2312"/>
                <w:color w:val="000000"/>
                <w:kern w:val="0"/>
                <w:szCs w:val="21"/>
              </w:rPr>
              <w:t>（30分）</w:t>
            </w:r>
          </w:p>
          <w:p>
            <w:pPr>
              <w:jc w:val="left"/>
              <w:rPr>
                <w:rFonts w:eastAsia="仿宋_GB2312"/>
                <w:color w:val="000000"/>
                <w:kern w:val="0"/>
                <w:szCs w:val="21"/>
              </w:rPr>
            </w:pPr>
            <w:r>
              <w:rPr>
                <w:rFonts w:eastAsia="仿宋_GB2312"/>
                <w:color w:val="000000"/>
                <w:kern w:val="0"/>
                <w:szCs w:val="21"/>
              </w:rPr>
              <w:t>　</w:t>
            </w: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村集体经济收益增加</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增加</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增加</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居民健康指数增加</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增加</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增加</w:t>
            </w:r>
          </w:p>
        </w:tc>
        <w:tc>
          <w:tcPr>
            <w:tcW w:w="828"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改善生态环境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改善</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改善</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992" w:type="dxa"/>
            <w:vMerge w:val="continue"/>
            <w:tcBorders>
              <w:left w:val="nil"/>
              <w:right w:val="single" w:color="auto" w:sz="4" w:space="0"/>
            </w:tcBorders>
            <w:noWrap w:val="0"/>
            <w:vAlign w:val="center"/>
          </w:tcPr>
          <w:p>
            <w:pPr>
              <w:jc w:val="left"/>
              <w:rPr>
                <w:rFonts w:eastAsia="仿宋_GB2312"/>
                <w:color w:val="000000"/>
                <w:kern w:val="0"/>
                <w:szCs w:val="21"/>
              </w:rPr>
            </w:pPr>
          </w:p>
        </w:tc>
        <w:tc>
          <w:tcPr>
            <w:tcW w:w="1261"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22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解决水体污染</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解决</w:t>
            </w:r>
          </w:p>
        </w:tc>
        <w:tc>
          <w:tcPr>
            <w:tcW w:w="1134"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解决</w:t>
            </w:r>
            <w:r>
              <w:rPr>
                <w:rFonts w:eastAsia="仿宋_GB2312"/>
                <w:color w:val="000000"/>
                <w:kern w:val="0"/>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992" w:type="dxa"/>
            <w:vMerge w:val="continue"/>
            <w:tcBorders>
              <w:left w:val="single" w:color="auto" w:sz="4" w:space="0"/>
              <w:right w:val="single" w:color="auto" w:sz="4" w:space="0"/>
            </w:tcBorders>
            <w:noWrap w:val="0"/>
            <w:vAlign w:val="center"/>
          </w:tcPr>
          <w:p>
            <w:pPr>
              <w:widowControl/>
              <w:jc w:val="left"/>
              <w:rPr>
                <w:rFonts w:eastAsia="仿宋_GB2312"/>
                <w:color w:val="000000"/>
                <w:kern w:val="0"/>
                <w:szCs w:val="21"/>
              </w:rPr>
            </w:pPr>
          </w:p>
        </w:tc>
        <w:tc>
          <w:tcPr>
            <w:tcW w:w="1261" w:type="dxa"/>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提升人居环境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1135"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992"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r>
              <w:rPr>
                <w:rFonts w:eastAsia="仿宋_GB2312"/>
                <w:color w:val="000000"/>
                <w:kern w:val="0"/>
                <w:szCs w:val="21"/>
              </w:rPr>
              <w:t>（10分）</w:t>
            </w:r>
          </w:p>
        </w:tc>
        <w:tc>
          <w:tcPr>
            <w:tcW w:w="1261" w:type="dxa"/>
            <w:tcBorders>
              <w:top w:val="nil"/>
              <w:left w:val="nil"/>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群众满意度</w:t>
            </w:r>
          </w:p>
        </w:tc>
        <w:tc>
          <w:tcPr>
            <w:tcW w:w="1134"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1134"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w:t>
            </w:r>
            <w:r>
              <w:rPr>
                <w:rFonts w:hint="eastAsia" w:eastAsia="仿宋_GB2312"/>
                <w:color w:val="000000"/>
                <w:kern w:val="0"/>
                <w:szCs w:val="21"/>
                <w:lang w:val="en-US" w:eastAsia="zh-CN"/>
              </w:rPr>
              <w:t>95%</w:t>
            </w:r>
          </w:p>
        </w:tc>
        <w:tc>
          <w:tcPr>
            <w:tcW w:w="828"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w:t>
            </w:r>
          </w:p>
        </w:tc>
        <w:tc>
          <w:tcPr>
            <w:tcW w:w="873" w:type="dxa"/>
            <w:tcBorders>
              <w:top w:val="nil"/>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4</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无</w:t>
            </w:r>
          </w:p>
        </w:tc>
      </w:tr>
      <w:tr>
        <w:tblPrEx>
          <w:tblCellMar>
            <w:top w:w="0" w:type="dxa"/>
            <w:left w:w="108" w:type="dxa"/>
            <w:bottom w:w="0" w:type="dxa"/>
            <w:right w:w="108" w:type="dxa"/>
          </w:tblCellMar>
        </w:tblPrEx>
        <w:trPr>
          <w:trHeight w:val="340" w:hRule="atLeast"/>
          <w:jc w:val="center"/>
        </w:trPr>
        <w:tc>
          <w:tcPr>
            <w:tcW w:w="6880"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98</w:t>
            </w:r>
          </w:p>
        </w:tc>
        <w:tc>
          <w:tcPr>
            <w:tcW w:w="1418"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pPr>
      <w:r>
        <w:rPr>
          <w:rFonts w:eastAsia="仿宋_GB2312"/>
          <w:sz w:val="24"/>
        </w:rPr>
        <w:t xml:space="preserve">填表人： </w:t>
      </w:r>
      <w:r>
        <w:rPr>
          <w:rFonts w:hint="eastAsia" w:eastAsia="仿宋_GB2312"/>
          <w:sz w:val="24"/>
          <w:lang w:eastAsia="zh-CN"/>
        </w:rPr>
        <w:t>杨精茁</w:t>
      </w:r>
      <w:r>
        <w:rPr>
          <w:rFonts w:eastAsia="仿宋_GB2312"/>
          <w:sz w:val="24"/>
        </w:rPr>
        <w:t xml:space="preserve">   填报日期</w:t>
      </w:r>
      <w:r>
        <w:rPr>
          <w:rFonts w:hint="eastAsia" w:eastAsia="仿宋_GB2312"/>
          <w:sz w:val="24"/>
          <w:lang w:eastAsia="zh-CN"/>
        </w:rPr>
        <w:t>：</w:t>
      </w:r>
      <w:r>
        <w:rPr>
          <w:rFonts w:eastAsia="仿宋_GB2312"/>
          <w:sz w:val="24"/>
        </w:rPr>
        <w:t xml:space="preserve"> </w:t>
      </w:r>
      <w:r>
        <w:rPr>
          <w:rFonts w:hint="eastAsia" w:eastAsia="仿宋_GB2312"/>
          <w:sz w:val="24"/>
          <w:lang w:val="en-US" w:eastAsia="zh-CN"/>
        </w:rPr>
        <w:t>2022年3月28日</w:t>
      </w:r>
      <w:r>
        <w:rPr>
          <w:rFonts w:eastAsia="仿宋_GB2312"/>
          <w:sz w:val="24"/>
        </w:rPr>
        <w:t xml:space="preserve">  联系电话： </w:t>
      </w:r>
      <w:r>
        <w:rPr>
          <w:rFonts w:hint="eastAsia" w:eastAsia="仿宋_GB2312"/>
          <w:sz w:val="24"/>
          <w:lang w:val="en-US" w:eastAsia="zh-CN"/>
        </w:rPr>
        <w:t>15574824313</w:t>
      </w:r>
      <w:r>
        <w:rPr>
          <w:rFonts w:eastAsia="仿宋_GB2312"/>
          <w:sz w:val="24"/>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A62C6E"/>
    <w:multiLevelType w:val="singleLevel"/>
    <w:tmpl w:val="21A62C6E"/>
    <w:lvl w:ilvl="0" w:tentative="0">
      <w:start w:val="3"/>
      <w:numFmt w:val="chineseCounting"/>
      <w:suff w:val="nothing"/>
      <w:lvlText w:val="（%1）"/>
      <w:lvlJc w:val="left"/>
      <w:rPr>
        <w:rFonts w:hint="eastAsia"/>
      </w:rPr>
    </w:lvl>
  </w:abstractNum>
  <w:abstractNum w:abstractNumId="1">
    <w:nsid w:val="36B58B26"/>
    <w:multiLevelType w:val="singleLevel"/>
    <w:tmpl w:val="36B58B2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9145A9F"/>
    <w:rsid w:val="0CFE4450"/>
    <w:rsid w:val="305B5409"/>
    <w:rsid w:val="3C343492"/>
    <w:rsid w:val="487D713D"/>
    <w:rsid w:val="584F2C81"/>
    <w:rsid w:val="5A363341"/>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1"/>
    <w:pPr>
      <w:spacing w:before="85"/>
      <w:ind w:left="751"/>
      <w:outlineLvl w:val="1"/>
    </w:pPr>
    <w:rPr>
      <w:rFonts w:ascii="Microsoft JhengHei" w:hAnsi="Microsoft JhengHei" w:eastAsia="Microsoft JhengHei" w:cs="Microsoft JhengHei"/>
      <w:b/>
      <w:bCs/>
      <w:sz w:val="32"/>
      <w:szCs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spacing w:before="190"/>
      <w:ind w:left="120"/>
    </w:pPr>
    <w:rPr>
      <w:rFonts w:ascii="宋体" w:hAnsi="宋体" w:eastAsia="宋体" w:cs="宋体"/>
      <w:sz w:val="32"/>
      <w:szCs w:val="32"/>
      <w:lang w:val="en-US" w:eastAsia="zh-CN" w:bidi="ar-SA"/>
    </w:rPr>
  </w:style>
  <w:style w:type="paragraph" w:styleId="6">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1794</Words>
  <Characters>1908</Characters>
  <Lines>0</Lines>
  <Paragraphs>0</Paragraphs>
  <TotalTime>12</TotalTime>
  <ScaleCrop>false</ScaleCrop>
  <LinksUpToDate>false</LinksUpToDate>
  <CharactersWithSpaces>2042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不虚度</cp:lastModifiedBy>
  <dcterms:modified xsi:type="dcterms:W3CDTF">2022-03-29T00:48:50Z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