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仿宋_GB2312"/>
          <w:sz w:val="32"/>
          <w:szCs w:val="32"/>
        </w:rPr>
      </w:pPr>
      <w:r>
        <w:rPr>
          <w:rFonts w:hint="eastAsia" w:eastAsia="方正小标宋_GBK"/>
          <w:sz w:val="36"/>
          <w:szCs w:val="36"/>
          <w:lang w:val="en-US" w:eastAsia="zh-CN"/>
        </w:rPr>
        <w:t>药山镇人民政府药山村1组至11组公路沥青铺装工程2021年度</w:t>
      </w:r>
      <w:r>
        <w:rPr>
          <w:rFonts w:hint="eastAsia" w:eastAsia="方正小标宋_GBK"/>
          <w:sz w:val="36"/>
          <w:szCs w:val="36"/>
          <w:lang w:eastAsia="zh-CN"/>
        </w:rPr>
        <w:t>项目</w:t>
      </w:r>
      <w:r>
        <w:rPr>
          <w:rFonts w:eastAsia="方正小标宋_GBK"/>
          <w:sz w:val="36"/>
          <w:szCs w:val="36"/>
        </w:rPr>
        <w:t>支出绩效报告</w:t>
      </w:r>
    </w:p>
    <w:p>
      <w:pPr>
        <w:adjustRightInd w:val="0"/>
        <w:snapToGrid w:val="0"/>
        <w:spacing w:line="600" w:lineRule="exact"/>
        <w:ind w:firstLine="640" w:firstLineChars="200"/>
        <w:rPr>
          <w:rFonts w:eastAsia="黑体"/>
          <w:sz w:val="32"/>
          <w:szCs w:val="32"/>
        </w:rPr>
      </w:pPr>
      <w:r>
        <w:rPr>
          <w:rFonts w:eastAsia="黑体"/>
          <w:sz w:val="32"/>
          <w:szCs w:val="32"/>
        </w:rPr>
        <w:t>一、</w:t>
      </w:r>
      <w:r>
        <w:rPr>
          <w:rFonts w:hint="eastAsia" w:eastAsia="黑体"/>
          <w:sz w:val="32"/>
          <w:szCs w:val="32"/>
          <w:lang w:eastAsia="zh-CN"/>
        </w:rPr>
        <w:t>项目</w:t>
      </w:r>
      <w:r>
        <w:rPr>
          <w:rFonts w:eastAsia="黑体"/>
          <w:sz w:val="32"/>
          <w:szCs w:val="32"/>
        </w:rPr>
        <w:t>支出概况</w:t>
      </w:r>
    </w:p>
    <w:p>
      <w:pPr>
        <w:adjustRightInd w:val="0"/>
        <w:snapToGrid w:val="0"/>
        <w:spacing w:line="600" w:lineRule="exact"/>
        <w:ind w:firstLine="640" w:firstLineChars="200"/>
        <w:rPr>
          <w:rFonts w:eastAsia="仿宋_GB2312"/>
          <w:sz w:val="32"/>
          <w:szCs w:val="32"/>
        </w:rPr>
      </w:pPr>
      <w:r>
        <w:rPr>
          <w:rFonts w:eastAsia="仿宋_GB2312"/>
          <w:sz w:val="32"/>
          <w:szCs w:val="32"/>
        </w:rPr>
        <w:t>（一）项目实施单位基本情况。</w:t>
      </w:r>
    </w:p>
    <w:p>
      <w:pPr>
        <w:pStyle w:val="5"/>
        <w:keepNext w:val="0"/>
        <w:keepLines w:val="0"/>
        <w:pageBreakBefore w:val="0"/>
        <w:widowControl/>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津市市药山镇人民政府为独立核算的行政单位，属一级预算单位，统一社会信用代码11430781MB0U86497B，单位负责人庹锋。</w:t>
      </w:r>
    </w:p>
    <w:p>
      <w:pPr>
        <w:keepNext w:val="0"/>
        <w:keepLines w:val="0"/>
        <w:pageBreakBefore w:val="0"/>
        <w:kinsoku/>
        <w:wordWrap/>
        <w:overflowPunct/>
        <w:topLinePunct w:val="0"/>
        <w:autoSpaceDE/>
        <w:autoSpaceDN/>
        <w:bidi w:val="0"/>
        <w:adjustRightInd w:val="0"/>
        <w:snapToGrid w:val="0"/>
        <w:spacing w:line="580" w:lineRule="exact"/>
        <w:ind w:firstLine="640" w:firstLineChars="200"/>
        <w:textAlignment w:val="auto"/>
        <w:rPr>
          <w:rFonts w:hint="eastAsia" w:ascii="仿宋_GB2312" w:hAnsi="仿宋" w:eastAsia="仿宋_GB2312" w:cs="Times New Roman"/>
          <w:kern w:val="2"/>
          <w:sz w:val="32"/>
          <w:szCs w:val="32"/>
          <w:lang w:val="en-US" w:eastAsia="zh-CN" w:bidi="ar-SA"/>
        </w:rPr>
      </w:pPr>
      <w:r>
        <w:rPr>
          <w:rFonts w:hint="eastAsia" w:ascii="仿宋_GB2312" w:hAnsi="仿宋" w:eastAsia="仿宋_GB2312"/>
          <w:sz w:val="32"/>
          <w:szCs w:val="32"/>
        </w:rPr>
        <w:t>主要职能</w:t>
      </w:r>
      <w:r>
        <w:rPr>
          <w:rFonts w:hint="eastAsia" w:ascii="仿宋_GB2312" w:hAnsi="仿宋" w:eastAsia="仿宋_GB2312"/>
          <w:sz w:val="32"/>
          <w:szCs w:val="32"/>
          <w:lang w:eastAsia="zh-CN"/>
        </w:rPr>
        <w:t>：</w:t>
      </w:r>
      <w:r>
        <w:rPr>
          <w:rFonts w:hint="eastAsia" w:ascii="仿宋_GB2312" w:hAnsi="仿宋" w:eastAsia="仿宋_GB2312" w:cs="Times New Roman"/>
          <w:kern w:val="2"/>
          <w:sz w:val="32"/>
          <w:szCs w:val="32"/>
          <w:lang w:val="en-US" w:eastAsia="zh-CN" w:bidi="ar-SA"/>
        </w:rPr>
        <w:t>负责宣传贯彻党的路线、方针、政策和国家法律法规，执行上级党委的决定和命令；负责对药山镇实施政治、思想和方针政策的领导；负责乡镇的思想政治工作和精神文明建设；负责乡镇社会治安综合治理工作；负责乡镇党风廉政建设；负责乡镇干部工作；负责乡镇基层党组织和乡镇机关支部的建设；负责对乡镇工青妇群众组织的领导；负责乡镇党的统战工作；负责乡镇和机关党员教育管理工作；负责乡镇武装部工作及完成市委交办的其他工作任务。统筹区域发展，参与拟定关于辖区发展的重大决策和建设规划并统筹落实，促进项目发展等工作。对辖区内各类行政执法工作进行统筹协调。保障村（居）自治。指导村（居）民委员会建设，健全村（居）民自治平台。</w:t>
      </w:r>
    </w:p>
    <w:p>
      <w:pPr>
        <w:pStyle w:val="2"/>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eastAsia="仿宋_GB2312"/>
          <w:sz w:val="32"/>
          <w:szCs w:val="32"/>
        </w:rPr>
      </w:pPr>
      <w:r>
        <w:rPr>
          <w:rFonts w:hint="eastAsia" w:ascii="仿宋_GB2312" w:hAnsi="仿宋" w:eastAsia="仿宋_GB2312" w:cs="Times New Roman"/>
          <w:kern w:val="2"/>
          <w:sz w:val="32"/>
          <w:szCs w:val="32"/>
          <w:lang w:val="en-US" w:eastAsia="zh-CN" w:bidi="ar-SA"/>
        </w:rPr>
        <w:t>根据编委核定，本单位下辖内设机构：党政办公室、党建办公室、经济发展办公室、平安建设和应急管理办公室、自然资源和生态环境办公室、社会事务办公室；事业站所：综合行政执法队、政务服务中心、农业综合服务中心、社会事务综合服务中心、退役军人服务站。</w:t>
      </w:r>
    </w:p>
    <w:p>
      <w:pPr>
        <w:numPr>
          <w:ilvl w:val="0"/>
          <w:numId w:val="1"/>
        </w:numPr>
        <w:adjustRightInd w:val="0"/>
        <w:snapToGrid w:val="0"/>
        <w:spacing w:line="600" w:lineRule="exact"/>
        <w:ind w:firstLine="640" w:firstLineChars="200"/>
        <w:rPr>
          <w:rFonts w:eastAsia="仿宋_GB2312"/>
          <w:sz w:val="32"/>
          <w:szCs w:val="32"/>
        </w:rPr>
      </w:pPr>
      <w:r>
        <w:rPr>
          <w:rFonts w:hint="eastAsia" w:eastAsia="仿宋_GB2312"/>
          <w:sz w:val="32"/>
          <w:szCs w:val="32"/>
          <w:lang w:eastAsia="zh-CN"/>
        </w:rPr>
        <w:t>项目</w:t>
      </w:r>
      <w:r>
        <w:rPr>
          <w:rFonts w:eastAsia="仿宋_GB2312"/>
          <w:sz w:val="32"/>
          <w:szCs w:val="32"/>
        </w:rPr>
        <w:t>基本情况</w:t>
      </w:r>
    </w:p>
    <w:p>
      <w:pPr>
        <w:pStyle w:val="2"/>
        <w:rPr>
          <w:rFonts w:hint="default" w:eastAsia="仿宋_GB2312"/>
          <w:lang w:val="en-US" w:eastAsia="zh-CN"/>
        </w:rPr>
      </w:pPr>
      <w:r>
        <w:rPr>
          <w:rFonts w:hint="eastAsia" w:eastAsia="仿宋_GB2312"/>
          <w:sz w:val="32"/>
          <w:szCs w:val="32"/>
          <w:lang w:val="en-US" w:eastAsia="zh-CN"/>
        </w:rPr>
        <w:t xml:space="preserve">    药山镇药山村1组至11组公路沥青铺装工程，总长度1200米；新增平篦雨水口共计42处，通过此项目的实施，将使环镇公路达到美化、亮化、绿化、净化、整洁、通畅的居民安居要求。</w:t>
      </w:r>
    </w:p>
    <w:p>
      <w:pPr>
        <w:numPr>
          <w:ilvl w:val="0"/>
          <w:numId w:val="1"/>
        </w:numPr>
        <w:adjustRightInd w:val="0"/>
        <w:snapToGrid w:val="0"/>
        <w:spacing w:line="600" w:lineRule="exact"/>
        <w:ind w:left="0" w:leftChars="0" w:firstLine="640" w:firstLineChars="200"/>
        <w:rPr>
          <w:rFonts w:eastAsia="仿宋_GB2312"/>
          <w:sz w:val="32"/>
          <w:szCs w:val="32"/>
        </w:rPr>
      </w:pPr>
      <w:r>
        <w:rPr>
          <w:rFonts w:hint="eastAsia" w:eastAsia="仿宋_GB2312"/>
          <w:sz w:val="32"/>
          <w:szCs w:val="32"/>
          <w:lang w:eastAsia="zh-CN"/>
        </w:rPr>
        <w:t>项目</w:t>
      </w:r>
      <w:r>
        <w:rPr>
          <w:rFonts w:eastAsia="仿宋_GB2312"/>
          <w:sz w:val="32"/>
          <w:szCs w:val="32"/>
        </w:rPr>
        <w:t>绩效目标，包括总体目标和年度目标。</w:t>
      </w:r>
    </w:p>
    <w:p>
      <w:pPr>
        <w:pStyle w:val="2"/>
        <w:numPr>
          <w:ilvl w:val="0"/>
          <w:numId w:val="0"/>
        </w:numPr>
        <w:ind w:leftChars="200"/>
        <w:rPr>
          <w:rFonts w:hint="default" w:eastAsia="宋体"/>
          <w:lang w:val="en-US" w:eastAsia="zh-CN"/>
        </w:rPr>
      </w:pPr>
      <w:r>
        <w:rPr>
          <w:rFonts w:hint="eastAsia" w:ascii="仿宋" w:hAnsi="仿宋" w:eastAsia="仿宋" w:cs="仿宋"/>
          <w:lang w:val="en-US" w:eastAsia="zh-CN"/>
        </w:rPr>
        <w:t xml:space="preserve"> 在一定程度上改善了城乡建设面貌，可以提高居民生活质量和品位，提升乡镇整体形象，居民的居住条件和生活环境将得到进一步的改善</w:t>
      </w:r>
    </w:p>
    <w:p>
      <w:pPr>
        <w:adjustRightInd w:val="0"/>
        <w:snapToGrid w:val="0"/>
        <w:spacing w:line="600" w:lineRule="exact"/>
        <w:ind w:firstLine="640" w:firstLineChars="200"/>
        <w:rPr>
          <w:rFonts w:eastAsia="黑体"/>
          <w:sz w:val="32"/>
          <w:szCs w:val="32"/>
        </w:rPr>
      </w:pPr>
      <w:r>
        <w:rPr>
          <w:rFonts w:eastAsia="黑体"/>
          <w:sz w:val="32"/>
          <w:szCs w:val="32"/>
        </w:rPr>
        <w:t>二、</w:t>
      </w:r>
      <w:r>
        <w:rPr>
          <w:rFonts w:hint="eastAsia" w:eastAsia="黑体"/>
          <w:sz w:val="32"/>
          <w:szCs w:val="32"/>
          <w:lang w:eastAsia="zh-CN"/>
        </w:rPr>
        <w:t>项目</w:t>
      </w:r>
      <w:r>
        <w:rPr>
          <w:rFonts w:eastAsia="黑体"/>
          <w:sz w:val="32"/>
          <w:szCs w:val="32"/>
        </w:rPr>
        <w:t>资金使用及管理情况</w:t>
      </w:r>
    </w:p>
    <w:p>
      <w:pPr>
        <w:adjustRightInd w:val="0"/>
        <w:snapToGrid w:val="0"/>
        <w:spacing w:line="600" w:lineRule="exact"/>
        <w:ind w:firstLine="640" w:firstLineChars="200"/>
        <w:rPr>
          <w:rFonts w:eastAsia="仿宋_GB2312"/>
          <w:sz w:val="32"/>
          <w:szCs w:val="32"/>
        </w:rPr>
      </w:pPr>
      <w:r>
        <w:rPr>
          <w:rFonts w:eastAsia="仿宋_GB2312"/>
          <w:sz w:val="32"/>
          <w:szCs w:val="32"/>
        </w:rPr>
        <w:t>（一）</w:t>
      </w:r>
      <w:r>
        <w:rPr>
          <w:rFonts w:hint="eastAsia" w:eastAsia="仿宋_GB2312"/>
          <w:sz w:val="32"/>
          <w:szCs w:val="32"/>
          <w:lang w:eastAsia="zh-CN"/>
        </w:rPr>
        <w:t>项目</w:t>
      </w:r>
      <w:r>
        <w:rPr>
          <w:rFonts w:eastAsia="仿宋_GB2312"/>
          <w:sz w:val="32"/>
          <w:szCs w:val="32"/>
        </w:rPr>
        <w:t>资金及自筹资金的安排落实、总投入等情况。</w:t>
      </w:r>
    </w:p>
    <w:p>
      <w:pPr>
        <w:pStyle w:val="2"/>
        <w:rPr>
          <w:rFonts w:hint="default" w:ascii="仿宋" w:hAnsi="仿宋" w:eastAsia="仿宋" w:cs="仿宋"/>
          <w:lang w:val="en-US" w:eastAsia="zh-CN"/>
        </w:rPr>
      </w:pPr>
      <w:r>
        <w:rPr>
          <w:rFonts w:hint="eastAsia"/>
          <w:lang w:val="en-US" w:eastAsia="zh-CN"/>
        </w:rPr>
        <w:t xml:space="preserve">         </w:t>
      </w:r>
      <w:r>
        <w:rPr>
          <w:rFonts w:hint="eastAsia" w:ascii="仿宋" w:hAnsi="仿宋" w:eastAsia="仿宋" w:cs="仿宋"/>
          <w:lang w:val="en-US" w:eastAsia="zh-CN"/>
        </w:rPr>
        <w:t>项目总投资估算为124.84万元，其中，工程费106.84万元，其他费用8万元，预备费10万元</w:t>
      </w:r>
    </w:p>
    <w:p>
      <w:pPr>
        <w:numPr>
          <w:ilvl w:val="0"/>
          <w:numId w:val="2"/>
        </w:numPr>
        <w:adjustRightInd w:val="0"/>
        <w:snapToGrid w:val="0"/>
        <w:spacing w:line="600" w:lineRule="exact"/>
        <w:ind w:firstLine="640" w:firstLineChars="200"/>
        <w:rPr>
          <w:rFonts w:eastAsia="仿宋_GB2312"/>
          <w:sz w:val="32"/>
          <w:szCs w:val="32"/>
        </w:rPr>
      </w:pPr>
      <w:r>
        <w:rPr>
          <w:rFonts w:hint="eastAsia" w:eastAsia="仿宋_GB2312"/>
          <w:sz w:val="32"/>
          <w:szCs w:val="32"/>
          <w:lang w:eastAsia="zh-CN"/>
        </w:rPr>
        <w:t>项目</w:t>
      </w:r>
      <w:r>
        <w:rPr>
          <w:rFonts w:eastAsia="仿宋_GB2312"/>
          <w:sz w:val="32"/>
          <w:szCs w:val="32"/>
        </w:rPr>
        <w:t>资金实际使用情况。</w:t>
      </w:r>
    </w:p>
    <w:p>
      <w:pPr>
        <w:pStyle w:val="2"/>
        <w:numPr>
          <w:ilvl w:val="0"/>
          <w:numId w:val="0"/>
        </w:numPr>
        <w:ind w:firstLine="640" w:firstLineChars="200"/>
      </w:pPr>
      <w:r>
        <w:rPr>
          <w:rFonts w:hint="eastAsia" w:eastAsia="仿宋_GB2312"/>
          <w:sz w:val="32"/>
          <w:szCs w:val="32"/>
          <w:lang w:eastAsia="zh-CN"/>
        </w:rPr>
        <w:t>该项目通过竞争性谈判成交价格</w:t>
      </w:r>
      <w:r>
        <w:rPr>
          <w:rFonts w:hint="eastAsia" w:eastAsia="仿宋_GB2312"/>
          <w:sz w:val="32"/>
          <w:szCs w:val="32"/>
          <w:lang w:val="en-US" w:eastAsia="zh-CN"/>
        </w:rPr>
        <w:t>983860元，最终结算价格为952145.44元。</w:t>
      </w:r>
      <w:r>
        <w:rPr>
          <w:rFonts w:hint="eastAsia"/>
          <w:lang w:val="en-US" w:eastAsia="zh-CN"/>
        </w:rPr>
        <w:t xml:space="preserve">        </w:t>
      </w:r>
    </w:p>
    <w:p>
      <w:pPr>
        <w:numPr>
          <w:ilvl w:val="0"/>
          <w:numId w:val="0"/>
        </w:numPr>
        <w:adjustRightInd w:val="0"/>
        <w:snapToGrid w:val="0"/>
        <w:spacing w:line="600" w:lineRule="exact"/>
        <w:ind w:leftChars="200" w:firstLine="320" w:firstLineChars="100"/>
        <w:rPr>
          <w:rFonts w:eastAsia="仿宋_GB2312"/>
          <w:sz w:val="32"/>
          <w:szCs w:val="32"/>
        </w:rPr>
      </w:pPr>
      <w:r>
        <w:rPr>
          <w:rFonts w:hint="eastAsia" w:eastAsia="仿宋_GB2312"/>
          <w:sz w:val="32"/>
          <w:szCs w:val="32"/>
          <w:lang w:eastAsia="zh-CN"/>
        </w:rPr>
        <w:t>（三）项目</w:t>
      </w:r>
      <w:r>
        <w:rPr>
          <w:rFonts w:eastAsia="仿宋_GB2312"/>
          <w:sz w:val="32"/>
          <w:szCs w:val="32"/>
        </w:rPr>
        <w:t>资金管理情况分析，主要包括管理制度、办法的制订及执行情况。</w:t>
      </w:r>
    </w:p>
    <w:p>
      <w:pPr>
        <w:pStyle w:val="2"/>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 w:eastAsia="仿宋_GB2312" w:cs="Times New Roman"/>
          <w:kern w:val="2"/>
          <w:sz w:val="32"/>
          <w:szCs w:val="32"/>
          <w:lang w:val="en-US" w:eastAsia="zh-CN" w:bidi="ar-SA"/>
        </w:rPr>
      </w:pPr>
      <w:r>
        <w:rPr>
          <w:rFonts w:hint="eastAsia" w:ascii="仿宋_GB2312" w:hAnsi="仿宋" w:eastAsia="仿宋_GB2312" w:cs="Times New Roman"/>
          <w:kern w:val="2"/>
          <w:sz w:val="32"/>
          <w:szCs w:val="32"/>
          <w:lang w:val="en-US" w:eastAsia="zh-CN" w:bidi="ar-SA"/>
        </w:rPr>
        <w:t>资金管理制度：药山镇人民政府药山村1组至11组</w:t>
      </w:r>
      <w:r>
        <w:rPr>
          <w:rFonts w:hint="eastAsia" w:ascii="仿宋" w:hAnsi="仿宋" w:eastAsia="仿宋" w:cs="仿宋"/>
          <w:sz w:val="32"/>
          <w:szCs w:val="32"/>
          <w:lang w:val="en-US" w:eastAsia="zh-CN"/>
        </w:rPr>
        <w:t>公路沥青铺装工程</w:t>
      </w:r>
      <w:r>
        <w:rPr>
          <w:rFonts w:hint="eastAsia" w:ascii="仿宋_GB2312" w:hAnsi="仿宋" w:eastAsia="仿宋_GB2312" w:cs="Times New Roman"/>
          <w:kern w:val="2"/>
          <w:sz w:val="32"/>
          <w:szCs w:val="32"/>
          <w:lang w:val="en-US" w:eastAsia="zh-CN" w:bidi="ar-SA"/>
        </w:rPr>
        <w:t>建设资金单独管理、单独核算、单独使用的管理方式，专款专用。通过市评审中心进行预算评审，通过公开招标，确定施工单位。</w:t>
      </w:r>
    </w:p>
    <w:p>
      <w:pPr>
        <w:pStyle w:val="2"/>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pPr>
      <w:r>
        <w:rPr>
          <w:rFonts w:hint="eastAsia" w:ascii="仿宋_GB2312" w:hAnsi="仿宋" w:eastAsia="仿宋_GB2312" w:cs="Times New Roman"/>
          <w:kern w:val="2"/>
          <w:sz w:val="32"/>
          <w:szCs w:val="32"/>
          <w:lang w:val="en-US" w:eastAsia="zh-CN" w:bidi="ar-SA"/>
        </w:rPr>
        <w:t>执行情况：该项目工程完工之后由建设单位组织项目竣工验收，进行项目结算评审，依照设计、施工、采购等相关合同的约定支付给承包单位。资金应严格按照专项资金的用途使用项目资金。</w:t>
      </w:r>
    </w:p>
    <w:p>
      <w:pPr>
        <w:numPr>
          <w:ilvl w:val="0"/>
          <w:numId w:val="3"/>
        </w:numPr>
        <w:adjustRightInd w:val="0"/>
        <w:snapToGrid w:val="0"/>
        <w:spacing w:line="600" w:lineRule="exact"/>
        <w:ind w:firstLine="640" w:firstLineChars="200"/>
        <w:rPr>
          <w:rFonts w:eastAsia="黑体"/>
          <w:sz w:val="32"/>
          <w:szCs w:val="32"/>
        </w:rPr>
      </w:pPr>
      <w:r>
        <w:rPr>
          <w:rFonts w:hint="eastAsia" w:eastAsia="黑体"/>
          <w:sz w:val="32"/>
          <w:szCs w:val="32"/>
          <w:lang w:eastAsia="zh-CN"/>
        </w:rPr>
        <w:t>项目</w:t>
      </w:r>
      <w:r>
        <w:rPr>
          <w:rFonts w:eastAsia="黑体"/>
          <w:sz w:val="32"/>
          <w:szCs w:val="32"/>
        </w:rPr>
        <w:t>支出组织实施情况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仿宋_GB2312" w:hAnsi="仿宋" w:eastAsia="仿宋_GB2312" w:cs="Times New Roman"/>
          <w:kern w:val="2"/>
          <w:sz w:val="32"/>
          <w:szCs w:val="32"/>
          <w:lang w:val="en-US" w:eastAsia="zh-CN" w:bidi="ar-SA"/>
        </w:rPr>
      </w:pPr>
      <w:r>
        <w:rPr>
          <w:rFonts w:hint="eastAsia" w:eastAsia="黑体"/>
          <w:sz w:val="32"/>
          <w:szCs w:val="32"/>
          <w:lang w:val="en-US" w:eastAsia="zh-CN"/>
        </w:rPr>
        <w:t xml:space="preserve">     </w:t>
      </w:r>
      <w:r>
        <w:rPr>
          <w:rFonts w:hint="eastAsia" w:ascii="仿宋_GB2312" w:hAnsi="仿宋" w:eastAsia="仿宋_GB2312" w:cs="Times New Roman"/>
          <w:kern w:val="2"/>
          <w:sz w:val="32"/>
          <w:szCs w:val="32"/>
          <w:lang w:val="en-US" w:eastAsia="zh-CN" w:bidi="ar-SA"/>
        </w:rPr>
        <w:t>项目招投标情况：2021年11月22日于常德市公共资源交易网挂出招标公告；2021年12月8日在常德市武陵区中慧力祥项目管理有限公司会议室进行竞争性谈判，最终由湖南省津市市第六建筑工程有限公司中标。2021年12月11日开工，2021年12月30日竣工。</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default" w:ascii="仿宋" w:hAnsi="仿宋" w:eastAsia="仿宋" w:cs="仿宋"/>
          <w:lang w:val="en-US" w:eastAsia="zh-CN"/>
        </w:rPr>
      </w:pPr>
      <w:r>
        <w:rPr>
          <w:rFonts w:hint="eastAsia" w:ascii="仿宋_GB2312" w:hAnsi="仿宋" w:eastAsia="仿宋_GB2312" w:cs="Times New Roman"/>
          <w:kern w:val="2"/>
          <w:sz w:val="32"/>
          <w:szCs w:val="32"/>
          <w:lang w:val="en-US" w:eastAsia="zh-CN" w:bidi="ar-SA"/>
        </w:rPr>
        <w:t>竣工验收情况：于2022年1月中旬药山镇人民政府药山村1组至11组</w:t>
      </w:r>
      <w:r>
        <w:rPr>
          <w:rFonts w:hint="eastAsia" w:ascii="仿宋" w:hAnsi="仿宋" w:eastAsia="仿宋" w:cs="仿宋"/>
          <w:sz w:val="32"/>
          <w:szCs w:val="32"/>
          <w:lang w:val="en-US" w:eastAsia="zh-CN"/>
        </w:rPr>
        <w:t>公路沥青铺装工程组织验收，</w:t>
      </w:r>
      <w:r>
        <w:rPr>
          <w:rFonts w:hint="eastAsia" w:ascii="仿宋_GB2312" w:hAnsi="仿宋" w:eastAsia="仿宋_GB2312" w:cs="Times New Roman"/>
          <w:kern w:val="2"/>
          <w:sz w:val="32"/>
          <w:szCs w:val="32"/>
          <w:lang w:val="en-US" w:eastAsia="zh-CN" w:bidi="ar-SA"/>
        </w:rPr>
        <w:t>2022年3月津市市财政投资评审中心进行工程结算评审。</w:t>
      </w:r>
    </w:p>
    <w:p>
      <w:pPr>
        <w:pStyle w:val="2"/>
        <w:numPr>
          <w:ilvl w:val="0"/>
          <w:numId w:val="3"/>
        </w:numPr>
        <w:ind w:left="0" w:leftChars="0" w:firstLine="640" w:firstLineChars="200"/>
        <w:rPr>
          <w:rFonts w:eastAsia="黑体"/>
          <w:sz w:val="32"/>
          <w:szCs w:val="32"/>
        </w:rPr>
      </w:pPr>
      <w:r>
        <w:rPr>
          <w:rFonts w:hint="eastAsia" w:eastAsia="黑体"/>
          <w:sz w:val="32"/>
          <w:szCs w:val="32"/>
          <w:lang w:eastAsia="zh-CN"/>
        </w:rPr>
        <w:t>项目</w:t>
      </w:r>
      <w:r>
        <w:rPr>
          <w:rFonts w:eastAsia="黑体"/>
          <w:sz w:val="32"/>
          <w:szCs w:val="32"/>
        </w:rPr>
        <w:t>绩效情况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药山镇人民政府药山村1组至11组</w:t>
      </w:r>
      <w:r>
        <w:rPr>
          <w:rFonts w:hint="eastAsia" w:ascii="仿宋" w:hAnsi="仿宋" w:eastAsia="仿宋" w:cs="仿宋"/>
          <w:sz w:val="32"/>
          <w:szCs w:val="32"/>
          <w:lang w:val="en-US" w:eastAsia="zh-CN"/>
        </w:rPr>
        <w:t>公路沥青铺装工程</w:t>
      </w:r>
      <w:r>
        <w:rPr>
          <w:rFonts w:hint="eastAsia" w:ascii="仿宋" w:hAnsi="仿宋" w:eastAsia="仿宋" w:cs="仿宋"/>
          <w:kern w:val="2"/>
          <w:sz w:val="32"/>
          <w:szCs w:val="32"/>
          <w:lang w:val="en-US" w:eastAsia="zh-CN" w:bidi="ar-SA"/>
        </w:rPr>
        <w:t>工程结算金额比预算金额减少31714.56元，既做到专项资金专项使用又做到高效使用资金。严格把关工程实施全过程。</w:t>
      </w:r>
    </w:p>
    <w:p>
      <w:pPr>
        <w:pStyle w:val="2"/>
        <w:numPr>
          <w:ilvl w:val="0"/>
          <w:numId w:val="0"/>
        </w:numPr>
        <w:ind w:leftChars="200"/>
        <w:rPr>
          <w:rFonts w:eastAsia="黑体"/>
          <w:sz w:val="32"/>
          <w:szCs w:val="32"/>
        </w:rPr>
      </w:pPr>
      <w:r>
        <w:rPr>
          <w:rFonts w:hint="eastAsia" w:ascii="仿宋" w:hAnsi="仿宋" w:eastAsia="仿宋" w:cs="仿宋"/>
          <w:kern w:val="2"/>
          <w:sz w:val="32"/>
          <w:szCs w:val="32"/>
          <w:lang w:val="en-US" w:eastAsia="zh-CN" w:bidi="ar-SA"/>
        </w:rPr>
        <w:t>长期效益：本项目是为药山村提供服务的公益性项目，体现党和政府对民生工程的重视，对人民的关心，</w:t>
      </w:r>
      <w:r>
        <w:rPr>
          <w:rFonts w:hint="eastAsia" w:ascii="仿宋" w:hAnsi="仿宋" w:eastAsia="仿宋" w:cs="仿宋"/>
          <w:lang w:val="en-US" w:eastAsia="zh-CN"/>
        </w:rPr>
        <w:t>在一定程度上改善了城乡建设面貌，可以提高居民生活质量和品位，提升乡镇整体形象，居民的居住条件和生活环境将得到进一步的改善</w:t>
      </w:r>
      <w:r>
        <w:rPr>
          <w:rFonts w:hint="eastAsia" w:ascii="仿宋_GB2312" w:hAnsi="仿宋" w:eastAsia="仿宋_GB2312" w:cs="Times New Roman"/>
          <w:kern w:val="2"/>
          <w:sz w:val="32"/>
          <w:szCs w:val="32"/>
          <w:lang w:val="en-US" w:eastAsia="zh-CN" w:bidi="ar-SA"/>
        </w:rPr>
        <w:t>生活环境。</w:t>
      </w:r>
    </w:p>
    <w:p>
      <w:pPr>
        <w:adjustRightInd w:val="0"/>
        <w:snapToGrid w:val="0"/>
        <w:spacing w:line="600" w:lineRule="exact"/>
        <w:ind w:firstLine="640" w:firstLineChars="200"/>
        <w:rPr>
          <w:rFonts w:eastAsia="黑体"/>
          <w:sz w:val="32"/>
          <w:szCs w:val="32"/>
        </w:rPr>
      </w:pPr>
      <w:r>
        <w:rPr>
          <w:rFonts w:hint="eastAsia" w:eastAsia="黑体"/>
          <w:sz w:val="32"/>
          <w:szCs w:val="32"/>
          <w:lang w:eastAsia="zh-CN"/>
        </w:rPr>
        <w:t>五</w:t>
      </w:r>
      <w:r>
        <w:rPr>
          <w:rFonts w:eastAsia="黑体"/>
          <w:sz w:val="32"/>
          <w:szCs w:val="32"/>
        </w:rPr>
        <w:t>、其他需要说明的问题</w:t>
      </w:r>
    </w:p>
    <w:p>
      <w:pPr>
        <w:adjustRightInd w:val="0"/>
        <w:snapToGrid w:val="0"/>
        <w:spacing w:line="600" w:lineRule="exact"/>
        <w:ind w:firstLine="960" w:firstLineChars="3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adjustRightInd w:val="0"/>
        <w:snapToGrid w:val="0"/>
        <w:spacing w:line="600" w:lineRule="exact"/>
        <w:ind w:firstLine="640" w:firstLineChars="200"/>
        <w:rPr>
          <w:rFonts w:eastAsia="黑体"/>
          <w:sz w:val="32"/>
          <w:szCs w:val="32"/>
        </w:rPr>
      </w:pPr>
    </w:p>
    <w:p>
      <w:pPr>
        <w:adjustRightInd w:val="0"/>
        <w:snapToGrid w:val="0"/>
        <w:spacing w:line="600" w:lineRule="exact"/>
        <w:ind w:firstLine="640" w:firstLineChars="200"/>
        <w:rPr>
          <w:rFonts w:eastAsia="仿宋_GB2312"/>
          <w:sz w:val="32"/>
          <w:szCs w:val="32"/>
        </w:rPr>
      </w:pPr>
    </w:p>
    <w:p>
      <w:pPr>
        <w:adjustRightInd w:val="0"/>
        <w:snapToGrid w:val="0"/>
        <w:spacing w:line="600" w:lineRule="exact"/>
        <w:ind w:firstLine="640" w:firstLineChars="200"/>
        <w:rPr>
          <w:rFonts w:eastAsia="仿宋_GB2312"/>
          <w:sz w:val="32"/>
          <w:szCs w:val="32"/>
        </w:rPr>
        <w:sectPr>
          <w:pgSz w:w="11906" w:h="16838"/>
          <w:pgMar w:top="1440" w:right="1800" w:bottom="1440" w:left="1800" w:header="851" w:footer="992" w:gutter="0"/>
          <w:cols w:space="425" w:num="1"/>
          <w:docGrid w:type="lines" w:linePitch="312" w:charSpace="0"/>
        </w:sectPr>
      </w:pPr>
      <w:r>
        <w:rPr>
          <w:rFonts w:eastAsia="仿宋_GB2312"/>
          <w:sz w:val="32"/>
          <w:szCs w:val="32"/>
        </w:rPr>
        <w:t>附件：</w:t>
      </w:r>
      <w:r>
        <w:rPr>
          <w:rFonts w:hint="eastAsia" w:eastAsia="仿宋_GB2312"/>
          <w:sz w:val="32"/>
          <w:szCs w:val="32"/>
          <w:lang w:eastAsia="zh-CN"/>
        </w:rPr>
        <w:t>项目</w:t>
      </w:r>
      <w:r>
        <w:rPr>
          <w:rFonts w:hint="eastAsia" w:eastAsia="仿宋_GB2312"/>
          <w:sz w:val="32"/>
          <w:szCs w:val="32"/>
        </w:rPr>
        <w:t>支出绩效自评表</w:t>
      </w:r>
    </w:p>
    <w:tbl>
      <w:tblPr>
        <w:tblStyle w:val="3"/>
        <w:tblW w:w="9999" w:type="dxa"/>
        <w:jc w:val="center"/>
        <w:tblLayout w:type="autofit"/>
        <w:tblCellMar>
          <w:top w:w="0" w:type="dxa"/>
          <w:left w:w="108" w:type="dxa"/>
          <w:bottom w:w="0" w:type="dxa"/>
          <w:right w:w="108" w:type="dxa"/>
        </w:tblCellMar>
      </w:tblPr>
      <w:tblGrid>
        <w:gridCol w:w="1135"/>
        <w:gridCol w:w="992"/>
        <w:gridCol w:w="1261"/>
        <w:gridCol w:w="1224"/>
        <w:gridCol w:w="1134"/>
        <w:gridCol w:w="1134"/>
        <w:gridCol w:w="828"/>
        <w:gridCol w:w="873"/>
        <w:gridCol w:w="1418"/>
      </w:tblGrid>
      <w:tr>
        <w:tblPrEx>
          <w:tblCellMar>
            <w:top w:w="0" w:type="dxa"/>
            <w:left w:w="108" w:type="dxa"/>
            <w:bottom w:w="0" w:type="dxa"/>
            <w:right w:w="108" w:type="dxa"/>
          </w:tblCellMar>
        </w:tblPrEx>
        <w:trPr>
          <w:trHeight w:val="1165" w:hRule="atLeast"/>
          <w:jc w:val="center"/>
        </w:trPr>
        <w:tc>
          <w:tcPr>
            <w:tcW w:w="9999" w:type="dxa"/>
            <w:gridSpan w:val="9"/>
            <w:tcBorders>
              <w:top w:val="nil"/>
              <w:left w:val="nil"/>
              <w:bottom w:val="nil"/>
              <w:right w:val="nil"/>
            </w:tcBorders>
            <w:noWrap/>
            <w:vAlign w:val="center"/>
          </w:tcPr>
          <w:p>
            <w:pPr>
              <w:widowControl/>
              <w:jc w:val="both"/>
              <w:rPr>
                <w:rFonts w:hint="eastAsia" w:ascii="黑体" w:hAnsi="黑体" w:eastAsia="黑体" w:cs="黑体"/>
                <w:color w:val="000000"/>
                <w:kern w:val="0"/>
                <w:sz w:val="32"/>
                <w:szCs w:val="32"/>
                <w:lang w:eastAsia="zh-CN"/>
              </w:rPr>
            </w:pPr>
            <w:r>
              <w:rPr>
                <w:rFonts w:hint="eastAsia" w:ascii="黑体" w:hAnsi="黑体" w:eastAsia="黑体" w:cs="黑体"/>
                <w:color w:val="000000"/>
                <w:kern w:val="0"/>
                <w:sz w:val="32"/>
                <w:szCs w:val="32"/>
                <w:lang w:eastAsia="zh-CN"/>
              </w:rPr>
              <w:t>附件：</w:t>
            </w:r>
          </w:p>
          <w:p>
            <w:pPr>
              <w:widowControl/>
              <w:jc w:val="center"/>
              <w:rPr>
                <w:rFonts w:eastAsia="方正小标宋_GBK"/>
                <w:color w:val="000000"/>
                <w:kern w:val="0"/>
                <w:sz w:val="36"/>
                <w:szCs w:val="36"/>
              </w:rPr>
            </w:pPr>
            <w:r>
              <w:rPr>
                <w:rFonts w:hint="eastAsia" w:eastAsia="方正小标宋_GBK"/>
                <w:color w:val="000000"/>
                <w:kern w:val="0"/>
                <w:sz w:val="36"/>
                <w:szCs w:val="36"/>
                <w:lang w:eastAsia="zh-CN"/>
              </w:rPr>
              <w:t>项目</w:t>
            </w:r>
            <w:r>
              <w:rPr>
                <w:rFonts w:eastAsia="方正小标宋_GBK"/>
                <w:color w:val="000000"/>
                <w:kern w:val="0"/>
                <w:sz w:val="36"/>
                <w:szCs w:val="36"/>
              </w:rPr>
              <w:t>支出绩效自评表</w:t>
            </w:r>
          </w:p>
        </w:tc>
      </w:tr>
      <w:tr>
        <w:tblPrEx>
          <w:tblCellMar>
            <w:top w:w="0" w:type="dxa"/>
            <w:left w:w="108" w:type="dxa"/>
            <w:bottom w:w="0" w:type="dxa"/>
            <w:right w:w="108" w:type="dxa"/>
          </w:tblCellMar>
        </w:tblPrEx>
        <w:trPr>
          <w:trHeight w:val="270" w:hRule="atLeast"/>
          <w:jc w:val="center"/>
        </w:trPr>
        <w:tc>
          <w:tcPr>
            <w:tcW w:w="9999" w:type="dxa"/>
            <w:gridSpan w:val="9"/>
            <w:tcBorders>
              <w:top w:val="nil"/>
              <w:left w:val="nil"/>
              <w:bottom w:val="single" w:color="auto" w:sz="4" w:space="0"/>
              <w:right w:val="nil"/>
            </w:tcBorders>
            <w:noWrap/>
            <w:vAlign w:val="center"/>
          </w:tcPr>
          <w:p>
            <w:pPr>
              <w:widowControl/>
              <w:jc w:val="center"/>
              <w:rPr>
                <w:color w:val="000000"/>
                <w:kern w:val="0"/>
                <w:sz w:val="22"/>
              </w:rPr>
            </w:pPr>
            <w:r>
              <w:rPr>
                <w:color w:val="000000"/>
                <w:kern w:val="0"/>
                <w:sz w:val="22"/>
              </w:rPr>
              <w:t>（</w:t>
            </w:r>
            <w:r>
              <w:rPr>
                <w:rFonts w:hint="eastAsia"/>
                <w:color w:val="000000"/>
                <w:kern w:val="0"/>
                <w:sz w:val="22"/>
                <w:lang w:val="en-US" w:eastAsia="zh-CN"/>
              </w:rPr>
              <w:t>2021</w:t>
            </w:r>
            <w:r>
              <w:rPr>
                <w:color w:val="000000"/>
                <w:kern w:val="0"/>
                <w:sz w:val="22"/>
              </w:rPr>
              <w:t>年度）</w:t>
            </w:r>
          </w:p>
        </w:tc>
      </w:tr>
      <w:tr>
        <w:tblPrEx>
          <w:tblCellMar>
            <w:top w:w="0" w:type="dxa"/>
            <w:left w:w="108" w:type="dxa"/>
            <w:bottom w:w="0" w:type="dxa"/>
            <w:right w:w="108" w:type="dxa"/>
          </w:tblCellMar>
        </w:tblPrEx>
        <w:trPr>
          <w:trHeight w:val="585" w:hRule="atLeast"/>
          <w:jc w:val="center"/>
        </w:trPr>
        <w:tc>
          <w:tcPr>
            <w:tcW w:w="1135" w:type="dxa"/>
            <w:tcBorders>
              <w:top w:val="nil"/>
              <w:left w:val="single" w:color="auto" w:sz="4" w:space="0"/>
              <w:bottom w:val="single" w:color="auto" w:sz="4" w:space="0"/>
              <w:right w:val="single" w:color="auto" w:sz="4" w:space="0"/>
            </w:tcBorders>
            <w:noWrap w:val="0"/>
            <w:vAlign w:val="center"/>
          </w:tcPr>
          <w:p>
            <w:pPr>
              <w:widowControl/>
              <w:spacing w:line="260" w:lineRule="exact"/>
              <w:jc w:val="center"/>
              <w:rPr>
                <w:rFonts w:eastAsia="仿宋_GB2312"/>
                <w:color w:val="000000"/>
                <w:kern w:val="0"/>
                <w:szCs w:val="21"/>
              </w:rPr>
            </w:pPr>
            <w:r>
              <w:rPr>
                <w:rFonts w:eastAsia="仿宋_GB2312"/>
                <w:color w:val="000000"/>
                <w:kern w:val="0"/>
                <w:szCs w:val="21"/>
              </w:rPr>
              <w:t>项目支</w:t>
            </w:r>
          </w:p>
          <w:p>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8864" w:type="dxa"/>
            <w:gridSpan w:val="8"/>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hint="eastAsia" w:ascii="宋体" w:hAnsi="宋体" w:eastAsia="宋体" w:cs="宋体"/>
                <w:sz w:val="32"/>
                <w:szCs w:val="32"/>
                <w:lang w:val="en-US" w:eastAsia="zh-CN"/>
              </w:rPr>
              <w:t>药山镇人民政府药山村1组至11组公路沥青铺装工程</w:t>
            </w: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tcBorders>
              <w:top w:val="nil"/>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主管部门</w:t>
            </w:r>
          </w:p>
        </w:tc>
        <w:tc>
          <w:tcPr>
            <w:tcW w:w="4611" w:type="dxa"/>
            <w:gridSpan w:val="4"/>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津市市药山镇人民政府</w:t>
            </w:r>
          </w:p>
        </w:tc>
        <w:tc>
          <w:tcPr>
            <w:tcW w:w="1134" w:type="dxa"/>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津市市药山镇人民政府</w:t>
            </w:r>
          </w:p>
        </w:tc>
      </w:tr>
      <w:tr>
        <w:tblPrEx>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type="textWrapping"/>
            </w:r>
            <w:r>
              <w:rPr>
                <w:rFonts w:eastAsia="仿宋_GB2312"/>
                <w:color w:val="000000"/>
                <w:kern w:val="0"/>
                <w:szCs w:val="21"/>
              </w:rPr>
              <w:t>（万元）</w:t>
            </w:r>
          </w:p>
        </w:tc>
        <w:tc>
          <w:tcPr>
            <w:tcW w:w="2253"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年初预算数</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全年预算数</w:t>
            </w:r>
          </w:p>
        </w:tc>
        <w:tc>
          <w:tcPr>
            <w:tcW w:w="1134"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全年执行数</w:t>
            </w:r>
          </w:p>
        </w:tc>
        <w:tc>
          <w:tcPr>
            <w:tcW w:w="828"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分值</w:t>
            </w:r>
          </w:p>
        </w:tc>
        <w:tc>
          <w:tcPr>
            <w:tcW w:w="873"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执行率</w:t>
            </w:r>
          </w:p>
        </w:tc>
        <w:tc>
          <w:tcPr>
            <w:tcW w:w="1418"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得分</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年度资金总额　</w:t>
            </w:r>
          </w:p>
        </w:tc>
        <w:tc>
          <w:tcPr>
            <w:tcW w:w="122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124.84</w:t>
            </w:r>
          </w:p>
        </w:tc>
        <w:tc>
          <w:tcPr>
            <w:tcW w:w="113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124.84</w:t>
            </w:r>
          </w:p>
        </w:tc>
        <w:tc>
          <w:tcPr>
            <w:tcW w:w="113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95.21</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10</w:t>
            </w:r>
          </w:p>
        </w:tc>
        <w:tc>
          <w:tcPr>
            <w:tcW w:w="873"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1418"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其中：当年财政拨款　</w:t>
            </w:r>
          </w:p>
        </w:tc>
        <w:tc>
          <w:tcPr>
            <w:tcW w:w="122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p>
        </w:tc>
        <w:tc>
          <w:tcPr>
            <w:tcW w:w="113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95.21</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上年结转资金　</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其他资金</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年度总</w:t>
            </w:r>
          </w:p>
          <w:p>
            <w:pPr>
              <w:widowControl/>
              <w:jc w:val="center"/>
              <w:rPr>
                <w:rFonts w:eastAsia="仿宋_GB2312"/>
                <w:color w:val="000000"/>
                <w:kern w:val="0"/>
                <w:szCs w:val="21"/>
              </w:rPr>
            </w:pPr>
            <w:r>
              <w:rPr>
                <w:rFonts w:eastAsia="仿宋_GB2312"/>
                <w:color w:val="000000"/>
                <w:kern w:val="0"/>
                <w:szCs w:val="21"/>
              </w:rPr>
              <w:t>体目标</w:t>
            </w:r>
          </w:p>
        </w:tc>
        <w:tc>
          <w:tcPr>
            <w:tcW w:w="4611" w:type="dxa"/>
            <w:gridSpan w:val="4"/>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实际完成情况　</w:t>
            </w:r>
          </w:p>
        </w:tc>
      </w:tr>
      <w:tr>
        <w:tblPrEx>
          <w:tblCellMar>
            <w:top w:w="0" w:type="dxa"/>
            <w:left w:w="108" w:type="dxa"/>
            <w:bottom w:w="0" w:type="dxa"/>
            <w:right w:w="108" w:type="dxa"/>
          </w:tblCellMar>
        </w:tblPrEx>
        <w:trPr>
          <w:trHeight w:val="532" w:hRule="atLeast"/>
          <w:jc w:val="center"/>
        </w:trPr>
        <w:tc>
          <w:tcPr>
            <w:tcW w:w="113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4611" w:type="dxa"/>
            <w:gridSpan w:val="4"/>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eastAsia="zh-CN"/>
              </w:rPr>
              <w:t>完成药山村</w:t>
            </w:r>
            <w:r>
              <w:rPr>
                <w:rFonts w:hint="eastAsia" w:eastAsia="仿宋_GB2312"/>
                <w:color w:val="000000"/>
                <w:kern w:val="0"/>
                <w:szCs w:val="21"/>
                <w:lang w:val="en-US" w:eastAsia="zh-CN"/>
              </w:rPr>
              <w:t>1-11组公路沥青铺装工程，亮化，美化，整洁通畅的要求</w:t>
            </w:r>
            <w:r>
              <w:rPr>
                <w:rFonts w:eastAsia="仿宋_GB2312"/>
                <w:color w:val="000000"/>
                <w:kern w:val="0"/>
                <w:szCs w:val="21"/>
              </w:rPr>
              <w:t>　　</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ascii="仿宋" w:hAnsi="仿宋" w:eastAsia="仿宋" w:cs="仿宋"/>
                <w:lang w:val="en-US" w:eastAsia="zh-CN"/>
              </w:rPr>
              <w:t>在一定程度上改善了城乡建设面貌，提升乡镇整体形象，居民的居住条件和生活环境将得到进一步的改善。</w:t>
            </w:r>
          </w:p>
        </w:tc>
      </w:tr>
      <w:tr>
        <w:tblPrEx>
          <w:tblCellMar>
            <w:top w:w="0" w:type="dxa"/>
            <w:left w:w="108" w:type="dxa"/>
            <w:bottom w:w="0" w:type="dxa"/>
            <w:right w:w="108" w:type="dxa"/>
          </w:tblCellMar>
        </w:tblPrEx>
        <w:trPr>
          <w:trHeight w:val="868" w:hRule="atLeast"/>
          <w:jc w:val="center"/>
        </w:trPr>
        <w:tc>
          <w:tcPr>
            <w:tcW w:w="1135" w:type="dxa"/>
            <w:vMerge w:val="restart"/>
            <w:tcBorders>
              <w:top w:val="single" w:color="auto" w:sz="4" w:space="0"/>
              <w:left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绩</w:t>
            </w:r>
          </w:p>
          <w:p>
            <w:pPr>
              <w:widowControl/>
              <w:jc w:val="center"/>
              <w:rPr>
                <w:rFonts w:eastAsia="仿宋_GB2312"/>
                <w:color w:val="000000"/>
                <w:kern w:val="0"/>
                <w:szCs w:val="21"/>
              </w:rPr>
            </w:pPr>
            <w:r>
              <w:rPr>
                <w:rFonts w:eastAsia="仿宋_GB2312"/>
                <w:color w:val="000000"/>
                <w:kern w:val="0"/>
                <w:szCs w:val="21"/>
              </w:rPr>
              <w:t>效</w:t>
            </w:r>
          </w:p>
          <w:p>
            <w:pPr>
              <w:widowControl/>
              <w:jc w:val="center"/>
              <w:rPr>
                <w:rFonts w:eastAsia="仿宋_GB2312"/>
                <w:color w:val="000000"/>
                <w:kern w:val="0"/>
                <w:szCs w:val="21"/>
              </w:rPr>
            </w:pPr>
            <w:r>
              <w:rPr>
                <w:rFonts w:eastAsia="仿宋_GB2312"/>
                <w:color w:val="000000"/>
                <w:kern w:val="0"/>
                <w:szCs w:val="21"/>
              </w:rPr>
              <w:t>指</w:t>
            </w:r>
          </w:p>
          <w:p>
            <w:pPr>
              <w:widowControl/>
              <w:jc w:val="center"/>
              <w:rPr>
                <w:rFonts w:eastAsia="仿宋_GB2312"/>
                <w:color w:val="000000"/>
                <w:kern w:val="0"/>
                <w:szCs w:val="21"/>
              </w:rPr>
            </w:pPr>
            <w:r>
              <w:rPr>
                <w:rFonts w:eastAsia="仿宋_GB2312"/>
                <w:color w:val="000000"/>
                <w:kern w:val="0"/>
                <w:szCs w:val="21"/>
              </w:rPr>
              <w:t>标</w:t>
            </w:r>
          </w:p>
        </w:tc>
        <w:tc>
          <w:tcPr>
            <w:tcW w:w="992"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26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22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年度</w:t>
            </w:r>
          </w:p>
          <w:p>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实际</w:t>
            </w:r>
          </w:p>
          <w:p>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82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73"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1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偏差原因</w:t>
            </w:r>
          </w:p>
          <w:p>
            <w:pPr>
              <w:widowControl/>
              <w:spacing w:line="240" w:lineRule="exact"/>
              <w:jc w:val="center"/>
              <w:rPr>
                <w:rFonts w:eastAsia="仿宋_GB2312"/>
                <w:color w:val="000000"/>
                <w:kern w:val="0"/>
                <w:szCs w:val="21"/>
              </w:rPr>
            </w:pPr>
            <w:r>
              <w:rPr>
                <w:rFonts w:eastAsia="仿宋_GB2312"/>
                <w:color w:val="000000"/>
                <w:kern w:val="0"/>
                <w:szCs w:val="21"/>
              </w:rPr>
              <w:t>分析及</w:t>
            </w:r>
          </w:p>
          <w:p>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产出</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p>
          <w:p>
            <w:pPr>
              <w:widowControl/>
              <w:jc w:val="center"/>
              <w:rPr>
                <w:rFonts w:eastAsia="仿宋_GB2312"/>
                <w:color w:val="000000"/>
                <w:kern w:val="0"/>
                <w:szCs w:val="21"/>
              </w:rPr>
            </w:pPr>
            <w:r>
              <w:rPr>
                <w:rFonts w:eastAsia="仿宋_GB2312"/>
                <w:color w:val="000000"/>
                <w:kern w:val="0"/>
                <w:szCs w:val="21"/>
              </w:rPr>
              <w:t>(50分)</w:t>
            </w: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数量指标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公路沥青铺装米数</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1200米</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1200米</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新增平篦雨水口</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42处</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42处</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463"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质量指标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工程质量验收</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487"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原材料质量</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时效指标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工程完成进度</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100%</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工程完成时间</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100%</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成本指标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预算价格</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124.84</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124.84</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成交价格</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95.21</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95.21</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restart"/>
            <w:tcBorders>
              <w:top w:val="single" w:color="auto" w:sz="4" w:space="0"/>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效益</w:t>
            </w:r>
          </w:p>
          <w:p>
            <w:pPr>
              <w:widowControl/>
              <w:jc w:val="center"/>
              <w:rPr>
                <w:rFonts w:eastAsia="仿宋_GB2312"/>
                <w:color w:val="000000"/>
                <w:kern w:val="0"/>
                <w:szCs w:val="21"/>
              </w:rPr>
            </w:pPr>
            <w:r>
              <w:rPr>
                <w:rFonts w:eastAsia="仿宋_GB2312"/>
                <w:color w:val="000000"/>
                <w:kern w:val="0"/>
                <w:szCs w:val="21"/>
              </w:rPr>
              <w:t>指标</w:t>
            </w:r>
          </w:p>
          <w:p>
            <w:pPr>
              <w:widowControl/>
              <w:jc w:val="left"/>
              <w:rPr>
                <w:rFonts w:eastAsia="仿宋_GB2312"/>
                <w:color w:val="000000"/>
                <w:kern w:val="0"/>
                <w:szCs w:val="21"/>
              </w:rPr>
            </w:pPr>
          </w:p>
          <w:p>
            <w:pPr>
              <w:widowControl/>
              <w:jc w:val="left"/>
              <w:rPr>
                <w:rFonts w:eastAsia="仿宋_GB2312"/>
                <w:color w:val="000000"/>
                <w:kern w:val="0"/>
                <w:szCs w:val="21"/>
              </w:rPr>
            </w:pPr>
            <w:r>
              <w:rPr>
                <w:rFonts w:eastAsia="仿宋_GB2312"/>
                <w:color w:val="000000"/>
                <w:kern w:val="0"/>
                <w:szCs w:val="21"/>
              </w:rPr>
              <w:t>（30分）</w:t>
            </w:r>
          </w:p>
          <w:p>
            <w:pPr>
              <w:jc w:val="left"/>
              <w:rPr>
                <w:rFonts w:eastAsia="仿宋_GB2312"/>
                <w:color w:val="000000"/>
                <w:kern w:val="0"/>
                <w:szCs w:val="21"/>
              </w:rPr>
            </w:pPr>
            <w:r>
              <w:rPr>
                <w:rFonts w:eastAsia="仿宋_GB2312"/>
                <w:color w:val="000000"/>
                <w:kern w:val="0"/>
                <w:szCs w:val="21"/>
              </w:rPr>
              <w:t>　</w:t>
            </w: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经济效</w:t>
            </w:r>
          </w:p>
          <w:p>
            <w:pPr>
              <w:widowControl/>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建筑材料供应商</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药山镇经济发展</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提升</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提升</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社会效</w:t>
            </w:r>
          </w:p>
          <w:p>
            <w:pPr>
              <w:widowControl/>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繁荣地方经济</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eastAsia="zh-CN"/>
              </w:rPr>
              <w:t>提升</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eastAsia="zh-CN"/>
              </w:rPr>
              <w:t>提升</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437"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扩大就业</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eastAsia="zh-CN"/>
              </w:rPr>
              <w:t>提升</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eastAsia="zh-CN"/>
              </w:rPr>
              <w:t>提升</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生态效</w:t>
            </w:r>
          </w:p>
          <w:p>
            <w:pPr>
              <w:widowControl/>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美化环境</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eastAsia="zh-CN"/>
              </w:rPr>
              <w:t>提升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eastAsia="zh-CN"/>
              </w:rPr>
              <w:t>提升</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乡镇形象提升</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eastAsia="zh-CN"/>
              </w:rPr>
              <w:t>提升</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eastAsia="zh-CN"/>
              </w:rPr>
              <w:t>提升</w:t>
            </w:r>
          </w:p>
        </w:tc>
        <w:tc>
          <w:tcPr>
            <w:tcW w:w="828" w:type="dxa"/>
            <w:tcBorders>
              <w:top w:val="nil"/>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873" w:type="dxa"/>
            <w:tcBorders>
              <w:top w:val="nil"/>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widowControl/>
              <w:jc w:val="center"/>
              <w:rPr>
                <w:rFonts w:eastAsia="仿宋_GB2312"/>
                <w:color w:val="000000"/>
                <w:kern w:val="0"/>
                <w:szCs w:val="21"/>
              </w:rPr>
            </w:pPr>
          </w:p>
        </w:tc>
        <w:tc>
          <w:tcPr>
            <w:tcW w:w="992" w:type="dxa"/>
            <w:vMerge w:val="continue"/>
            <w:tcBorders>
              <w:left w:val="single" w:color="auto" w:sz="4" w:space="0"/>
              <w:right w:val="single" w:color="auto" w:sz="4" w:space="0"/>
            </w:tcBorders>
            <w:noWrap w:val="0"/>
            <w:vAlign w:val="center"/>
          </w:tcPr>
          <w:p>
            <w:pPr>
              <w:widowControl/>
              <w:jc w:val="left"/>
              <w:rPr>
                <w:rFonts w:eastAsia="仿宋_GB2312"/>
                <w:color w:val="000000"/>
                <w:kern w:val="0"/>
                <w:szCs w:val="21"/>
              </w:rPr>
            </w:pPr>
          </w:p>
        </w:tc>
        <w:tc>
          <w:tcPr>
            <w:tcW w:w="1261" w:type="dxa"/>
            <w:vMerge w:val="restart"/>
            <w:tcBorders>
              <w:top w:val="single" w:color="auto" w:sz="4" w:space="0"/>
              <w:left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进一步改善区域的周边环境</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改善</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改善</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left"/>
              <w:rPr>
                <w:rFonts w:eastAsia="仿宋_GB2312"/>
                <w:color w:val="000000"/>
                <w:kern w:val="0"/>
                <w:szCs w:val="21"/>
              </w:rPr>
            </w:pPr>
          </w:p>
        </w:tc>
        <w:tc>
          <w:tcPr>
            <w:tcW w:w="992" w:type="dxa"/>
            <w:vMerge w:val="continue"/>
            <w:tcBorders>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61" w:type="dxa"/>
            <w:vMerge w:val="continue"/>
            <w:tcBorders>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24" w:type="dxa"/>
            <w:tcBorders>
              <w:top w:val="nil"/>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持续发展</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持续</w:t>
            </w:r>
          </w:p>
        </w:tc>
        <w:tc>
          <w:tcPr>
            <w:tcW w:w="1134" w:type="dxa"/>
            <w:tcBorders>
              <w:top w:val="nil"/>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持续</w:t>
            </w:r>
          </w:p>
        </w:tc>
        <w:tc>
          <w:tcPr>
            <w:tcW w:w="828" w:type="dxa"/>
            <w:tcBorders>
              <w:top w:val="nil"/>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left"/>
              <w:rPr>
                <w:rFonts w:eastAsia="仿宋_GB2312"/>
                <w:color w:val="000000"/>
                <w:kern w:val="0"/>
                <w:szCs w:val="21"/>
              </w:rPr>
            </w:pPr>
          </w:p>
        </w:tc>
        <w:tc>
          <w:tcPr>
            <w:tcW w:w="992" w:type="dxa"/>
            <w:vMerge w:val="restart"/>
            <w:tcBorders>
              <w:top w:val="nil"/>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满意度</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r>
              <w:rPr>
                <w:rFonts w:eastAsia="仿宋_GB2312"/>
                <w:color w:val="000000"/>
                <w:kern w:val="0"/>
                <w:szCs w:val="21"/>
              </w:rPr>
              <w:t>（10分）</w:t>
            </w:r>
          </w:p>
        </w:tc>
        <w:tc>
          <w:tcPr>
            <w:tcW w:w="1261" w:type="dxa"/>
            <w:vMerge w:val="restart"/>
            <w:tcBorders>
              <w:top w:val="nil"/>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服务对象满意度指标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药山村村民满意度</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eastAsia="zh-CN"/>
              </w:rPr>
              <w:t>≥</w:t>
            </w:r>
            <w:r>
              <w:rPr>
                <w:rFonts w:hint="eastAsia" w:eastAsia="仿宋_GB2312"/>
                <w:color w:val="000000"/>
                <w:kern w:val="0"/>
                <w:szCs w:val="21"/>
                <w:lang w:val="en-US" w:eastAsia="zh-CN"/>
              </w:rPr>
              <w:t>95%</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eastAsia="zh-CN"/>
              </w:rPr>
              <w:t>≥</w:t>
            </w:r>
            <w:r>
              <w:rPr>
                <w:rFonts w:hint="eastAsia" w:eastAsia="仿宋_GB2312"/>
                <w:color w:val="000000"/>
                <w:kern w:val="0"/>
                <w:szCs w:val="21"/>
                <w:lang w:val="en-US" w:eastAsia="zh-CN"/>
              </w:rPr>
              <w:t>95%</w:t>
            </w:r>
          </w:p>
        </w:tc>
        <w:tc>
          <w:tcPr>
            <w:tcW w:w="828" w:type="dxa"/>
            <w:tcBorders>
              <w:top w:val="nil"/>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873" w:type="dxa"/>
            <w:tcBorders>
              <w:top w:val="nil"/>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992" w:type="dxa"/>
            <w:vMerge w:val="continue"/>
            <w:tcBorders>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61" w:type="dxa"/>
            <w:vMerge w:val="continue"/>
            <w:tcBorders>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24" w:type="dxa"/>
            <w:tcBorders>
              <w:top w:val="nil"/>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药山镇居民满意度</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eastAsia="zh-CN"/>
              </w:rPr>
              <w:t>≥</w:t>
            </w:r>
            <w:r>
              <w:rPr>
                <w:rFonts w:hint="eastAsia" w:eastAsia="仿宋_GB2312"/>
                <w:color w:val="000000"/>
                <w:kern w:val="0"/>
                <w:szCs w:val="21"/>
                <w:lang w:val="en-US" w:eastAsia="zh-CN"/>
              </w:rPr>
              <w:t>95%</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eastAsia="zh-CN"/>
              </w:rPr>
              <w:t>≥</w:t>
            </w:r>
            <w:r>
              <w:rPr>
                <w:rFonts w:hint="eastAsia" w:eastAsia="仿宋_GB2312"/>
                <w:color w:val="000000"/>
                <w:kern w:val="0"/>
                <w:szCs w:val="21"/>
                <w:lang w:val="en-US" w:eastAsia="zh-CN"/>
              </w:rPr>
              <w:t>95%</w:t>
            </w:r>
          </w:p>
        </w:tc>
        <w:tc>
          <w:tcPr>
            <w:tcW w:w="828" w:type="dxa"/>
            <w:tcBorders>
              <w:top w:val="nil"/>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873" w:type="dxa"/>
            <w:tcBorders>
              <w:top w:val="nil"/>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6880" w:type="dxa"/>
            <w:gridSpan w:val="6"/>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总分</w:t>
            </w:r>
          </w:p>
        </w:tc>
        <w:tc>
          <w:tcPr>
            <w:tcW w:w="828" w:type="dxa"/>
            <w:tcBorders>
              <w:top w:val="nil"/>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100</w:t>
            </w:r>
          </w:p>
        </w:tc>
        <w:tc>
          <w:tcPr>
            <w:tcW w:w="873"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bl>
    <w:p>
      <w:pPr>
        <w:spacing w:before="120" w:beforeLines="50"/>
      </w:pPr>
      <w:r>
        <w:rPr>
          <w:rFonts w:eastAsia="仿宋_GB2312"/>
          <w:sz w:val="24"/>
        </w:rPr>
        <w:t>填表人：</w:t>
      </w:r>
      <w:r>
        <w:rPr>
          <w:rFonts w:hint="eastAsia" w:eastAsia="仿宋_GB2312"/>
          <w:sz w:val="24"/>
          <w:lang w:eastAsia="zh-CN"/>
        </w:rPr>
        <w:t>曾周敏</w:t>
      </w:r>
      <w:r>
        <w:rPr>
          <w:rFonts w:eastAsia="仿宋_GB2312"/>
          <w:sz w:val="24"/>
        </w:rPr>
        <w:t xml:space="preserve">         填报日期：</w:t>
      </w:r>
      <w:r>
        <w:rPr>
          <w:rFonts w:hint="eastAsia" w:eastAsia="仿宋_GB2312"/>
          <w:sz w:val="24"/>
          <w:lang w:val="en-US" w:eastAsia="zh-CN"/>
        </w:rPr>
        <w:t>2022.3.28</w:t>
      </w:r>
      <w:r>
        <w:rPr>
          <w:rFonts w:eastAsia="仿宋_GB2312"/>
          <w:sz w:val="24"/>
        </w:rPr>
        <w:t xml:space="preserve">           联系电话：</w:t>
      </w:r>
      <w:r>
        <w:rPr>
          <w:rFonts w:hint="eastAsia" w:eastAsia="仿宋_GB2312"/>
          <w:sz w:val="24"/>
          <w:lang w:val="en-US" w:eastAsia="zh-CN"/>
        </w:rPr>
        <w:t>4122051</w:t>
      </w:r>
      <w:r>
        <w:rPr>
          <w:rFonts w:eastAsia="仿宋_GB2312"/>
          <w:sz w:val="24"/>
        </w:rPr>
        <w:t xml:space="preserve">       单位负责人签字：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8C8A400"/>
    <w:multiLevelType w:val="singleLevel"/>
    <w:tmpl w:val="D8C8A400"/>
    <w:lvl w:ilvl="0" w:tentative="0">
      <w:start w:val="3"/>
      <w:numFmt w:val="chineseCounting"/>
      <w:suff w:val="nothing"/>
      <w:lvlText w:val="%1、"/>
      <w:lvlJc w:val="left"/>
      <w:rPr>
        <w:rFonts w:hint="eastAsia"/>
      </w:rPr>
    </w:lvl>
  </w:abstractNum>
  <w:abstractNum w:abstractNumId="1">
    <w:nsid w:val="E664769D"/>
    <w:multiLevelType w:val="singleLevel"/>
    <w:tmpl w:val="E664769D"/>
    <w:lvl w:ilvl="0" w:tentative="0">
      <w:start w:val="2"/>
      <w:numFmt w:val="chineseCounting"/>
      <w:suff w:val="nothing"/>
      <w:lvlText w:val="（%1）"/>
      <w:lvlJc w:val="left"/>
      <w:rPr>
        <w:rFonts w:hint="eastAsia"/>
      </w:rPr>
    </w:lvl>
  </w:abstractNum>
  <w:abstractNum w:abstractNumId="2">
    <w:nsid w:val="09AA93A1"/>
    <w:multiLevelType w:val="singleLevel"/>
    <w:tmpl w:val="09AA93A1"/>
    <w:lvl w:ilvl="0" w:tentative="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343492"/>
    <w:rsid w:val="080C15DB"/>
    <w:rsid w:val="0CFE4450"/>
    <w:rsid w:val="24992DF1"/>
    <w:rsid w:val="2E0571BE"/>
    <w:rsid w:val="305B5409"/>
    <w:rsid w:val="329D4850"/>
    <w:rsid w:val="3C343492"/>
    <w:rsid w:val="487D713D"/>
    <w:rsid w:val="4A1D7037"/>
    <w:rsid w:val="57400F9F"/>
    <w:rsid w:val="79936CFA"/>
    <w:rsid w:val="7CE21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32"/>
      <w:szCs w:val="32"/>
    </w:rPr>
  </w:style>
  <w:style w:type="paragraph" w:styleId="5">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2021-03-15T06:51:00Z</dcterms:created>
  <dc:creator>Administrator</dc:creator>
  <cp:lastModifiedBy>淼淼</cp:lastModifiedBy>
  <dcterms:modified xsi:type="dcterms:W3CDTF">2022-03-31T00:58:17Z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y fmtid="{D5CDD505-2E9C-101B-9397-08002B2CF9AE}" pid="3" name="ICV">
    <vt:lpwstr>C6CD5B2C6D5245CBB84BC4F80A5E1BC4</vt:lpwstr>
  </property>
</Properties>
</file>