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8F" w:rsidRDefault="002D06B4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 xml:space="preserve"> </w:t>
      </w:r>
      <w:r>
        <w:rPr>
          <w:rFonts w:eastAsia="方正小标宋_GBK" w:hint="eastAsia"/>
          <w:sz w:val="36"/>
          <w:szCs w:val="36"/>
        </w:rPr>
        <w:t>津市市</w:t>
      </w:r>
      <w:r w:rsidR="009D3D66">
        <w:rPr>
          <w:rFonts w:eastAsia="方正小标宋_GBK" w:hint="eastAsia"/>
          <w:sz w:val="36"/>
          <w:szCs w:val="36"/>
        </w:rPr>
        <w:t>襄阳街</w:t>
      </w:r>
      <w:r>
        <w:rPr>
          <w:rFonts w:eastAsia="方正小标宋_GBK" w:hint="eastAsia"/>
          <w:sz w:val="36"/>
          <w:szCs w:val="36"/>
        </w:rPr>
        <w:t>街道办事处</w:t>
      </w:r>
      <w:r>
        <w:rPr>
          <w:rFonts w:eastAsia="方正小标宋_GBK" w:hint="eastAsia"/>
          <w:sz w:val="36"/>
          <w:szCs w:val="36"/>
        </w:rPr>
        <w:t>2021</w:t>
      </w:r>
      <w:r>
        <w:rPr>
          <w:rFonts w:eastAsia="方正小标宋_GBK" w:hint="eastAsia"/>
          <w:sz w:val="36"/>
          <w:szCs w:val="36"/>
        </w:rPr>
        <w:t>年度</w:t>
      </w:r>
      <w:r>
        <w:rPr>
          <w:rFonts w:eastAsia="方正小标宋_GBK"/>
          <w:sz w:val="36"/>
          <w:szCs w:val="36"/>
        </w:rPr>
        <w:t>部门整体支出</w:t>
      </w:r>
    </w:p>
    <w:p w:rsidR="00B9308F" w:rsidRDefault="002D06B4"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 w:rsidR="00B9308F" w:rsidRDefault="00B9308F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B9308F" w:rsidRDefault="002D06B4">
      <w:pPr>
        <w:pStyle w:val="a4"/>
        <w:widowControl/>
        <w:numPr>
          <w:ilvl w:val="0"/>
          <w:numId w:val="1"/>
        </w:numPr>
        <w:spacing w:line="600" w:lineRule="exact"/>
        <w:ind w:left="640" w:firstLineChars="0" w:firstLine="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部门、单位基本情况</w:t>
      </w:r>
    </w:p>
    <w:p w:rsidR="00B9308F" w:rsidRDefault="002D06B4">
      <w:pPr>
        <w:ind w:firstLineChars="200" w:firstLine="64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（一）机构、人员构成</w:t>
      </w:r>
    </w:p>
    <w:p w:rsidR="00B9308F" w:rsidRDefault="002D06B4">
      <w:pPr>
        <w:ind w:firstLineChars="200" w:firstLine="64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常德津市市</w:t>
      </w:r>
      <w:r w:rsidR="009D3D66">
        <w:rPr>
          <w:rFonts w:ascii="宋体" w:hAnsi="宋体" w:cs="宋体" w:hint="eastAsia"/>
          <w:bCs/>
          <w:sz w:val="32"/>
          <w:szCs w:val="32"/>
        </w:rPr>
        <w:t>襄阳街</w:t>
      </w:r>
      <w:r>
        <w:rPr>
          <w:rFonts w:ascii="宋体" w:hAnsi="宋体" w:cs="宋体" w:hint="eastAsia"/>
          <w:bCs/>
          <w:sz w:val="32"/>
          <w:szCs w:val="32"/>
        </w:rPr>
        <w:t>街道（以下简称</w:t>
      </w:r>
      <w:r w:rsidR="009D3D66">
        <w:rPr>
          <w:rFonts w:ascii="宋体" w:hAnsi="宋体" w:cs="宋体" w:hint="eastAsia"/>
          <w:bCs/>
          <w:sz w:val="32"/>
          <w:szCs w:val="32"/>
        </w:rPr>
        <w:t>襄阳街</w:t>
      </w:r>
      <w:r>
        <w:rPr>
          <w:rFonts w:ascii="宋体" w:hAnsi="宋体" w:cs="宋体" w:hint="eastAsia"/>
          <w:bCs/>
          <w:sz w:val="32"/>
          <w:szCs w:val="32"/>
        </w:rPr>
        <w:t>街道）为津市市财政一级预算全额拨款行政单位，统一社会信用代码11430781</w:t>
      </w:r>
      <w:r w:rsidR="009D3D66">
        <w:rPr>
          <w:rFonts w:ascii="宋体" w:hAnsi="宋体" w:cs="宋体" w:hint="eastAsia"/>
          <w:bCs/>
          <w:sz w:val="32"/>
          <w:szCs w:val="32"/>
        </w:rPr>
        <w:t>743187822L</w:t>
      </w:r>
      <w:r>
        <w:rPr>
          <w:rFonts w:ascii="宋体" w:hAnsi="宋体" w:cs="宋体" w:hint="eastAsia"/>
          <w:bCs/>
          <w:sz w:val="32"/>
          <w:szCs w:val="32"/>
        </w:rPr>
        <w:t>，单位负责人</w:t>
      </w:r>
      <w:r w:rsidR="009D3D66">
        <w:rPr>
          <w:rFonts w:ascii="宋体" w:hAnsi="宋体" w:cs="宋体" w:hint="eastAsia"/>
          <w:bCs/>
          <w:sz w:val="32"/>
          <w:szCs w:val="32"/>
        </w:rPr>
        <w:t>陈荣</w:t>
      </w:r>
      <w:r>
        <w:rPr>
          <w:rFonts w:ascii="宋体" w:hAnsi="宋体" w:cs="宋体" w:hint="eastAsia"/>
          <w:bCs/>
          <w:sz w:val="32"/>
          <w:szCs w:val="32"/>
        </w:rPr>
        <w:t>。设置了党政办公室、党建办公室、经济发展办公室、平安建设和应急管理办公室、自然资源和生态环境办公室（城建办公室）、社会事务办公室（卫生健康办公室）等6个内设机构，农业服务中心、政务服务中心、社会事务综合服务中心、退役军人服务站、综合行政执法队等三中心一站一队。</w:t>
      </w:r>
      <w:bookmarkStart w:id="0" w:name="_Hlk44192558"/>
      <w:r>
        <w:rPr>
          <w:rFonts w:ascii="宋体" w:hAnsi="宋体" w:cs="宋体" w:hint="eastAsia"/>
          <w:bCs/>
          <w:sz w:val="32"/>
          <w:szCs w:val="32"/>
        </w:rPr>
        <w:t>2021年人员编制数</w:t>
      </w:r>
      <w:r w:rsidR="009D3D66">
        <w:rPr>
          <w:rFonts w:ascii="宋体" w:hAnsi="宋体" w:cs="宋体" w:hint="eastAsia"/>
          <w:bCs/>
          <w:sz w:val="32"/>
          <w:szCs w:val="32"/>
        </w:rPr>
        <w:t>42</w:t>
      </w:r>
      <w:r>
        <w:rPr>
          <w:rFonts w:ascii="宋体" w:hAnsi="宋体" w:cs="宋体" w:hint="eastAsia"/>
          <w:bCs/>
          <w:sz w:val="32"/>
          <w:szCs w:val="32"/>
        </w:rPr>
        <w:t>人，其中行政编制18人、事业编制</w:t>
      </w:r>
      <w:r w:rsidR="009F3F31">
        <w:rPr>
          <w:rFonts w:ascii="宋体" w:hAnsi="宋体" w:cs="宋体" w:hint="eastAsia"/>
          <w:bCs/>
          <w:sz w:val="32"/>
          <w:szCs w:val="32"/>
        </w:rPr>
        <w:t>24</w:t>
      </w:r>
      <w:r>
        <w:rPr>
          <w:rFonts w:ascii="宋体" w:hAnsi="宋体" w:cs="宋体" w:hint="eastAsia"/>
          <w:bCs/>
          <w:sz w:val="32"/>
          <w:szCs w:val="32"/>
        </w:rPr>
        <w:t>人；实有在职人数</w:t>
      </w:r>
      <w:r w:rsidR="009F3F31">
        <w:rPr>
          <w:rFonts w:ascii="宋体" w:hAnsi="宋体" w:cs="宋体" w:hint="eastAsia"/>
          <w:bCs/>
          <w:sz w:val="32"/>
          <w:szCs w:val="32"/>
        </w:rPr>
        <w:t>30</w:t>
      </w:r>
      <w:r>
        <w:rPr>
          <w:rFonts w:ascii="宋体" w:hAnsi="宋体" w:cs="宋体" w:hint="eastAsia"/>
          <w:bCs/>
          <w:sz w:val="32"/>
          <w:szCs w:val="32"/>
        </w:rPr>
        <w:t>人，其中行政编制</w:t>
      </w:r>
      <w:r w:rsidR="009F3F31">
        <w:rPr>
          <w:rFonts w:ascii="宋体" w:hAnsi="宋体" w:cs="宋体" w:hint="eastAsia"/>
          <w:bCs/>
          <w:sz w:val="32"/>
          <w:szCs w:val="32"/>
        </w:rPr>
        <w:t>14</w:t>
      </w:r>
      <w:r>
        <w:rPr>
          <w:rFonts w:ascii="宋体" w:hAnsi="宋体" w:cs="宋体" w:hint="eastAsia"/>
          <w:bCs/>
          <w:sz w:val="32"/>
          <w:szCs w:val="32"/>
        </w:rPr>
        <w:t>人、事业编制</w:t>
      </w:r>
      <w:r w:rsidR="009F3F31">
        <w:rPr>
          <w:rFonts w:ascii="宋体" w:hAnsi="宋体" w:cs="宋体" w:hint="eastAsia"/>
          <w:bCs/>
          <w:sz w:val="32"/>
          <w:szCs w:val="32"/>
        </w:rPr>
        <w:t>16</w:t>
      </w:r>
      <w:r>
        <w:rPr>
          <w:rFonts w:ascii="宋体" w:hAnsi="宋体" w:cs="宋体" w:hint="eastAsia"/>
          <w:bCs/>
          <w:sz w:val="32"/>
          <w:szCs w:val="32"/>
        </w:rPr>
        <w:t>人</w:t>
      </w:r>
      <w:bookmarkEnd w:id="0"/>
      <w:r>
        <w:rPr>
          <w:rFonts w:ascii="宋体" w:hAnsi="宋体" w:cs="宋体" w:hint="eastAsia"/>
          <w:bCs/>
          <w:sz w:val="32"/>
          <w:szCs w:val="32"/>
        </w:rPr>
        <w:t>。另有临聘人员</w:t>
      </w:r>
      <w:r w:rsidR="009F3F31">
        <w:rPr>
          <w:rFonts w:ascii="宋体" w:hAnsi="宋体" w:cs="宋体" w:hint="eastAsia"/>
          <w:bCs/>
          <w:sz w:val="32"/>
          <w:szCs w:val="32"/>
        </w:rPr>
        <w:t>10</w:t>
      </w:r>
      <w:r>
        <w:rPr>
          <w:rFonts w:ascii="宋体" w:hAnsi="宋体" w:cs="宋体" w:hint="eastAsia"/>
          <w:bCs/>
          <w:sz w:val="32"/>
          <w:szCs w:val="32"/>
        </w:rPr>
        <w:t>人。</w:t>
      </w:r>
    </w:p>
    <w:p w:rsidR="00B9308F" w:rsidRDefault="009F3F31">
      <w:pPr>
        <w:ind w:firstLineChars="200" w:firstLine="64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襄阳街</w:t>
      </w:r>
      <w:r w:rsidR="002D06B4">
        <w:rPr>
          <w:rFonts w:ascii="宋体" w:hAnsi="宋体" w:cs="宋体" w:hint="eastAsia"/>
          <w:bCs/>
          <w:sz w:val="32"/>
          <w:szCs w:val="32"/>
        </w:rPr>
        <w:t>街道辖区总面积</w:t>
      </w:r>
      <w:r>
        <w:rPr>
          <w:rFonts w:ascii="宋体" w:hAnsi="宋体" w:cs="宋体" w:hint="eastAsia"/>
          <w:bCs/>
          <w:sz w:val="32"/>
          <w:szCs w:val="32"/>
        </w:rPr>
        <w:t>11.5</w:t>
      </w:r>
      <w:r w:rsidR="002D06B4">
        <w:rPr>
          <w:rFonts w:ascii="宋体" w:hAnsi="宋体" w:cs="宋体" w:hint="eastAsia"/>
          <w:bCs/>
          <w:sz w:val="32"/>
          <w:szCs w:val="32"/>
        </w:rPr>
        <w:t>平方公里，总人口</w:t>
      </w:r>
      <w:r>
        <w:rPr>
          <w:rFonts w:ascii="宋体" w:hAnsi="宋体" w:cs="宋体" w:hint="eastAsia"/>
          <w:bCs/>
          <w:sz w:val="32"/>
          <w:szCs w:val="32"/>
        </w:rPr>
        <w:t>1.8</w:t>
      </w:r>
      <w:r w:rsidR="002D06B4">
        <w:rPr>
          <w:rFonts w:ascii="宋体" w:hAnsi="宋体" w:cs="宋体" w:hint="eastAsia"/>
          <w:bCs/>
          <w:sz w:val="32"/>
          <w:szCs w:val="32"/>
        </w:rPr>
        <w:t>万人。有</w:t>
      </w:r>
      <w:r>
        <w:rPr>
          <w:rFonts w:ascii="宋体" w:hAnsi="宋体" w:cs="宋体" w:hint="eastAsia"/>
          <w:bCs/>
          <w:sz w:val="32"/>
          <w:szCs w:val="32"/>
        </w:rPr>
        <w:t>7</w:t>
      </w:r>
      <w:r w:rsidR="002D06B4">
        <w:rPr>
          <w:rFonts w:ascii="宋体" w:hAnsi="宋体" w:cs="宋体" w:hint="eastAsia"/>
          <w:bCs/>
          <w:sz w:val="32"/>
          <w:szCs w:val="32"/>
        </w:rPr>
        <w:t>个居委会（</w:t>
      </w:r>
      <w:r>
        <w:rPr>
          <w:rFonts w:ascii="宋体" w:hAnsi="宋体" w:cs="宋体" w:hint="eastAsia"/>
          <w:bCs/>
          <w:sz w:val="32"/>
          <w:szCs w:val="32"/>
        </w:rPr>
        <w:t>襄阳街</w:t>
      </w:r>
      <w:r w:rsidR="002D06B4">
        <w:rPr>
          <w:rFonts w:ascii="宋体" w:hAnsi="宋体" w:cs="宋体" w:hint="eastAsia"/>
          <w:bCs/>
          <w:sz w:val="32"/>
          <w:szCs w:val="32"/>
        </w:rPr>
        <w:t>社区居委会、</w:t>
      </w:r>
      <w:r>
        <w:rPr>
          <w:rFonts w:ascii="宋体" w:hAnsi="宋体" w:cs="宋体" w:hint="eastAsia"/>
          <w:bCs/>
          <w:sz w:val="32"/>
          <w:szCs w:val="32"/>
        </w:rPr>
        <w:t>阳由</w:t>
      </w:r>
      <w:r w:rsidR="002D06B4">
        <w:rPr>
          <w:rFonts w:ascii="宋体" w:hAnsi="宋体" w:cs="宋体" w:hint="eastAsia"/>
          <w:bCs/>
          <w:sz w:val="32"/>
          <w:szCs w:val="32"/>
        </w:rPr>
        <w:t>社区居委会、</w:t>
      </w:r>
      <w:r>
        <w:rPr>
          <w:rFonts w:ascii="宋体" w:hAnsi="宋体" w:cs="宋体" w:hint="eastAsia"/>
          <w:bCs/>
          <w:sz w:val="32"/>
          <w:szCs w:val="32"/>
        </w:rPr>
        <w:t>澧阳</w:t>
      </w:r>
      <w:r w:rsidR="002D06B4">
        <w:rPr>
          <w:rFonts w:ascii="宋体" w:hAnsi="宋体" w:cs="宋体" w:hint="eastAsia"/>
          <w:bCs/>
          <w:sz w:val="32"/>
          <w:szCs w:val="32"/>
        </w:rPr>
        <w:t>社区居委会、</w:t>
      </w:r>
      <w:r>
        <w:rPr>
          <w:rFonts w:ascii="宋体" w:hAnsi="宋体" w:cs="宋体" w:hint="eastAsia"/>
          <w:bCs/>
          <w:sz w:val="32"/>
          <w:szCs w:val="32"/>
        </w:rPr>
        <w:t>汤家湖</w:t>
      </w:r>
      <w:r w:rsidR="002D06B4">
        <w:rPr>
          <w:rFonts w:ascii="宋体" w:hAnsi="宋体" w:cs="宋体" w:hint="eastAsia"/>
          <w:bCs/>
          <w:sz w:val="32"/>
          <w:szCs w:val="32"/>
        </w:rPr>
        <w:t>社区居委会</w:t>
      </w:r>
      <w:r>
        <w:rPr>
          <w:rFonts w:ascii="宋体" w:hAnsi="宋体" w:cs="宋体" w:hint="eastAsia"/>
          <w:bCs/>
          <w:sz w:val="32"/>
          <w:szCs w:val="32"/>
        </w:rPr>
        <w:t>、古大同社区居委会、盐矿社区居委会、荷花社区居委会</w:t>
      </w:r>
      <w:r w:rsidR="002D06B4">
        <w:rPr>
          <w:rFonts w:ascii="宋体" w:hAnsi="宋体" w:cs="宋体" w:hint="eastAsia"/>
          <w:bCs/>
          <w:sz w:val="32"/>
          <w:szCs w:val="32"/>
        </w:rPr>
        <w:t>）。</w:t>
      </w:r>
    </w:p>
    <w:p w:rsidR="00B9308F" w:rsidRDefault="002D06B4">
      <w:pPr>
        <w:ind w:firstLineChars="200" w:firstLine="64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（二）单位主要职责</w:t>
      </w:r>
    </w:p>
    <w:p w:rsidR="00B9308F" w:rsidRDefault="002D06B4">
      <w:pPr>
        <w:ind w:firstLineChars="200" w:firstLine="64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1.加强党的建设。落实基层党建工作责任制，统筹街道和村（居）区域化党建，加强非公有制经济组织和社会组织</w:t>
      </w:r>
      <w:r>
        <w:rPr>
          <w:rFonts w:ascii="宋体" w:hAnsi="宋体" w:cs="宋体" w:hint="eastAsia"/>
          <w:bCs/>
          <w:sz w:val="32"/>
          <w:szCs w:val="32"/>
        </w:rPr>
        <w:lastRenderedPageBreak/>
        <w:t>党建工作。</w:t>
      </w:r>
    </w:p>
    <w:p w:rsidR="00B9308F" w:rsidRDefault="002D06B4">
      <w:pPr>
        <w:ind w:firstLineChars="200" w:firstLine="64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2.统筹区域发展。参与拟定关于辖区发展的重大决策和建设规划并统筹落实，促进项目发展等工作。对辖区内各类行政执法工作进行统筹协调。</w:t>
      </w:r>
    </w:p>
    <w:p w:rsidR="00B9308F" w:rsidRDefault="002D06B4">
      <w:pPr>
        <w:ind w:firstLineChars="200" w:firstLine="64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3.组织公共服务。组织实施与村（居）民生活密切相关的各项公共服务事项，落实相关法规政策。</w:t>
      </w:r>
    </w:p>
    <w:p w:rsidR="00B9308F" w:rsidRDefault="002D06B4">
      <w:pPr>
        <w:ind w:firstLineChars="200" w:firstLine="64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4.实施公共管理。负责辖区内生态环保、城管、控违拆违、征地拆迁等综合性管理工作。承担辖区内社会治安综合治理、平安建设、应急管理、接待群众来信来访、化解矛盾纠纷等有关工作。</w:t>
      </w:r>
    </w:p>
    <w:p w:rsidR="00B9308F" w:rsidRDefault="002D06B4">
      <w:pPr>
        <w:ind w:firstLineChars="200" w:firstLine="64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5.保障村（居）自治。指导村（居）民委员会建设，健全村（居）民自治平台。</w:t>
      </w:r>
    </w:p>
    <w:p w:rsidR="00B9308F" w:rsidRDefault="002D06B4">
      <w:pPr>
        <w:pStyle w:val="a4"/>
        <w:widowControl/>
        <w:spacing w:line="600" w:lineRule="exact"/>
        <w:ind w:left="640" w:firstLineChars="0" w:firstLine="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二、一般公共预算支出情况</w:t>
      </w:r>
    </w:p>
    <w:p w:rsidR="00B9308F" w:rsidRDefault="002D06B4">
      <w:pPr>
        <w:spacing w:line="580" w:lineRule="exact"/>
        <w:ind w:firstLine="643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（一）基本支出情况</w:t>
      </w:r>
    </w:p>
    <w:p w:rsidR="00B9308F" w:rsidRDefault="002D06B4">
      <w:pPr>
        <w:ind w:firstLineChars="200" w:firstLine="64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2021年财政拨款支出</w:t>
      </w:r>
      <w:r w:rsidR="00164ECC">
        <w:rPr>
          <w:rFonts w:ascii="宋体" w:hAnsi="宋体" w:cs="宋体" w:hint="eastAsia"/>
          <w:bCs/>
          <w:sz w:val="32"/>
          <w:szCs w:val="32"/>
        </w:rPr>
        <w:t>1348.71</w:t>
      </w:r>
      <w:r>
        <w:rPr>
          <w:rFonts w:ascii="宋体" w:hAnsi="宋体" w:cs="宋体" w:hint="eastAsia"/>
          <w:bCs/>
          <w:sz w:val="32"/>
          <w:szCs w:val="32"/>
        </w:rPr>
        <w:t>万元，其中基本支出</w:t>
      </w:r>
      <w:r w:rsidR="00164ECC">
        <w:rPr>
          <w:rFonts w:ascii="宋体" w:hAnsi="宋体" w:cs="宋体" w:hint="eastAsia"/>
          <w:bCs/>
          <w:sz w:val="32"/>
          <w:szCs w:val="32"/>
        </w:rPr>
        <w:t>1348.71</w:t>
      </w:r>
      <w:r>
        <w:rPr>
          <w:rFonts w:ascii="宋体" w:hAnsi="宋体" w:cs="宋体" w:hint="eastAsia"/>
          <w:bCs/>
          <w:sz w:val="32"/>
          <w:szCs w:val="32"/>
        </w:rPr>
        <w:t>万元。按功能科目分类：一般公共服务支出</w:t>
      </w:r>
      <w:r w:rsidR="00164ECC">
        <w:rPr>
          <w:rFonts w:ascii="宋体" w:hAnsi="宋体" w:cs="宋体" w:hint="eastAsia"/>
          <w:bCs/>
          <w:sz w:val="32"/>
          <w:szCs w:val="32"/>
        </w:rPr>
        <w:t>405.59</w:t>
      </w:r>
      <w:r>
        <w:rPr>
          <w:rFonts w:ascii="宋体" w:hAnsi="宋体" w:cs="宋体" w:hint="eastAsia"/>
          <w:bCs/>
          <w:sz w:val="32"/>
          <w:szCs w:val="32"/>
        </w:rPr>
        <w:t>万元，占</w:t>
      </w:r>
      <w:r w:rsidR="00164ECC">
        <w:rPr>
          <w:rFonts w:ascii="宋体" w:hAnsi="宋体" w:cs="宋体" w:hint="eastAsia"/>
          <w:bCs/>
          <w:sz w:val="32"/>
          <w:szCs w:val="32"/>
        </w:rPr>
        <w:t>30</w:t>
      </w:r>
      <w:r>
        <w:rPr>
          <w:rFonts w:ascii="宋体" w:hAnsi="宋体" w:cs="宋体" w:hint="eastAsia"/>
          <w:bCs/>
          <w:sz w:val="32"/>
          <w:szCs w:val="32"/>
        </w:rPr>
        <w:t>%；文化旅游体育与传媒支出</w:t>
      </w:r>
      <w:r w:rsidR="00164ECC">
        <w:rPr>
          <w:rFonts w:ascii="宋体" w:hAnsi="宋体" w:cs="宋体" w:hint="eastAsia"/>
          <w:bCs/>
          <w:sz w:val="32"/>
          <w:szCs w:val="32"/>
        </w:rPr>
        <w:t>74.05</w:t>
      </w:r>
      <w:r>
        <w:rPr>
          <w:rFonts w:ascii="宋体" w:hAnsi="宋体" w:cs="宋体" w:hint="eastAsia"/>
          <w:bCs/>
          <w:sz w:val="32"/>
          <w:szCs w:val="32"/>
        </w:rPr>
        <w:t>万元，占</w:t>
      </w:r>
      <w:r w:rsidR="00164ECC">
        <w:rPr>
          <w:rFonts w:ascii="宋体" w:hAnsi="宋体" w:cs="宋体" w:hint="eastAsia"/>
          <w:bCs/>
          <w:sz w:val="32"/>
          <w:szCs w:val="32"/>
        </w:rPr>
        <w:t>5.49</w:t>
      </w:r>
      <w:r>
        <w:rPr>
          <w:rFonts w:ascii="宋体" w:hAnsi="宋体" w:cs="宋体" w:hint="eastAsia"/>
          <w:bCs/>
          <w:sz w:val="32"/>
          <w:szCs w:val="32"/>
        </w:rPr>
        <w:t>%；社会保障和就业支出</w:t>
      </w:r>
      <w:r w:rsidR="00164ECC">
        <w:rPr>
          <w:rFonts w:ascii="宋体" w:hAnsi="宋体" w:cs="宋体" w:hint="eastAsia"/>
          <w:bCs/>
          <w:sz w:val="32"/>
          <w:szCs w:val="32"/>
        </w:rPr>
        <w:t>205.3</w:t>
      </w:r>
      <w:r>
        <w:rPr>
          <w:rFonts w:ascii="宋体" w:hAnsi="宋体" w:cs="宋体" w:hint="eastAsia"/>
          <w:bCs/>
          <w:sz w:val="32"/>
          <w:szCs w:val="32"/>
        </w:rPr>
        <w:t>万元，占</w:t>
      </w:r>
      <w:r w:rsidR="00164ECC">
        <w:rPr>
          <w:rFonts w:ascii="宋体" w:hAnsi="宋体" w:cs="宋体" w:hint="eastAsia"/>
          <w:bCs/>
          <w:sz w:val="32"/>
          <w:szCs w:val="32"/>
        </w:rPr>
        <w:t>15.22</w:t>
      </w:r>
      <w:r>
        <w:rPr>
          <w:rFonts w:ascii="宋体" w:hAnsi="宋体" w:cs="宋体" w:hint="eastAsia"/>
          <w:bCs/>
          <w:sz w:val="32"/>
          <w:szCs w:val="32"/>
        </w:rPr>
        <w:t>%；卫生健康支出</w:t>
      </w:r>
      <w:r w:rsidR="00164ECC">
        <w:rPr>
          <w:rFonts w:ascii="宋体" w:hAnsi="宋体" w:cs="宋体" w:hint="eastAsia"/>
          <w:bCs/>
          <w:sz w:val="32"/>
          <w:szCs w:val="32"/>
        </w:rPr>
        <w:t>24</w:t>
      </w:r>
      <w:r>
        <w:rPr>
          <w:rFonts w:ascii="宋体" w:hAnsi="宋体" w:cs="宋体" w:hint="eastAsia"/>
          <w:bCs/>
          <w:sz w:val="32"/>
          <w:szCs w:val="32"/>
        </w:rPr>
        <w:t>万元，占</w:t>
      </w:r>
      <w:r w:rsidR="00164ECC">
        <w:rPr>
          <w:rFonts w:ascii="宋体" w:hAnsi="宋体" w:cs="宋体" w:hint="eastAsia"/>
          <w:bCs/>
          <w:sz w:val="32"/>
          <w:szCs w:val="32"/>
        </w:rPr>
        <w:t>1.78</w:t>
      </w:r>
      <w:r>
        <w:rPr>
          <w:rFonts w:ascii="宋体" w:hAnsi="宋体" w:cs="宋体" w:hint="eastAsia"/>
          <w:bCs/>
          <w:sz w:val="32"/>
          <w:szCs w:val="32"/>
        </w:rPr>
        <w:t>%；城乡社区支出</w:t>
      </w:r>
      <w:r w:rsidR="00164ECC">
        <w:rPr>
          <w:rFonts w:ascii="宋体" w:hAnsi="宋体" w:cs="宋体" w:hint="eastAsia"/>
          <w:bCs/>
          <w:sz w:val="32"/>
          <w:szCs w:val="32"/>
        </w:rPr>
        <w:t>220.5</w:t>
      </w:r>
      <w:r>
        <w:rPr>
          <w:rFonts w:ascii="宋体" w:hAnsi="宋体" w:cs="宋体" w:hint="eastAsia"/>
          <w:bCs/>
          <w:sz w:val="32"/>
          <w:szCs w:val="32"/>
        </w:rPr>
        <w:t>万元，占</w:t>
      </w:r>
      <w:r w:rsidR="00164ECC">
        <w:rPr>
          <w:rFonts w:ascii="宋体" w:hAnsi="宋体" w:cs="宋体" w:hint="eastAsia"/>
          <w:bCs/>
          <w:sz w:val="32"/>
          <w:szCs w:val="32"/>
        </w:rPr>
        <w:t>16.35</w:t>
      </w:r>
      <w:r>
        <w:rPr>
          <w:rFonts w:ascii="宋体" w:hAnsi="宋体" w:cs="宋体" w:hint="eastAsia"/>
          <w:bCs/>
          <w:sz w:val="32"/>
          <w:szCs w:val="32"/>
        </w:rPr>
        <w:t>%；农林水支出</w:t>
      </w:r>
      <w:r w:rsidR="00164ECC">
        <w:rPr>
          <w:rFonts w:ascii="宋体" w:hAnsi="宋体" w:cs="宋体" w:hint="eastAsia"/>
          <w:bCs/>
          <w:sz w:val="32"/>
          <w:szCs w:val="32"/>
        </w:rPr>
        <w:t>333</w:t>
      </w:r>
      <w:r>
        <w:rPr>
          <w:rFonts w:ascii="宋体" w:hAnsi="宋体" w:cs="宋体" w:hint="eastAsia"/>
          <w:bCs/>
          <w:sz w:val="32"/>
          <w:szCs w:val="32"/>
        </w:rPr>
        <w:t>万元，占</w:t>
      </w:r>
      <w:r w:rsidR="00164ECC">
        <w:rPr>
          <w:rFonts w:ascii="宋体" w:hAnsi="宋体" w:cs="宋体" w:hint="eastAsia"/>
          <w:bCs/>
          <w:sz w:val="32"/>
          <w:szCs w:val="32"/>
        </w:rPr>
        <w:t>24.6</w:t>
      </w:r>
      <w:r>
        <w:rPr>
          <w:rFonts w:ascii="宋体" w:hAnsi="宋体" w:cs="宋体" w:hint="eastAsia"/>
          <w:bCs/>
          <w:sz w:val="32"/>
          <w:szCs w:val="32"/>
        </w:rPr>
        <w:t>%；</w:t>
      </w:r>
      <w:r w:rsidR="00164ECC">
        <w:rPr>
          <w:rFonts w:ascii="宋体" w:hAnsi="宋体" w:cs="宋体" w:hint="eastAsia"/>
          <w:bCs/>
          <w:sz w:val="32"/>
          <w:szCs w:val="32"/>
        </w:rPr>
        <w:t>公共安全</w:t>
      </w:r>
      <w:r>
        <w:rPr>
          <w:rFonts w:ascii="宋体" w:hAnsi="宋体" w:cs="宋体" w:hint="eastAsia"/>
          <w:bCs/>
          <w:sz w:val="32"/>
          <w:szCs w:val="32"/>
        </w:rPr>
        <w:t>支出</w:t>
      </w:r>
      <w:r w:rsidR="00164ECC">
        <w:rPr>
          <w:rFonts w:ascii="宋体" w:hAnsi="宋体" w:cs="宋体" w:hint="eastAsia"/>
          <w:bCs/>
          <w:sz w:val="32"/>
          <w:szCs w:val="32"/>
        </w:rPr>
        <w:t>6</w:t>
      </w:r>
      <w:r>
        <w:rPr>
          <w:rFonts w:ascii="宋体" w:hAnsi="宋体" w:cs="宋体" w:hint="eastAsia"/>
          <w:bCs/>
          <w:sz w:val="32"/>
          <w:szCs w:val="32"/>
        </w:rPr>
        <w:t>万元，占</w:t>
      </w:r>
      <w:r w:rsidR="00164ECC">
        <w:rPr>
          <w:rFonts w:ascii="宋体" w:hAnsi="宋体" w:cs="宋体" w:hint="eastAsia"/>
          <w:bCs/>
          <w:sz w:val="32"/>
          <w:szCs w:val="32"/>
        </w:rPr>
        <w:t>0.44</w:t>
      </w:r>
      <w:r>
        <w:rPr>
          <w:rFonts w:ascii="宋体" w:hAnsi="宋体" w:cs="宋体" w:hint="eastAsia"/>
          <w:bCs/>
          <w:sz w:val="32"/>
          <w:szCs w:val="32"/>
        </w:rPr>
        <w:t>%；住房保障支出</w:t>
      </w:r>
      <w:r w:rsidR="00164ECC">
        <w:rPr>
          <w:rFonts w:ascii="宋体" w:hAnsi="宋体" w:cs="宋体" w:hint="eastAsia"/>
          <w:bCs/>
          <w:sz w:val="32"/>
          <w:szCs w:val="32"/>
        </w:rPr>
        <w:t>20.26</w:t>
      </w:r>
      <w:r>
        <w:rPr>
          <w:rFonts w:ascii="宋体" w:hAnsi="宋体" w:cs="宋体" w:hint="eastAsia"/>
          <w:bCs/>
          <w:sz w:val="32"/>
          <w:szCs w:val="32"/>
        </w:rPr>
        <w:t>万元，占</w:t>
      </w:r>
      <w:r w:rsidR="00164ECC">
        <w:rPr>
          <w:rFonts w:ascii="宋体" w:hAnsi="宋体" w:cs="宋体" w:hint="eastAsia"/>
          <w:bCs/>
          <w:sz w:val="32"/>
          <w:szCs w:val="32"/>
        </w:rPr>
        <w:t>1.5</w:t>
      </w:r>
      <w:r>
        <w:rPr>
          <w:rFonts w:ascii="宋体" w:hAnsi="宋体" w:cs="宋体" w:hint="eastAsia"/>
          <w:bCs/>
          <w:sz w:val="32"/>
          <w:szCs w:val="32"/>
        </w:rPr>
        <w:t>%；</w:t>
      </w:r>
      <w:r w:rsidR="00164ECC">
        <w:rPr>
          <w:rFonts w:ascii="宋体" w:hAnsi="宋体" w:cs="宋体" w:hint="eastAsia"/>
          <w:bCs/>
          <w:sz w:val="32"/>
          <w:szCs w:val="32"/>
        </w:rPr>
        <w:t>科学技术支出5万元，占0.37%；节能环保支出10万元，占0.74%；资源</w:t>
      </w:r>
      <w:r w:rsidR="00164ECC">
        <w:rPr>
          <w:rFonts w:ascii="宋体" w:hAnsi="宋体" w:cs="宋体" w:hint="eastAsia"/>
          <w:bCs/>
          <w:sz w:val="32"/>
          <w:szCs w:val="32"/>
        </w:rPr>
        <w:lastRenderedPageBreak/>
        <w:t>勘探工业信息等支出20万元，占1.48%；</w:t>
      </w:r>
      <w:r>
        <w:rPr>
          <w:rFonts w:ascii="宋体" w:hAnsi="宋体" w:cs="宋体" w:hint="eastAsia"/>
          <w:bCs/>
          <w:sz w:val="32"/>
          <w:szCs w:val="32"/>
        </w:rPr>
        <w:t>其他支出31万元，占</w:t>
      </w:r>
      <w:r w:rsidR="00ED7836">
        <w:rPr>
          <w:rFonts w:ascii="宋体" w:hAnsi="宋体" w:cs="宋体" w:hint="eastAsia"/>
          <w:bCs/>
          <w:sz w:val="32"/>
          <w:szCs w:val="32"/>
        </w:rPr>
        <w:t>2.03</w:t>
      </w:r>
      <w:r>
        <w:rPr>
          <w:rFonts w:ascii="宋体" w:hAnsi="宋体" w:cs="宋体" w:hint="eastAsia"/>
          <w:bCs/>
          <w:sz w:val="32"/>
          <w:szCs w:val="32"/>
        </w:rPr>
        <w:t>%。按经济分类科目分析：（1）“三公”经费支出情况：2021年，“三公”经费完成3</w:t>
      </w:r>
      <w:r w:rsidR="00583F52">
        <w:rPr>
          <w:rFonts w:ascii="宋体" w:hAnsi="宋体" w:cs="宋体" w:hint="eastAsia"/>
          <w:bCs/>
          <w:sz w:val="32"/>
          <w:szCs w:val="32"/>
        </w:rPr>
        <w:t>.3</w:t>
      </w:r>
      <w:r>
        <w:rPr>
          <w:rFonts w:ascii="宋体" w:hAnsi="宋体" w:cs="宋体" w:hint="eastAsia"/>
          <w:bCs/>
          <w:sz w:val="32"/>
          <w:szCs w:val="32"/>
        </w:rPr>
        <w:t>万元。其中：因公出国（境）费没有支出额；公务接待费完成3</w:t>
      </w:r>
      <w:r w:rsidR="00583F52">
        <w:rPr>
          <w:rFonts w:ascii="宋体" w:hAnsi="宋体" w:cs="宋体" w:hint="eastAsia"/>
          <w:bCs/>
          <w:sz w:val="32"/>
          <w:szCs w:val="32"/>
        </w:rPr>
        <w:t>.3</w:t>
      </w:r>
      <w:r>
        <w:rPr>
          <w:rFonts w:ascii="宋体" w:hAnsi="宋体" w:cs="宋体" w:hint="eastAsia"/>
          <w:bCs/>
          <w:sz w:val="32"/>
          <w:szCs w:val="32"/>
        </w:rPr>
        <w:t>万元；公务用车购置及运行维护费完成0万元，与上年数持平。（2）会议费支出情况：2021年会议费完成</w:t>
      </w:r>
      <w:r w:rsidR="00583F52">
        <w:rPr>
          <w:rFonts w:ascii="宋体" w:hAnsi="宋体" w:cs="宋体" w:hint="eastAsia"/>
          <w:bCs/>
          <w:sz w:val="32"/>
          <w:szCs w:val="32"/>
        </w:rPr>
        <w:t>3.73</w:t>
      </w:r>
      <w:r>
        <w:rPr>
          <w:rFonts w:ascii="宋体" w:hAnsi="宋体" w:cs="宋体" w:hint="eastAsia"/>
          <w:bCs/>
          <w:sz w:val="32"/>
          <w:szCs w:val="32"/>
        </w:rPr>
        <w:t>万元。（3）培训费支出情况：2021年培训费完成</w:t>
      </w:r>
      <w:r w:rsidR="00583F52">
        <w:rPr>
          <w:rFonts w:ascii="宋体" w:hAnsi="宋体" w:cs="宋体" w:hint="eastAsia"/>
          <w:bCs/>
          <w:sz w:val="32"/>
          <w:szCs w:val="32"/>
        </w:rPr>
        <w:t>2</w:t>
      </w:r>
      <w:r>
        <w:rPr>
          <w:rFonts w:ascii="宋体" w:hAnsi="宋体" w:cs="宋体" w:hint="eastAsia"/>
          <w:bCs/>
          <w:sz w:val="32"/>
          <w:szCs w:val="32"/>
        </w:rPr>
        <w:t>万元。</w:t>
      </w:r>
    </w:p>
    <w:p w:rsidR="00B9308F" w:rsidRDefault="002D06B4">
      <w:pPr>
        <w:pStyle w:val="a4"/>
        <w:widowControl/>
        <w:spacing w:line="600" w:lineRule="exact"/>
        <w:ind w:left="640" w:firstLineChars="0" w:firstLine="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（二）项目支出情况</w:t>
      </w:r>
    </w:p>
    <w:p w:rsidR="00B9308F" w:rsidRDefault="002D06B4" w:rsidP="009D3D66">
      <w:pPr>
        <w:pStyle w:val="a4"/>
        <w:widowControl/>
        <w:spacing w:line="600" w:lineRule="exact"/>
        <w:ind w:firstLine="64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2021年上级补助收入（一般公共预算）</w:t>
      </w:r>
      <w:r w:rsidR="00C50FF0">
        <w:rPr>
          <w:rFonts w:ascii="宋体" w:hAnsi="宋体" w:cs="宋体" w:hint="eastAsia"/>
          <w:bCs/>
          <w:sz w:val="32"/>
          <w:szCs w:val="32"/>
        </w:rPr>
        <w:t>1398</w:t>
      </w:r>
      <w:r>
        <w:rPr>
          <w:rFonts w:ascii="宋体" w:hAnsi="宋体" w:cs="宋体" w:hint="eastAsia"/>
          <w:bCs/>
          <w:sz w:val="32"/>
          <w:szCs w:val="32"/>
        </w:rPr>
        <w:t>万元，主要用于</w:t>
      </w:r>
      <w:r w:rsidR="00C50FF0" w:rsidRPr="00F74F95">
        <w:rPr>
          <w:rFonts w:asciiTheme="minorEastAsia" w:eastAsiaTheme="minorEastAsia" w:hAnsiTheme="minorEastAsia" w:cs="仿宋_GB2312" w:hint="eastAsia"/>
          <w:sz w:val="32"/>
          <w:szCs w:val="32"/>
        </w:rPr>
        <w:t>技校小区、人民医院周边、盐矿南小区</w:t>
      </w:r>
      <w:r w:rsidR="00C50FF0">
        <w:rPr>
          <w:rFonts w:ascii="宋体" w:hAnsi="宋体" w:cs="宋体" w:hint="eastAsia"/>
          <w:bCs/>
          <w:sz w:val="32"/>
          <w:szCs w:val="32"/>
        </w:rPr>
        <w:t>配套基础设施建设项目</w:t>
      </w:r>
      <w:r>
        <w:rPr>
          <w:rFonts w:ascii="宋体" w:hAnsi="宋体" w:cs="宋体" w:hint="eastAsia"/>
          <w:sz w:val="32"/>
          <w:szCs w:val="32"/>
        </w:rPr>
        <w:t>。</w:t>
      </w:r>
    </w:p>
    <w:p w:rsidR="00B9308F" w:rsidRDefault="002D06B4">
      <w:pPr>
        <w:pStyle w:val="a4"/>
        <w:widowControl/>
        <w:spacing w:line="600" w:lineRule="exact"/>
        <w:ind w:left="640" w:firstLineChars="0" w:firstLine="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三、政府性基金预算支出情况</w:t>
      </w:r>
    </w:p>
    <w:p w:rsidR="00B9308F" w:rsidRDefault="002D06B4" w:rsidP="009D3D66">
      <w:pPr>
        <w:pStyle w:val="a4"/>
        <w:widowControl/>
        <w:spacing w:line="600" w:lineRule="exact"/>
        <w:ind w:firstLine="64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2021年无政府性基金财政拨款。</w:t>
      </w:r>
    </w:p>
    <w:p w:rsidR="00B9308F" w:rsidRDefault="002D06B4">
      <w:pPr>
        <w:widowControl/>
        <w:spacing w:line="600" w:lineRule="exact"/>
        <w:ind w:firstLine="645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四、部门整体支出绩效情况</w:t>
      </w:r>
    </w:p>
    <w:p w:rsidR="00583F52" w:rsidRPr="00F74F95" w:rsidRDefault="00583F52" w:rsidP="00583F52">
      <w:pPr>
        <w:spacing w:line="580" w:lineRule="exact"/>
        <w:ind w:firstLineChars="200" w:firstLine="640"/>
        <w:jc w:val="left"/>
        <w:rPr>
          <w:rFonts w:asciiTheme="minorEastAsia" w:eastAsiaTheme="minorEastAsia" w:hAnsiTheme="minorEastAsia" w:cs="仿宋_GB2312"/>
          <w:sz w:val="32"/>
          <w:szCs w:val="32"/>
        </w:rPr>
      </w:pPr>
      <w:r w:rsidRPr="00F74F95">
        <w:rPr>
          <w:rFonts w:asciiTheme="minorEastAsia" w:eastAsiaTheme="minorEastAsia" w:hAnsiTheme="minorEastAsia" w:cs="仿宋_GB2312" w:hint="eastAsia"/>
          <w:sz w:val="32"/>
          <w:szCs w:val="32"/>
        </w:rPr>
        <w:t>2021年，三办绩效目标完成情况如下：</w:t>
      </w:r>
    </w:p>
    <w:p w:rsidR="00583F52" w:rsidRPr="00F74F95" w:rsidRDefault="00583F52" w:rsidP="00583F52">
      <w:pPr>
        <w:spacing w:line="580" w:lineRule="exact"/>
        <w:ind w:firstLineChars="200" w:firstLine="640"/>
        <w:rPr>
          <w:rFonts w:asciiTheme="minorEastAsia" w:eastAsiaTheme="minorEastAsia" w:hAnsiTheme="minorEastAsia" w:cs="楷体_GB2312"/>
          <w:sz w:val="32"/>
          <w:szCs w:val="32"/>
        </w:rPr>
      </w:pPr>
      <w:r w:rsidRPr="00F74F95">
        <w:rPr>
          <w:rFonts w:asciiTheme="minorEastAsia" w:eastAsiaTheme="minorEastAsia" w:hAnsiTheme="minorEastAsia" w:cs="楷体_GB2312" w:hint="eastAsia"/>
          <w:sz w:val="32"/>
          <w:szCs w:val="32"/>
        </w:rPr>
        <w:t>1、辖区基础设施建设。</w:t>
      </w:r>
    </w:p>
    <w:p w:rsidR="00583F52" w:rsidRPr="00F74F95" w:rsidRDefault="00583F52" w:rsidP="00F74F95">
      <w:pPr>
        <w:widowControl/>
        <w:spacing w:line="600" w:lineRule="exact"/>
        <w:ind w:firstLineChars="200" w:firstLine="640"/>
        <w:jc w:val="left"/>
        <w:rPr>
          <w:rFonts w:asciiTheme="minorEastAsia" w:eastAsiaTheme="minorEastAsia" w:hAnsiTheme="minorEastAsia" w:cs="宋体"/>
          <w:sz w:val="32"/>
          <w:szCs w:val="32"/>
        </w:rPr>
      </w:pPr>
      <w:r w:rsidRPr="00F74F95">
        <w:rPr>
          <w:rFonts w:asciiTheme="minorEastAsia" w:eastAsiaTheme="minorEastAsia" w:hAnsiTheme="minorEastAsia" w:cs="仿宋_GB2312" w:hint="eastAsia"/>
          <w:sz w:val="32"/>
          <w:szCs w:val="32"/>
        </w:rPr>
        <w:t>（1）推进了津港大道荷花社区周边房屋、</w:t>
      </w:r>
      <w:r w:rsidR="00EC5D70" w:rsidRPr="00F74F95">
        <w:rPr>
          <w:rFonts w:asciiTheme="minorEastAsia" w:eastAsiaTheme="minorEastAsia" w:hAnsiTheme="minorEastAsia" w:cs="仿宋_GB2312" w:hint="eastAsia"/>
          <w:sz w:val="32"/>
          <w:szCs w:val="32"/>
        </w:rPr>
        <w:t>盐矿人行便道</w:t>
      </w:r>
      <w:r w:rsidRPr="00F74F95">
        <w:rPr>
          <w:rFonts w:asciiTheme="minorEastAsia" w:eastAsiaTheme="minorEastAsia" w:hAnsiTheme="minorEastAsia" w:cs="仿宋_GB2312" w:hint="eastAsia"/>
          <w:sz w:val="32"/>
          <w:szCs w:val="32"/>
        </w:rPr>
        <w:t>、技校小区、人民医院周边、盐矿南小区、汤家湖小区等6个老旧小区改造等项目相关工作；</w:t>
      </w:r>
      <w:bookmarkStart w:id="1" w:name="_Hlk43573997"/>
      <w:r w:rsidR="00F87C8B" w:rsidRPr="00F74F95">
        <w:rPr>
          <w:rFonts w:asciiTheme="minorEastAsia" w:eastAsiaTheme="minorEastAsia" w:hAnsiTheme="minorEastAsia" w:cs="宋体" w:hint="eastAsia"/>
          <w:bCs/>
          <w:sz w:val="32"/>
          <w:szCs w:val="32"/>
        </w:rPr>
        <w:t>（1）抓改扩翻项目，向上争取改扩翻资金712多万元，对</w:t>
      </w:r>
      <w:r w:rsidR="00F87C8B" w:rsidRPr="00F74F95">
        <w:rPr>
          <w:rFonts w:asciiTheme="minorEastAsia" w:eastAsiaTheme="minorEastAsia" w:hAnsiTheme="minorEastAsia" w:cs="仿宋_GB2312" w:hint="eastAsia"/>
          <w:sz w:val="32"/>
          <w:szCs w:val="32"/>
        </w:rPr>
        <w:t>荷花社区周边房屋、盐矿人行便道、技校小区、人民医院周边、盐矿南小区、汤家湖小区1800</w:t>
      </w:r>
      <w:r w:rsidR="00F87C8B" w:rsidRPr="00F74F95">
        <w:rPr>
          <w:rFonts w:asciiTheme="minorEastAsia" w:eastAsiaTheme="minorEastAsia" w:hAnsiTheme="minorEastAsia" w:cs="宋体" w:hint="eastAsia"/>
          <w:bCs/>
          <w:sz w:val="32"/>
          <w:szCs w:val="32"/>
        </w:rPr>
        <w:t>多户居民实施了改扩翻工程，已竣工，极大的改善了辖区居民生活环境，提高了生活质量。（2）抓基础设施</w:t>
      </w:r>
      <w:r w:rsidR="00F87C8B" w:rsidRPr="00F74F95">
        <w:rPr>
          <w:rFonts w:asciiTheme="minorEastAsia" w:eastAsiaTheme="minorEastAsia" w:hAnsiTheme="minorEastAsia" w:cs="宋体" w:hint="eastAsia"/>
          <w:bCs/>
          <w:sz w:val="32"/>
          <w:szCs w:val="32"/>
        </w:rPr>
        <w:lastRenderedPageBreak/>
        <w:t>项目。加大项目整合力度，强化基础设施建设。开展二桥大道提质改造工程，丝绢路、关山路亮化绿化工程，关山岭环形游道建设工程，庙湾堰塘整治工程进一步提升街道整体风貌。</w:t>
      </w:r>
      <w:bookmarkEnd w:id="1"/>
    </w:p>
    <w:p w:rsidR="00583F52" w:rsidRPr="00F74F95" w:rsidRDefault="00583F52" w:rsidP="00583F52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  <w:shd w:val="clear" w:color="FFFFFF" w:fill="D9D9D9"/>
        </w:rPr>
      </w:pPr>
      <w:r w:rsidRPr="00F74F95">
        <w:rPr>
          <w:rFonts w:asciiTheme="minorEastAsia" w:eastAsiaTheme="minorEastAsia" w:hAnsiTheme="minorEastAsia" w:cs="仿宋_GB2312"/>
          <w:sz w:val="32"/>
          <w:szCs w:val="32"/>
        </w:rPr>
        <w:t>2</w:t>
      </w:r>
      <w:r w:rsidRPr="00F74F95">
        <w:rPr>
          <w:rFonts w:asciiTheme="minorEastAsia" w:eastAsiaTheme="minorEastAsia" w:hAnsiTheme="minorEastAsia" w:cs="仿宋_GB2312" w:hint="eastAsia"/>
          <w:sz w:val="32"/>
          <w:szCs w:val="32"/>
        </w:rPr>
        <w:t>、帮扶</w:t>
      </w:r>
      <w:r w:rsidRPr="00F74F95">
        <w:rPr>
          <w:rFonts w:asciiTheme="minorEastAsia" w:eastAsiaTheme="minorEastAsia" w:hAnsiTheme="minorEastAsia" w:cs="楷体_GB2312" w:hint="eastAsia"/>
          <w:sz w:val="32"/>
          <w:szCs w:val="32"/>
        </w:rPr>
        <w:t>服务企业工作。</w:t>
      </w:r>
    </w:p>
    <w:p w:rsidR="00583F52" w:rsidRPr="00F74F95" w:rsidRDefault="00583F52" w:rsidP="00583F52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F74F95">
        <w:rPr>
          <w:rFonts w:asciiTheme="minorEastAsia" w:eastAsiaTheme="minorEastAsia" w:hAnsiTheme="minorEastAsia" w:cs="仿宋_GB2312" w:hint="eastAsia"/>
          <w:sz w:val="32"/>
          <w:szCs w:val="32"/>
        </w:rPr>
        <w:t>帮助湖南鑫铮科技有限公司解决了搬迁转场、用工、融资以及技术瓶颈等难题，利用网格微信群及各类招聘活动组织招工1</w:t>
      </w:r>
      <w:r w:rsidRPr="00F74F95">
        <w:rPr>
          <w:rFonts w:asciiTheme="minorEastAsia" w:eastAsiaTheme="minorEastAsia" w:hAnsiTheme="minorEastAsia" w:cs="仿宋_GB2312"/>
          <w:sz w:val="32"/>
          <w:szCs w:val="32"/>
        </w:rPr>
        <w:t>0</w:t>
      </w:r>
      <w:r w:rsidRPr="00F74F95">
        <w:rPr>
          <w:rFonts w:asciiTheme="minorEastAsia" w:eastAsiaTheme="minorEastAsia" w:hAnsiTheme="minorEastAsia" w:cs="仿宋_GB2312" w:hint="eastAsia"/>
          <w:sz w:val="32"/>
          <w:szCs w:val="32"/>
        </w:rPr>
        <w:t>余次，为企业协调解决贷款60万元，协助企业成功与湖南工程学院签定了产学研合作协议，试制了圆柱形空芯杯无刷微型电机并已投入试用，让濒临破产的企业“起死回生”，此项目标完成。</w:t>
      </w:r>
    </w:p>
    <w:p w:rsidR="00583F52" w:rsidRPr="00F74F95" w:rsidRDefault="00583F52" w:rsidP="00583F52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F74F95">
        <w:rPr>
          <w:rFonts w:asciiTheme="minorEastAsia" w:eastAsiaTheme="minorEastAsia" w:hAnsiTheme="minorEastAsia" w:cs="仿宋_GB2312" w:hint="eastAsia"/>
          <w:sz w:val="32"/>
          <w:szCs w:val="32"/>
        </w:rPr>
        <w:t>3、招商</w:t>
      </w:r>
      <w:r w:rsidRPr="00F74F95">
        <w:rPr>
          <w:rFonts w:asciiTheme="minorEastAsia" w:eastAsiaTheme="minorEastAsia" w:hAnsiTheme="minorEastAsia" w:cs="楷体_GB2312" w:hint="eastAsia"/>
          <w:sz w:val="32"/>
          <w:szCs w:val="32"/>
        </w:rPr>
        <w:t>引资工作。</w:t>
      </w:r>
    </w:p>
    <w:p w:rsidR="00583F52" w:rsidRPr="00F74F95" w:rsidRDefault="00EC5D70" w:rsidP="00583F52">
      <w:pPr>
        <w:spacing w:line="580" w:lineRule="exact"/>
        <w:ind w:firstLineChars="200" w:firstLine="640"/>
        <w:rPr>
          <w:rFonts w:asciiTheme="minorEastAsia" w:eastAsiaTheme="minorEastAsia" w:hAnsiTheme="minorEastAsia" w:cs="黑体"/>
          <w:sz w:val="32"/>
          <w:szCs w:val="32"/>
        </w:rPr>
      </w:pPr>
      <w:r w:rsidRPr="00F74F95">
        <w:rPr>
          <w:rFonts w:asciiTheme="minorEastAsia" w:eastAsiaTheme="minorEastAsia" w:hAnsiTheme="minorEastAsia" w:cs="仿宋_GB2312" w:hint="eastAsia"/>
          <w:sz w:val="32"/>
          <w:szCs w:val="32"/>
        </w:rPr>
        <w:t>2021</w:t>
      </w:r>
      <w:r w:rsidR="00583F52" w:rsidRPr="00F74F95">
        <w:rPr>
          <w:rFonts w:asciiTheme="minorEastAsia" w:eastAsiaTheme="minorEastAsia" w:hAnsiTheme="minorEastAsia" w:cs="仿宋_GB2312" w:hint="eastAsia"/>
          <w:sz w:val="32"/>
          <w:szCs w:val="32"/>
        </w:rPr>
        <w:t>年，通过创新招商方式，实行“一企一策、因企施策”，与企业紧密对接，成功引进了投资3000万元的湖南鑫铮科技有限公司扩建项目，圆满完成全年招商引资任务。争取上级资金214万元，完成争资任务的107%，超额完成全年目标任务。</w:t>
      </w:r>
    </w:p>
    <w:p w:rsidR="00583F52" w:rsidRPr="003054A4" w:rsidRDefault="00583F52" w:rsidP="00583F52">
      <w:pPr>
        <w:spacing w:line="580" w:lineRule="exact"/>
        <w:ind w:firstLineChars="200" w:firstLine="640"/>
        <w:rPr>
          <w:rFonts w:ascii="仿宋" w:eastAsia="仿宋" w:hAnsi="仿宋" w:cs="楷体_GB2312"/>
          <w:sz w:val="32"/>
          <w:szCs w:val="32"/>
        </w:rPr>
      </w:pPr>
      <w:r w:rsidRPr="003054A4">
        <w:rPr>
          <w:rFonts w:ascii="仿宋" w:eastAsia="仿宋" w:hAnsi="仿宋" w:cs="楷体_GB2312" w:hint="eastAsia"/>
          <w:sz w:val="32"/>
          <w:szCs w:val="32"/>
        </w:rPr>
        <w:t>4、安全生产</w:t>
      </w:r>
      <w:r>
        <w:rPr>
          <w:rFonts w:ascii="仿宋" w:eastAsia="仿宋" w:hAnsi="仿宋" w:cs="楷体_GB2312" w:hint="eastAsia"/>
          <w:sz w:val="32"/>
          <w:szCs w:val="32"/>
        </w:rPr>
        <w:t>工作</w:t>
      </w:r>
      <w:r w:rsidRPr="003054A4">
        <w:rPr>
          <w:rFonts w:ascii="仿宋" w:eastAsia="仿宋" w:hAnsi="仿宋" w:cs="楷体_GB2312" w:hint="eastAsia"/>
          <w:sz w:val="32"/>
          <w:szCs w:val="32"/>
        </w:rPr>
        <w:t>。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基本做到了安全生产警钟长鸣。按照“一岗双责”、“打非治违”等安全生产的相关要求，开展了清远观水库漫溢跨堤演习、老果园山体滑坡演习、阳由垸防汛演习等系列活动。举办了消防知识讲座和培训3场。发放各类宣传手册、宣传单4000余份。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（2）严格了安全生产的监管和执法。</w:t>
      </w:r>
      <w:r w:rsidR="00EC5D70"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年，共组织联合执法检查</w:t>
      </w:r>
      <w:r w:rsidRPr="003255A3">
        <w:rPr>
          <w:rFonts w:ascii="仿宋_GB2312" w:eastAsia="仿宋_GB2312" w:hAnsi="仿宋_GB2312" w:cs="仿宋_GB2312" w:hint="eastAsia"/>
          <w:sz w:val="32"/>
          <w:szCs w:val="32"/>
        </w:rPr>
        <w:t>1191次，检查生产企业、各类商户等4</w:t>
      </w:r>
      <w:r w:rsidRPr="003255A3">
        <w:rPr>
          <w:rFonts w:ascii="仿宋_GB2312" w:eastAsia="仿宋_GB2312" w:hAnsi="仿宋_GB2312" w:cs="仿宋_GB2312"/>
          <w:sz w:val="32"/>
          <w:szCs w:val="32"/>
        </w:rPr>
        <w:t>56</w:t>
      </w:r>
      <w:r w:rsidRPr="003255A3">
        <w:rPr>
          <w:rFonts w:ascii="仿宋_GB2312" w:eastAsia="仿宋_GB2312" w:hAnsi="仿宋_GB2312" w:cs="仿宋_GB2312" w:hint="eastAsia"/>
          <w:sz w:val="32"/>
          <w:szCs w:val="32"/>
        </w:rPr>
        <w:t>家，出动执法人员3374人</w:t>
      </w:r>
      <w:r>
        <w:rPr>
          <w:rFonts w:ascii="仿宋_GB2312" w:eastAsia="仿宋_GB2312" w:hAnsi="仿宋_GB2312" w:cs="仿宋_GB2312" w:hint="eastAsia"/>
          <w:sz w:val="32"/>
          <w:szCs w:val="32"/>
        </w:rPr>
        <w:t>次，经济处罚1.53万元，责令停产停业6家，吊销许可证照1家，取缔关闭4家，问责干部2人，曝光典型案例9家。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此项目标完成。</w:t>
      </w:r>
    </w:p>
    <w:p w:rsidR="00583F52" w:rsidRPr="003054A4" w:rsidRDefault="00583F52" w:rsidP="00583F52">
      <w:pPr>
        <w:spacing w:line="580" w:lineRule="exact"/>
        <w:ind w:firstLineChars="200" w:firstLine="640"/>
        <w:rPr>
          <w:rFonts w:ascii="仿宋" w:eastAsia="仿宋" w:hAnsi="仿宋" w:cs="楷体_GB2312"/>
          <w:sz w:val="32"/>
          <w:szCs w:val="32"/>
        </w:rPr>
      </w:pPr>
      <w:r w:rsidRPr="003054A4">
        <w:rPr>
          <w:rFonts w:ascii="仿宋" w:eastAsia="仿宋" w:hAnsi="仿宋" w:cs="楷体_GB2312"/>
          <w:sz w:val="32"/>
          <w:szCs w:val="32"/>
        </w:rPr>
        <w:t>5</w:t>
      </w:r>
      <w:r w:rsidRPr="003054A4">
        <w:rPr>
          <w:rFonts w:ascii="仿宋" w:eastAsia="仿宋" w:hAnsi="仿宋" w:cs="楷体_GB2312" w:hint="eastAsia"/>
          <w:sz w:val="32"/>
          <w:szCs w:val="32"/>
        </w:rPr>
        <w:t>、化解社会矛盾</w:t>
      </w:r>
      <w:r>
        <w:rPr>
          <w:rFonts w:ascii="仿宋" w:eastAsia="仿宋" w:hAnsi="仿宋" w:cs="楷体_GB2312" w:hint="eastAsia"/>
          <w:sz w:val="32"/>
          <w:szCs w:val="32"/>
        </w:rPr>
        <w:t>、</w:t>
      </w:r>
      <w:r w:rsidRPr="003054A4">
        <w:rPr>
          <w:rFonts w:ascii="仿宋" w:eastAsia="仿宋" w:hAnsi="仿宋" w:cs="楷体_GB2312" w:hint="eastAsia"/>
          <w:sz w:val="32"/>
          <w:szCs w:val="32"/>
        </w:rPr>
        <w:t>保稳定</w:t>
      </w:r>
      <w:r>
        <w:rPr>
          <w:rFonts w:ascii="仿宋" w:eastAsia="仿宋" w:hAnsi="仿宋" w:cs="楷体_GB2312" w:hint="eastAsia"/>
          <w:sz w:val="32"/>
          <w:szCs w:val="32"/>
        </w:rPr>
        <w:t>工作</w:t>
      </w:r>
      <w:r w:rsidRPr="003054A4">
        <w:rPr>
          <w:rFonts w:ascii="仿宋" w:eastAsia="仿宋" w:hAnsi="仿宋" w:cs="楷体_GB2312" w:hint="eastAsia"/>
          <w:sz w:val="32"/>
          <w:szCs w:val="32"/>
        </w:rPr>
        <w:t>。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全年共处理网上信访63件，来信来访登记调处47件，排查矛盾纠纷187件。省委巡视组安保工作期间、建国70周年大庆等重点时段对不稳定因素进行重点排查，对重大问题按“五包一”措施实施稳控，确保了“四个绝不发生”，未发生一起到常赴省进京的非正常上访情况。此项目标完成。</w:t>
      </w:r>
    </w:p>
    <w:p w:rsidR="00583F52" w:rsidRPr="003054A4" w:rsidRDefault="00583F52" w:rsidP="00583F52">
      <w:pPr>
        <w:spacing w:line="580" w:lineRule="exact"/>
        <w:ind w:firstLineChars="200" w:firstLine="640"/>
        <w:rPr>
          <w:rFonts w:ascii="仿宋" w:eastAsia="仿宋" w:hAnsi="仿宋" w:cs="楷体_GB2312"/>
          <w:sz w:val="32"/>
          <w:szCs w:val="32"/>
        </w:rPr>
      </w:pPr>
      <w:r w:rsidRPr="003054A4">
        <w:rPr>
          <w:rFonts w:ascii="仿宋" w:eastAsia="仿宋" w:hAnsi="仿宋" w:cs="黑体" w:hint="eastAsia"/>
          <w:sz w:val="32"/>
          <w:szCs w:val="32"/>
        </w:rPr>
        <w:t>6、</w:t>
      </w:r>
      <w:r w:rsidRPr="003054A4">
        <w:rPr>
          <w:rFonts w:ascii="仿宋" w:eastAsia="仿宋" w:hAnsi="仿宋" w:cs="楷体_GB2312" w:hint="eastAsia"/>
          <w:sz w:val="32"/>
          <w:szCs w:val="32"/>
        </w:rPr>
        <w:t>文化事业</w:t>
      </w:r>
      <w:r>
        <w:rPr>
          <w:rFonts w:ascii="仿宋" w:eastAsia="仿宋" w:hAnsi="仿宋" w:cs="楷体_GB2312" w:hint="eastAsia"/>
          <w:sz w:val="32"/>
          <w:szCs w:val="32"/>
        </w:rPr>
        <w:t>工作</w:t>
      </w:r>
      <w:r w:rsidRPr="003054A4">
        <w:rPr>
          <w:rFonts w:ascii="仿宋" w:eastAsia="仿宋" w:hAnsi="仿宋" w:cs="楷体_GB2312" w:hint="eastAsia"/>
          <w:sz w:val="32"/>
          <w:szCs w:val="32"/>
        </w:rPr>
        <w:t>。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举办了春节送春联、唱红歌比赛、暑期留守儿童才艺培训班、社区文化管理员培训会等系列活动，选送优秀节目参加了市70周年国庆晚会，投资15万元打造了“书香满院”的街道图书室，丰富了干群的业余生活，辖区文化氛围明显提升。目标完成。</w:t>
      </w:r>
    </w:p>
    <w:p w:rsidR="00583F52" w:rsidRPr="003054A4" w:rsidRDefault="00583F52" w:rsidP="00583F52">
      <w:pPr>
        <w:spacing w:line="580" w:lineRule="exact"/>
        <w:ind w:firstLineChars="200" w:firstLine="640"/>
        <w:rPr>
          <w:rFonts w:ascii="仿宋" w:eastAsia="仿宋" w:hAnsi="仿宋" w:cs="楷体_GB2312"/>
          <w:sz w:val="32"/>
          <w:szCs w:val="32"/>
        </w:rPr>
      </w:pPr>
      <w:r w:rsidRPr="003054A4">
        <w:rPr>
          <w:rFonts w:ascii="仿宋" w:eastAsia="仿宋" w:hAnsi="仿宋" w:cs="楷体_GB2312" w:hint="eastAsia"/>
          <w:sz w:val="32"/>
          <w:szCs w:val="32"/>
        </w:rPr>
        <w:t>7、环境整治</w:t>
      </w:r>
      <w:r>
        <w:rPr>
          <w:rFonts w:ascii="仿宋" w:eastAsia="仿宋" w:hAnsi="仿宋" w:cs="楷体_GB2312" w:hint="eastAsia"/>
          <w:sz w:val="32"/>
          <w:szCs w:val="32"/>
        </w:rPr>
        <w:t>工作</w:t>
      </w:r>
      <w:r w:rsidRPr="003054A4">
        <w:rPr>
          <w:rFonts w:ascii="仿宋" w:eastAsia="仿宋" w:hAnsi="仿宋" w:cs="楷体_GB2312" w:hint="eastAsia"/>
          <w:sz w:val="32"/>
          <w:szCs w:val="32"/>
        </w:rPr>
        <w:t>。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按照持续打好大气污染防治“保卫战”、水环境治理“持久战”、土地治理“攻坚战”的要求，实行“包保制”，确保了秸秆禁烧监管、水质监测、畜禽退养管控工作常态化。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（1）通过对秸秆焚烧、八大污染源进行全面严格值班巡查与管控，对11起焚烧秸秆当事人进行了处罚与教育；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（2）完成了清远观245亩黑臭水体治理、8400米主干沟渠清淤整治及农村面源污染治理；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（3）为落实河长制要求，对辖区“乱占”、“乱采”、“乱堆”、“乱建”问题进行了全面清理整治。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此项目标完成。</w:t>
      </w:r>
    </w:p>
    <w:p w:rsidR="00583F52" w:rsidRPr="003054A4" w:rsidRDefault="00583F52" w:rsidP="00583F52">
      <w:pPr>
        <w:spacing w:line="580" w:lineRule="exact"/>
        <w:ind w:firstLineChars="200" w:firstLine="640"/>
        <w:rPr>
          <w:rFonts w:ascii="仿宋" w:eastAsia="仿宋" w:hAnsi="仿宋" w:cs="楷体_GB2312"/>
          <w:sz w:val="32"/>
          <w:szCs w:val="32"/>
        </w:rPr>
      </w:pPr>
      <w:r>
        <w:rPr>
          <w:rFonts w:ascii="仿宋" w:eastAsia="仿宋" w:hAnsi="仿宋" w:cs="黑体"/>
          <w:sz w:val="32"/>
          <w:szCs w:val="32"/>
        </w:rPr>
        <w:t>8</w:t>
      </w:r>
      <w:r w:rsidRPr="003054A4">
        <w:rPr>
          <w:rFonts w:ascii="仿宋" w:eastAsia="仿宋" w:hAnsi="仿宋" w:cs="黑体" w:hint="eastAsia"/>
          <w:sz w:val="32"/>
          <w:szCs w:val="32"/>
        </w:rPr>
        <w:t>、</w:t>
      </w:r>
      <w:r w:rsidRPr="003054A4">
        <w:rPr>
          <w:rFonts w:ascii="仿宋" w:eastAsia="仿宋" w:hAnsi="仿宋" w:cs="楷体_GB2312" w:hint="eastAsia"/>
          <w:sz w:val="32"/>
          <w:szCs w:val="32"/>
        </w:rPr>
        <w:t>民生保障</w:t>
      </w:r>
      <w:r>
        <w:rPr>
          <w:rFonts w:ascii="仿宋" w:eastAsia="仿宋" w:hAnsi="仿宋" w:cs="楷体_GB2312" w:hint="eastAsia"/>
          <w:sz w:val="32"/>
          <w:szCs w:val="32"/>
        </w:rPr>
        <w:t>工作</w:t>
      </w:r>
      <w:r w:rsidRPr="003054A4">
        <w:rPr>
          <w:rFonts w:ascii="仿宋" w:eastAsia="仿宋" w:hAnsi="仿宋" w:cs="楷体_GB2312" w:hint="eastAsia"/>
          <w:sz w:val="32"/>
          <w:szCs w:val="32"/>
        </w:rPr>
        <w:t>。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（1）发放低保、特困供养对象生活救助168万多元，高龄老人、困难失能半失能等对象补贴4.3万元，临时救助231人15.7万元；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（2）完成新增就业</w:t>
      </w:r>
      <w:r w:rsidRPr="003255A3">
        <w:rPr>
          <w:rFonts w:ascii="仿宋_GB2312" w:eastAsia="仿宋_GB2312" w:hAnsi="仿宋_GB2312" w:cs="仿宋_GB2312" w:hint="eastAsia"/>
          <w:sz w:val="32"/>
          <w:szCs w:val="32"/>
        </w:rPr>
        <w:t>1003人，失业人员再就业401人，</w:t>
      </w:r>
      <w:r>
        <w:rPr>
          <w:rFonts w:ascii="仿宋_GB2312" w:eastAsia="仿宋_GB2312" w:hAnsi="仿宋_GB2312" w:cs="仿宋_GB2312" w:hint="eastAsia"/>
          <w:sz w:val="32"/>
          <w:szCs w:val="32"/>
        </w:rPr>
        <w:t>困难人员就</w:t>
      </w:r>
      <w:r w:rsidRPr="003255A3">
        <w:rPr>
          <w:rFonts w:ascii="仿宋_GB2312" w:eastAsia="仿宋_GB2312" w:hAnsi="仿宋_GB2312" w:cs="仿宋_GB2312" w:hint="eastAsia"/>
          <w:sz w:val="32"/>
          <w:szCs w:val="32"/>
        </w:rPr>
        <w:t>业197人；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（3）为辖区退役军人和其他优抚对象社保接续暂存25人，医疗救助及生活解困人员28人。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通过以上措施，基本保证了辖区的稳定，此项目表基本完成。</w:t>
      </w:r>
    </w:p>
    <w:p w:rsidR="00583F52" w:rsidRPr="003054A4" w:rsidRDefault="00583F52" w:rsidP="00583F52">
      <w:pPr>
        <w:spacing w:line="580" w:lineRule="exact"/>
        <w:ind w:firstLineChars="200" w:firstLine="640"/>
        <w:rPr>
          <w:rFonts w:ascii="仿宋" w:eastAsia="仿宋" w:hAnsi="仿宋" w:cs="楷体_GB2312"/>
          <w:sz w:val="32"/>
          <w:szCs w:val="32"/>
        </w:rPr>
      </w:pPr>
      <w:r>
        <w:rPr>
          <w:rFonts w:ascii="仿宋" w:eastAsia="仿宋" w:hAnsi="仿宋" w:cs="楷体_GB2312"/>
          <w:sz w:val="32"/>
          <w:szCs w:val="32"/>
        </w:rPr>
        <w:t>9</w:t>
      </w:r>
      <w:r w:rsidRPr="003054A4">
        <w:rPr>
          <w:rFonts w:ascii="仿宋" w:eastAsia="仿宋" w:hAnsi="仿宋" w:cs="楷体_GB2312" w:hint="eastAsia"/>
          <w:sz w:val="32"/>
          <w:szCs w:val="32"/>
        </w:rPr>
        <w:t>、卫计服务</w:t>
      </w:r>
      <w:r>
        <w:rPr>
          <w:rFonts w:ascii="仿宋" w:eastAsia="仿宋" w:hAnsi="仿宋" w:cs="楷体_GB2312" w:hint="eastAsia"/>
          <w:sz w:val="32"/>
          <w:szCs w:val="32"/>
        </w:rPr>
        <w:t>工作</w:t>
      </w:r>
      <w:r w:rsidRPr="003054A4">
        <w:rPr>
          <w:rFonts w:ascii="仿宋" w:eastAsia="仿宋" w:hAnsi="仿宋" w:cs="楷体_GB2312" w:hint="eastAsia"/>
          <w:sz w:val="32"/>
          <w:szCs w:val="32"/>
        </w:rPr>
        <w:t>。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（1）不断强化卫计服务，实现了出生统计准确率、符合政策生育率、奖扶奖励扶助确认准确率、流动人口管理到位率四个100%的目标；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（2）对辖区内76个特殊家庭人员提供居家服务，建立了“双岗联系人制度”；</w:t>
      </w:r>
    </w:p>
    <w:p w:rsidR="00583F52" w:rsidRDefault="00583F52" w:rsidP="00583F52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（3）开展了走访慰问、精准帮扶等关怀关爱活动，共发放走访慰问金20多万元，关爱活动工作得到了上级部门及辖区老人的高度肯定。</w:t>
      </w:r>
    </w:p>
    <w:p w:rsidR="00B9308F" w:rsidRDefault="002D06B4">
      <w:pPr>
        <w:widowControl/>
        <w:numPr>
          <w:ilvl w:val="0"/>
          <w:numId w:val="2"/>
        </w:numPr>
        <w:spacing w:line="600" w:lineRule="exact"/>
        <w:ind w:firstLineChars="200" w:firstLine="640"/>
        <w:jc w:val="left"/>
        <w:rPr>
          <w:rFonts w:ascii="宋体" w:hAnsi="宋体" w:cs="宋体"/>
          <w:sz w:val="32"/>
          <w:szCs w:val="32"/>
        </w:rPr>
      </w:pPr>
      <w:bookmarkStart w:id="2" w:name="_GoBack"/>
      <w:bookmarkEnd w:id="2"/>
      <w:r>
        <w:rPr>
          <w:rFonts w:ascii="宋体" w:hAnsi="宋体" w:cs="宋体" w:hint="eastAsia"/>
          <w:sz w:val="32"/>
          <w:szCs w:val="32"/>
        </w:rPr>
        <w:lastRenderedPageBreak/>
        <w:t>存在的问题及原因</w:t>
      </w:r>
    </w:p>
    <w:p w:rsidR="00B9308F" w:rsidRDefault="002D06B4">
      <w:pPr>
        <w:widowControl/>
        <w:spacing w:line="600" w:lineRule="exact"/>
        <w:ind w:firstLineChars="200" w:firstLine="64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绩效目标设置不科学。2021年申报的整体绩效目标，仅设置2个具体的指标，不够细化、量化；未能完全与部门年度的任务数和计划数相对应，目标与部门预算匹配不充分。</w:t>
      </w:r>
    </w:p>
    <w:p w:rsidR="00B9308F" w:rsidRDefault="002D06B4">
      <w:pPr>
        <w:widowControl/>
        <w:spacing w:line="600" w:lineRule="exact"/>
        <w:ind w:firstLineChars="200" w:firstLine="64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六、下一步改进措施</w:t>
      </w:r>
    </w:p>
    <w:p w:rsidR="00B9308F" w:rsidRDefault="002D06B4">
      <w:pPr>
        <w:ind w:firstLineChars="200" w:firstLine="640"/>
        <w:jc w:val="left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（一）完善预算编制，加强绩效管理</w:t>
      </w:r>
    </w:p>
    <w:p w:rsidR="00B9308F" w:rsidRDefault="002D06B4">
      <w:pPr>
        <w:ind w:firstLineChars="200" w:firstLine="64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1.完善预算编制。单位各项收入支出全面纳入预算管理，统筹安排。根据人员编制和相关标准编制基本支出预算；将部门整体的绩效目标细化分解为具体的工作任务；通过清晰、可衡量的指标值予以体现，与部门年度的任务数或计划数相对应；与本年度部门预算资金相匹配；形成科学完整的部门总预算。</w:t>
      </w:r>
    </w:p>
    <w:p w:rsidR="00B9308F" w:rsidRDefault="002D06B4">
      <w:pPr>
        <w:ind w:firstLineChars="200" w:firstLine="64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2.加强绩效管理。提高绩效认识，重视绩效目标。细化部门工作计划，根据工作计划合理设置绩效目标。专项资金应根据专项资金申报资金用途，细化量化绩效目标。</w:t>
      </w:r>
    </w:p>
    <w:p w:rsidR="00B9308F" w:rsidRDefault="002D06B4">
      <w:pPr>
        <w:ind w:firstLineChars="200" w:firstLine="64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3.按照严格年度目标或计划实际情况编制资产采购预算，严格按照资产采购预算进行资产或工程项目采购。</w:t>
      </w:r>
    </w:p>
    <w:p w:rsidR="00B9308F" w:rsidRDefault="002D06B4">
      <w:pPr>
        <w:ind w:firstLineChars="100" w:firstLine="32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（二）强化财务管理，规范使用资金</w:t>
      </w:r>
    </w:p>
    <w:p w:rsidR="00B9308F" w:rsidRDefault="002D06B4">
      <w:pPr>
        <w:ind w:firstLineChars="200" w:firstLine="64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1.强化财务管理。一是组织财务业务培训，提高单位财务人员业务水平；二是建立岗位考核机制，将日常财务核算工作的差错率、及时率、规范率作为重点考核内容，考评结果作为年终评优、评先的重要依据，并与绩效工资相挂钩，</w:t>
      </w:r>
      <w:r>
        <w:rPr>
          <w:rFonts w:ascii="宋体" w:hAnsi="宋体" w:cs="宋体" w:hint="eastAsia"/>
          <w:bCs/>
          <w:sz w:val="32"/>
          <w:szCs w:val="32"/>
        </w:rPr>
        <w:lastRenderedPageBreak/>
        <w:t>切实提高工作责任心；三是规范财务核算，严格按照《政府会计制度》要求进行账务处理，及时、完整、准确反映部门资产状况和收支情况，建立专项资金台账。</w:t>
      </w:r>
    </w:p>
    <w:p w:rsidR="00B9308F" w:rsidRDefault="002D06B4">
      <w:pPr>
        <w:ind w:firstLineChars="200" w:firstLine="64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2.加强项目管理。建立项目台账和资金台账。认真审核合同签订、合同履行及项目验收程序，对已完工的工程项目进行验收，及时组织竣工决算，发现问题及时整改，确保工程质量符合技术要求，保证项目质量。</w:t>
      </w:r>
    </w:p>
    <w:p w:rsidR="00B9308F" w:rsidRDefault="002D06B4">
      <w:pPr>
        <w:ind w:firstLineChars="100" w:firstLine="32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（三）把握时间节点，提升绩效产出效果</w:t>
      </w:r>
    </w:p>
    <w:p w:rsidR="00B9308F" w:rsidRDefault="002D06B4">
      <w:pPr>
        <w:ind w:firstLineChars="300" w:firstLine="960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不断加强时间节点管理，明确实施过程关键节点；开展绩效运行监控，监控各绩效目标完成程度。</w:t>
      </w:r>
    </w:p>
    <w:p w:rsidR="00B9308F" w:rsidRDefault="002D06B4">
      <w:pPr>
        <w:widowControl/>
        <w:spacing w:line="600" w:lineRule="exact"/>
        <w:ind w:firstLineChars="200" w:firstLine="64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七、其他需要说明的情况</w:t>
      </w:r>
    </w:p>
    <w:p w:rsidR="00B9308F" w:rsidRDefault="002D06B4" w:rsidP="00B9308F">
      <w:pPr>
        <w:widowControl/>
        <w:spacing w:line="600" w:lineRule="exact"/>
        <w:ind w:leftChars="200" w:left="420" w:firstLineChars="100" w:firstLine="32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 xml:space="preserve"> 无 </w:t>
      </w:r>
    </w:p>
    <w:sectPr w:rsidR="00B9308F" w:rsidSect="00B930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480" w:rsidRDefault="00BB4480" w:rsidP="009D3D66">
      <w:r>
        <w:separator/>
      </w:r>
    </w:p>
  </w:endnote>
  <w:endnote w:type="continuationSeparator" w:id="1">
    <w:p w:rsidR="00BB4480" w:rsidRDefault="00BB4480" w:rsidP="009D3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480" w:rsidRDefault="00BB4480" w:rsidP="009D3D66">
      <w:r>
        <w:separator/>
      </w:r>
    </w:p>
  </w:footnote>
  <w:footnote w:type="continuationSeparator" w:id="1">
    <w:p w:rsidR="00BB4480" w:rsidRDefault="00BB4480" w:rsidP="009D3D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2CDE61"/>
    <w:multiLevelType w:val="singleLevel"/>
    <w:tmpl w:val="C22CDE61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5930267"/>
    <w:multiLevelType w:val="singleLevel"/>
    <w:tmpl w:val="0593026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A076E09"/>
    <w:rsid w:val="00164ECC"/>
    <w:rsid w:val="002D06B4"/>
    <w:rsid w:val="00583F52"/>
    <w:rsid w:val="005C6AA5"/>
    <w:rsid w:val="009D3D66"/>
    <w:rsid w:val="009F3F31"/>
    <w:rsid w:val="00B9308F"/>
    <w:rsid w:val="00BB4480"/>
    <w:rsid w:val="00C50FF0"/>
    <w:rsid w:val="00E16EC7"/>
    <w:rsid w:val="00EC5D70"/>
    <w:rsid w:val="00ED7836"/>
    <w:rsid w:val="00F74F95"/>
    <w:rsid w:val="00F87C8B"/>
    <w:rsid w:val="02A17A0F"/>
    <w:rsid w:val="094956BD"/>
    <w:rsid w:val="0B860FC6"/>
    <w:rsid w:val="188A471B"/>
    <w:rsid w:val="1D866AF7"/>
    <w:rsid w:val="1F597AC8"/>
    <w:rsid w:val="341747C2"/>
    <w:rsid w:val="395E3829"/>
    <w:rsid w:val="3A076E09"/>
    <w:rsid w:val="3A1E0D98"/>
    <w:rsid w:val="3B8F3226"/>
    <w:rsid w:val="41736E87"/>
    <w:rsid w:val="44DE5F3F"/>
    <w:rsid w:val="4A875AD1"/>
    <w:rsid w:val="55D80835"/>
    <w:rsid w:val="59240618"/>
    <w:rsid w:val="5A9D5D9B"/>
    <w:rsid w:val="5F430043"/>
    <w:rsid w:val="623207A8"/>
    <w:rsid w:val="636C7012"/>
    <w:rsid w:val="65503EBA"/>
    <w:rsid w:val="7AC64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308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B9308F"/>
    <w:pPr>
      <w:jc w:val="left"/>
    </w:pPr>
  </w:style>
  <w:style w:type="paragraph" w:styleId="a4">
    <w:name w:val="List Paragraph"/>
    <w:basedOn w:val="a"/>
    <w:uiPriority w:val="99"/>
    <w:qFormat/>
    <w:rsid w:val="00B9308F"/>
    <w:pPr>
      <w:ind w:firstLineChars="200" w:firstLine="420"/>
    </w:pPr>
    <w:rPr>
      <w:rFonts w:ascii="Calibri" w:hAnsi="Calibri"/>
      <w:szCs w:val="22"/>
    </w:rPr>
  </w:style>
  <w:style w:type="character" w:customStyle="1" w:styleId="ca-22">
    <w:name w:val="ca-22"/>
    <w:basedOn w:val="a0"/>
    <w:qFormat/>
    <w:rsid w:val="00B9308F"/>
  </w:style>
  <w:style w:type="character" w:customStyle="1" w:styleId="NormalCharacter">
    <w:name w:val="NormalCharacter"/>
    <w:semiHidden/>
    <w:qFormat/>
    <w:rsid w:val="00B9308F"/>
  </w:style>
  <w:style w:type="paragraph" w:styleId="a5">
    <w:name w:val="header"/>
    <w:basedOn w:val="a"/>
    <w:link w:val="Char"/>
    <w:rsid w:val="009D3D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D3D66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9D3D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D3D6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8</Pages>
  <Words>557</Words>
  <Characters>3177</Characters>
  <Application>Microsoft Office Word</Application>
  <DocSecurity>0</DocSecurity>
  <Lines>26</Lines>
  <Paragraphs>7</Paragraphs>
  <ScaleCrop>false</ScaleCrop>
  <Company>微软中国</Company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8</cp:revision>
  <cp:lastPrinted>2022-03-29T02:54:00Z</cp:lastPrinted>
  <dcterms:created xsi:type="dcterms:W3CDTF">2021-03-15T06:50:00Z</dcterms:created>
  <dcterms:modified xsi:type="dcterms:W3CDTF">2022-04-01T07:04:00Z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