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 xml:space="preserve"> 津市市金鱼岭街道办事处2021年度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部门、单位基本情况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（一）机构、人员构成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常德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津市市金鱼岭街道</w:t>
      </w:r>
      <w:r>
        <w:rPr>
          <w:rFonts w:hint="eastAsia" w:ascii="宋体" w:hAnsi="宋体" w:eastAsia="宋体" w:cs="宋体"/>
          <w:bCs/>
          <w:sz w:val="32"/>
          <w:szCs w:val="32"/>
        </w:rPr>
        <w:t>（以下简称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金鱼岭街道</w:t>
      </w:r>
      <w:r>
        <w:rPr>
          <w:rFonts w:hint="eastAsia" w:ascii="宋体" w:hAnsi="宋体" w:eastAsia="宋体" w:cs="宋体"/>
          <w:bCs/>
          <w:sz w:val="32"/>
          <w:szCs w:val="32"/>
        </w:rPr>
        <w:t>）为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津市市</w:t>
      </w:r>
      <w:r>
        <w:rPr>
          <w:rFonts w:hint="eastAsia" w:ascii="宋体" w:hAnsi="宋体" w:eastAsia="宋体" w:cs="宋体"/>
          <w:bCs/>
          <w:sz w:val="32"/>
          <w:szCs w:val="32"/>
        </w:rPr>
        <w:t>财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政一级预算全额拨款</w:t>
      </w:r>
      <w:r>
        <w:rPr>
          <w:rFonts w:hint="eastAsia" w:ascii="宋体" w:hAnsi="宋体" w:eastAsia="宋体" w:cs="宋体"/>
          <w:bCs/>
          <w:sz w:val="32"/>
          <w:szCs w:val="32"/>
        </w:rPr>
        <w:t>行政单位，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统一社会信用代码1143078175802126XY，单位负责人罗智</w:t>
      </w:r>
      <w:r>
        <w:rPr>
          <w:rFonts w:hint="eastAsia" w:ascii="宋体" w:hAnsi="宋体" w:eastAsia="宋体" w:cs="宋体"/>
          <w:bCs/>
          <w:sz w:val="32"/>
          <w:szCs w:val="32"/>
        </w:rPr>
        <w:t>。设置了党政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办公室</w:t>
      </w:r>
      <w:r>
        <w:rPr>
          <w:rFonts w:hint="eastAsia" w:ascii="宋体" w:hAnsi="宋体" w:eastAsia="宋体" w:cs="宋体"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党建办公室、经济发展办公室、平安建设和应急管理办公室、自然资源和生态环境办公室（城建办公室）、社会事务办公室（卫生健康办公室）</w:t>
      </w:r>
      <w:r>
        <w:rPr>
          <w:rFonts w:hint="eastAsia" w:ascii="宋体" w:hAnsi="宋体" w:eastAsia="宋体" w:cs="宋体"/>
          <w:bCs/>
          <w:sz w:val="32"/>
          <w:szCs w:val="32"/>
        </w:rPr>
        <w:t>等6个内设机构，农业服务中心、政务服务中心、社会事务综合服务中心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、</w:t>
      </w:r>
      <w:r>
        <w:rPr>
          <w:rFonts w:hint="eastAsia" w:ascii="宋体" w:hAnsi="宋体" w:eastAsia="宋体" w:cs="宋体"/>
          <w:bCs/>
          <w:sz w:val="32"/>
          <w:szCs w:val="32"/>
        </w:rPr>
        <w:t>退役军人服务站、综合行政执法队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等三中心一站一队</w:t>
      </w:r>
      <w:r>
        <w:rPr>
          <w:rFonts w:hint="eastAsia" w:ascii="宋体" w:hAnsi="宋体" w:eastAsia="宋体" w:cs="宋体"/>
          <w:bCs/>
          <w:sz w:val="32"/>
          <w:szCs w:val="32"/>
        </w:rPr>
        <w:t>。</w:t>
      </w:r>
      <w:bookmarkStart w:id="0" w:name="_Hlk44192558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2021</w:t>
      </w:r>
      <w:r>
        <w:rPr>
          <w:rFonts w:hint="eastAsia" w:ascii="宋体" w:hAnsi="宋体" w:eastAsia="宋体" w:cs="宋体"/>
          <w:bCs/>
          <w:sz w:val="32"/>
          <w:szCs w:val="32"/>
        </w:rPr>
        <w:t>年人员编制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数39</w:t>
      </w:r>
      <w:r>
        <w:rPr>
          <w:rFonts w:hint="eastAsia" w:ascii="宋体" w:hAnsi="宋体" w:eastAsia="宋体" w:cs="宋体"/>
          <w:bCs/>
          <w:sz w:val="32"/>
          <w:szCs w:val="32"/>
        </w:rPr>
        <w:t>人，其中行政编制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18</w:t>
      </w:r>
      <w:r>
        <w:rPr>
          <w:rFonts w:hint="eastAsia" w:ascii="宋体" w:hAnsi="宋体" w:eastAsia="宋体" w:cs="宋体"/>
          <w:bCs/>
          <w:sz w:val="32"/>
          <w:szCs w:val="32"/>
        </w:rPr>
        <w:t>人、事业编制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bCs/>
          <w:sz w:val="32"/>
          <w:szCs w:val="32"/>
        </w:rPr>
        <w:t>人；实有在职人数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32</w:t>
      </w:r>
      <w:r>
        <w:rPr>
          <w:rFonts w:hint="eastAsia" w:ascii="宋体" w:hAnsi="宋体" w:eastAsia="宋体" w:cs="宋体"/>
          <w:bCs/>
          <w:sz w:val="32"/>
          <w:szCs w:val="32"/>
        </w:rPr>
        <w:t>人，其中行政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编制18</w:t>
      </w:r>
      <w:r>
        <w:rPr>
          <w:rFonts w:hint="eastAsia" w:ascii="宋体" w:hAnsi="宋体" w:eastAsia="宋体" w:cs="宋体"/>
          <w:bCs/>
          <w:sz w:val="32"/>
          <w:szCs w:val="32"/>
        </w:rPr>
        <w:t>人、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事业编制14</w:t>
      </w:r>
      <w:r>
        <w:rPr>
          <w:rFonts w:hint="eastAsia" w:ascii="宋体" w:hAnsi="宋体" w:eastAsia="宋体" w:cs="宋体"/>
          <w:bCs/>
          <w:sz w:val="32"/>
          <w:szCs w:val="32"/>
        </w:rPr>
        <w:t>人</w:t>
      </w:r>
      <w:bookmarkEnd w:id="0"/>
      <w:r>
        <w:rPr>
          <w:rFonts w:hint="eastAsia" w:ascii="宋体" w:hAnsi="宋体" w:eastAsia="宋体" w:cs="宋体"/>
          <w:bCs/>
          <w:sz w:val="32"/>
          <w:szCs w:val="32"/>
        </w:rPr>
        <w:t>。另有临聘人员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32"/>
          <w:szCs w:val="32"/>
        </w:rPr>
        <w:t>人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金鱼岭街道</w:t>
      </w:r>
      <w:r>
        <w:rPr>
          <w:rFonts w:hint="eastAsia" w:ascii="宋体" w:hAnsi="宋体" w:eastAsia="宋体" w:cs="宋体"/>
          <w:bCs/>
          <w:sz w:val="32"/>
          <w:szCs w:val="32"/>
        </w:rPr>
        <w:t>辖区总面积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18.41</w:t>
      </w:r>
      <w:r>
        <w:rPr>
          <w:rFonts w:hint="eastAsia" w:ascii="宋体" w:hAnsi="宋体" w:eastAsia="宋体" w:cs="宋体"/>
          <w:bCs/>
          <w:sz w:val="32"/>
          <w:szCs w:val="32"/>
        </w:rPr>
        <w:t>平方公里，总人口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1.35</w:t>
      </w:r>
      <w:r>
        <w:rPr>
          <w:rFonts w:hint="eastAsia" w:ascii="宋体" w:hAnsi="宋体" w:eastAsia="宋体" w:cs="宋体"/>
          <w:bCs/>
          <w:sz w:val="32"/>
          <w:szCs w:val="32"/>
        </w:rPr>
        <w:t>万人。有1个行政村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大关山村</w:t>
      </w:r>
      <w:r>
        <w:rPr>
          <w:rFonts w:hint="eastAsia" w:ascii="宋体" w:hAnsi="宋体" w:eastAsia="宋体" w:cs="宋体"/>
          <w:bCs/>
          <w:sz w:val="32"/>
          <w:szCs w:val="32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32"/>
          <w:szCs w:val="32"/>
        </w:rPr>
        <w:t>个居委会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（燕子窝社区居委会、文家湾社区居委会、湖桥社区居委会、丝绸社区居委会）</w:t>
      </w:r>
      <w:r>
        <w:rPr>
          <w:rFonts w:hint="eastAsia" w:ascii="宋体" w:hAnsi="宋体" w:eastAsia="宋体" w:cs="宋体"/>
          <w:bCs/>
          <w:sz w:val="32"/>
          <w:szCs w:val="32"/>
        </w:rPr>
        <w:t>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54</w:t>
      </w:r>
      <w:r>
        <w:rPr>
          <w:rFonts w:hint="eastAsia" w:ascii="宋体" w:hAnsi="宋体" w:eastAsia="宋体" w:cs="宋体"/>
          <w:bCs/>
          <w:sz w:val="32"/>
          <w:szCs w:val="32"/>
        </w:rPr>
        <w:t>个村（居）小组。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二</w:t>
      </w:r>
      <w:r>
        <w:rPr>
          <w:rFonts w:hint="eastAsia" w:ascii="宋体" w:hAnsi="宋体" w:eastAsia="宋体" w:cs="宋体"/>
          <w:bCs/>
          <w:sz w:val="32"/>
          <w:szCs w:val="32"/>
        </w:rPr>
        <w:t>）单位主要职责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1.加强党的建设。落实基层党建工作责任制，统筹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街道</w:t>
      </w:r>
      <w:r>
        <w:rPr>
          <w:rFonts w:hint="eastAsia" w:ascii="宋体" w:hAnsi="宋体" w:eastAsia="宋体" w:cs="宋体"/>
          <w:bCs/>
          <w:sz w:val="32"/>
          <w:szCs w:val="32"/>
        </w:rPr>
        <w:t>和村（居）区域化党建，加强非公有制经济组织和社会组织党建工作。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2.统筹区域发展。参与拟定关于辖区发展的重大决策和建设规划并统筹落实，促进项目发展等工作。对辖区内各类行政执法工作进行统筹协调。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3.组织公共服务。组织实施与村（居）民生活密切相关的各项公共服务事项，落实相关法规政策。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4.实施公共管理。负责辖区内生态环保、城管、控违拆违、征地拆迁等综合性管理工作。承担辖区内社会治安综合治理、平安建设、应急管理、接待群众来信来访、化解矛盾纠纷等有关工作。</w:t>
      </w:r>
    </w:p>
    <w:p>
      <w:p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5.保障村（居）自治。指导村（居）民委员会建设，健全村（居）民自治平台。</w:t>
      </w:r>
    </w:p>
    <w:p>
      <w:pPr>
        <w:pStyle w:val="5"/>
        <w:widowControl/>
        <w:spacing w:line="600" w:lineRule="exact"/>
        <w:ind w:left="64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二、一般公共预算支出情况</w:t>
      </w:r>
    </w:p>
    <w:p>
      <w:pPr>
        <w:spacing w:line="580" w:lineRule="exact"/>
        <w:ind w:firstLine="643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（一）基本支出情况</w:t>
      </w:r>
    </w:p>
    <w:p>
      <w:pPr>
        <w:ind w:firstLine="640" w:firstLineChars="200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32"/>
          <w:szCs w:val="32"/>
        </w:rPr>
        <w:t>年财政拨款支出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1154.87</w:t>
      </w:r>
      <w:r>
        <w:rPr>
          <w:rFonts w:hint="eastAsia" w:ascii="宋体" w:hAnsi="宋体" w:eastAsia="宋体" w:cs="宋体"/>
          <w:bCs/>
          <w:sz w:val="32"/>
          <w:szCs w:val="32"/>
        </w:rPr>
        <w:t>万元，其中基本支出10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55.69</w:t>
      </w:r>
      <w:r>
        <w:rPr>
          <w:rFonts w:hint="eastAsia" w:ascii="宋体" w:hAnsi="宋体" w:eastAsia="宋体" w:cs="宋体"/>
          <w:bCs/>
          <w:sz w:val="32"/>
          <w:szCs w:val="32"/>
        </w:rPr>
        <w:t>万元。按功能科目分类：一般公共服务支出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431.67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37.38</w:t>
      </w:r>
      <w:r>
        <w:rPr>
          <w:rFonts w:hint="eastAsia" w:ascii="宋体" w:hAnsi="宋体" w:eastAsia="宋体" w:cs="宋体"/>
          <w:bCs/>
          <w:sz w:val="32"/>
          <w:szCs w:val="32"/>
        </w:rPr>
        <w:t>%；文化旅游体育与传媒支出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60.5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5.24</w:t>
      </w:r>
      <w:r>
        <w:rPr>
          <w:rFonts w:hint="eastAsia" w:ascii="宋体" w:hAnsi="宋体" w:eastAsia="宋体" w:cs="宋体"/>
          <w:bCs/>
          <w:sz w:val="32"/>
          <w:szCs w:val="32"/>
        </w:rPr>
        <w:t>%；社会保障和就业支出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30.74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2.66</w:t>
      </w:r>
      <w:r>
        <w:rPr>
          <w:rFonts w:hint="eastAsia" w:ascii="宋体" w:hAnsi="宋体" w:eastAsia="宋体" w:cs="宋体"/>
          <w:bCs/>
          <w:sz w:val="32"/>
          <w:szCs w:val="32"/>
        </w:rPr>
        <w:t>%；卫生健康支出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33.25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2.88</w:t>
      </w:r>
      <w:r>
        <w:rPr>
          <w:rFonts w:hint="eastAsia" w:ascii="宋体" w:hAnsi="宋体" w:eastAsia="宋体" w:cs="宋体"/>
          <w:bCs/>
          <w:sz w:val="32"/>
          <w:szCs w:val="32"/>
        </w:rPr>
        <w:t>%；城乡社区支出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70.5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6.1</w:t>
      </w:r>
      <w:r>
        <w:rPr>
          <w:rFonts w:hint="eastAsia" w:ascii="宋体" w:hAnsi="宋体" w:eastAsia="宋体" w:cs="宋体"/>
          <w:bCs/>
          <w:sz w:val="32"/>
          <w:szCs w:val="32"/>
        </w:rPr>
        <w:t>%；农林水支出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442.26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38.3</w:t>
      </w:r>
      <w:r>
        <w:rPr>
          <w:rFonts w:hint="eastAsia" w:ascii="宋体" w:hAnsi="宋体" w:eastAsia="宋体" w:cs="宋体"/>
          <w:bCs/>
          <w:sz w:val="32"/>
          <w:szCs w:val="32"/>
        </w:rPr>
        <w:t>%；交通运输支出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1.04</w:t>
      </w:r>
      <w:r>
        <w:rPr>
          <w:rFonts w:hint="eastAsia" w:ascii="宋体" w:hAnsi="宋体" w:eastAsia="宋体" w:cs="宋体"/>
          <w:bCs/>
          <w:sz w:val="32"/>
          <w:szCs w:val="32"/>
        </w:rPr>
        <w:t>%；住房保障支出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42.95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3.72</w:t>
      </w:r>
      <w:r>
        <w:rPr>
          <w:rFonts w:hint="eastAsia" w:ascii="宋体" w:hAnsi="宋体" w:eastAsia="宋体" w:cs="宋体"/>
          <w:bCs/>
          <w:sz w:val="32"/>
          <w:szCs w:val="32"/>
        </w:rPr>
        <w:t>%；其他支出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31</w:t>
      </w:r>
      <w:r>
        <w:rPr>
          <w:rFonts w:hint="eastAsia" w:ascii="宋体" w:hAnsi="宋体" w:eastAsia="宋体" w:cs="宋体"/>
          <w:bCs/>
          <w:sz w:val="32"/>
          <w:szCs w:val="32"/>
        </w:rPr>
        <w:t>万元，占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2.68</w:t>
      </w:r>
      <w:r>
        <w:rPr>
          <w:rFonts w:hint="eastAsia" w:ascii="宋体" w:hAnsi="宋体" w:eastAsia="宋体" w:cs="宋体"/>
          <w:bCs/>
          <w:sz w:val="32"/>
          <w:szCs w:val="32"/>
        </w:rPr>
        <w:t>%。按经济分类科目分析：（1）“三公”经费支出情况：202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32"/>
          <w:szCs w:val="32"/>
        </w:rPr>
        <w:t>年，“三公”经费完成3万元，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与去年持平</w:t>
      </w:r>
      <w:r>
        <w:rPr>
          <w:rFonts w:hint="eastAsia" w:ascii="宋体" w:hAnsi="宋体" w:eastAsia="宋体" w:cs="宋体"/>
          <w:bCs/>
          <w:sz w:val="32"/>
          <w:szCs w:val="32"/>
        </w:rPr>
        <w:t>。其中：因公出国（境）费没有支出额；公务接待费完成3万元，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与去年持平</w:t>
      </w:r>
      <w:r>
        <w:rPr>
          <w:rFonts w:hint="eastAsia" w:ascii="宋体" w:hAnsi="宋体" w:eastAsia="宋体" w:cs="宋体"/>
          <w:bCs/>
          <w:sz w:val="32"/>
          <w:szCs w:val="32"/>
        </w:rPr>
        <w:t>；公务用车购置及运行维护费完成0万元，与上年数持平。（2）会议费支出情况：202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32"/>
          <w:szCs w:val="32"/>
        </w:rPr>
        <w:t>年会议费完成0万元，与上年持平。（3）培训费支出情况：202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32"/>
          <w:szCs w:val="32"/>
        </w:rPr>
        <w:t>年培训费完成3万元，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与去年持平</w:t>
      </w:r>
      <w:r>
        <w:rPr>
          <w:rFonts w:hint="eastAsia" w:ascii="宋体" w:hAnsi="宋体" w:eastAsia="宋体" w:cs="宋体"/>
          <w:bCs/>
          <w:sz w:val="32"/>
          <w:szCs w:val="32"/>
        </w:rPr>
        <w:t>。</w:t>
      </w:r>
    </w:p>
    <w:p>
      <w:pPr>
        <w:pStyle w:val="5"/>
        <w:widowControl/>
        <w:spacing w:line="600" w:lineRule="exact"/>
        <w:ind w:left="64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（二）项目支出情况</w:t>
      </w:r>
    </w:p>
    <w:p>
      <w:pPr>
        <w:pStyle w:val="5"/>
        <w:widowControl/>
        <w:spacing w:line="600" w:lineRule="exact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2021年上级补助收入（一般公共预算）99.18万元，主要用于大关山村绿化亮化工程、水果大道改造工程支出，无结余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三、政府性基金预算支出情况</w:t>
      </w:r>
    </w:p>
    <w:p>
      <w:pPr>
        <w:pStyle w:val="5"/>
        <w:widowControl/>
        <w:spacing w:line="600" w:lineRule="exact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2021年无政府性基金财政拨款。</w:t>
      </w:r>
    </w:p>
    <w:p>
      <w:pPr>
        <w:widowControl/>
        <w:spacing w:line="600" w:lineRule="exact"/>
        <w:ind w:firstLine="645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、部门整体支出绩效情况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bookmarkStart w:id="3" w:name="_GoBack"/>
      <w:bookmarkEnd w:id="3"/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1.突出党建引领。充分发挥党建引领作用，发展壮大村集体经济，不断增强基层党组织凝聚力、战斗力，构建“微党建”服务体系充分发挥党员表率带头和示范引领作用。打造大关山村智慧党建示范点和政务下沉示范点，常德市智慧党建暨基层公共服务（一门式）全覆盖工作现场会将大关山村作为参观现场向外推介，共接待全省14个市州参观学习团队100多批次，未发生干部职工及村级班子成员党风廉政方面的违纪问题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2.</w:t>
      </w:r>
      <w:bookmarkStart w:id="1" w:name="_Hlk43578181"/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助力乡村振兴。通过改造基础设施、改善生态环境、富足精神文化，为实施乡村振兴战略奠定坚实基础。创新红色存折、绿色存折、爱心存折“三折融合”模式，引导党员、群众、志愿者共同参与乡村治理，形成了乡村共建共治共享新格局。创新“按揭”模式，成功引进大关山文旅项目和山东寿光高效蔬菜种植项目。大关山村2021年被评为全国乡村旅游重点村、全国乡村治理示范村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3.</w:t>
      </w:r>
      <w:bookmarkEnd w:id="1"/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创新社会治理。在平安建设、安全生产、基层治理等方面取得突破，“一核三治”的基层治理模式（即以党组织为核心，法治、德治、自治有机结合）被常德市委政法委宣传推介。积极化解矛盾纠纷，信访重点人员和积案明显减少，大量信访矛盾得到有效钝化，信访维稳形势持续向好。2020年被评为常德市平安创建街道优秀街道、常德市建设无上访村（社区）良好街道、常德市无越级信访街道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bookmarkStart w:id="2" w:name="_Hlk43573997"/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4.基础项目建设。（1）强化工作措施，安排专业团队，采取日调度、周总结、月结账的工作模式，倒排工期，扎实做好“关山小镇”项目建设。目前，航天科技馆、文旅项目御果园、果宝乐园、服务楼、餐饮楼、道河草原生态修复等项目均已建设完成。蔬果项目64亩高标准蔬菜种植采摘大棚已进行水果黄瓜、千禧果、贝贝南瓜等作物的试种，效果良好。现代农业展示馆已建设完工。（2）抓改扩翻项目。向上争取改扩翻资金700多万元，对长山湖400多户居民实施了改扩翻工程，已竣工，极大的改善了辖区居民生活环境，提高了生活质量。（3）抓基础设施项目。加大项目整合力度，强化基础设施建设。开展大关山村水果大道提质改造工程，丝绢路、关山路亮化绿化工程，关山岭环形游道建设工程，庙湾堰塘整治工程，大关山核心景区沿线提质改造工程，进一步提升街道整体风貌。</w:t>
      </w:r>
      <w:bookmarkEnd w:id="2"/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存在的问题及原因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绩效目标设置不科学。2021年申报的整体绩效目标，仅设置2个具体的指标，不够细化、量化；未能完全与部门年度的任务数和计划数相对应，目标与部门预算匹配不充分。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六、</w:t>
      </w:r>
      <w:r>
        <w:rPr>
          <w:rFonts w:hint="eastAsia" w:ascii="宋体" w:hAnsi="宋体" w:eastAsia="宋体" w:cs="宋体"/>
          <w:sz w:val="32"/>
          <w:szCs w:val="32"/>
        </w:rPr>
        <w:t>下一步改进措施</w:t>
      </w:r>
    </w:p>
    <w:p>
      <w:pPr>
        <w:ind w:firstLine="640" w:firstLineChars="200"/>
        <w:jc w:val="lef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（一）完善预算编制，加强绩效管理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1.完善预算编制。单位各项收入支出全面纳入预算管理，统筹安排。根据人员编制和相关标准编制基本支出预算；将部门整体的绩效目标细化分解为具体的工作任务；通过清晰、可衡量的指标值予以体现，与部门年度的任务数或计划数相对应；与本年度部门预算资金相匹配；形成科学完整的部门总预算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2.加强绩效管理。提高绩效认识，重视绩效目标。细化部门工作计划，根据工作计划合理设置绩效目标。专项资金应根据专项资金申报资金用途，细化量化绩效目标。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3.按照严格年度目标或计划实际情况编制资产采购预算，严格按照资产采购预算进行资产或工程项目采购。</w:t>
      </w:r>
    </w:p>
    <w:p>
      <w:pPr>
        <w:numPr>
          <w:ilvl w:val="0"/>
          <w:numId w:val="0"/>
        </w:numPr>
        <w:ind w:firstLine="320" w:firstLineChars="1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（二）强化财务管理，规范使用资金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1.强化财务管理。一是组织财务业务培训，提高单位财务人员业务水平；二是建立岗位考核机制，将日常财务核算工作的差错率、及时率、规范率作为重点考核内容，考评结果作为年终评优、评先的重要依据，并与绩效工资相挂钩，切实提高工作责任心；三是规范财务核算，严格按照《政府会计制度》要求进行账务处理，及时、完整、准确反映部门资产状况和收支情况，建立专项资金台账。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2.加强项目管理。建立项目台账和资金台账。认真审核合同签订、合同履行及项目验收程序，对已完工的工程项目进行验收，及时组织竣工决算，发现问题及时整改，确保工程质量符合技术要求，保证项目质量。</w:t>
      </w:r>
    </w:p>
    <w:p>
      <w:pPr>
        <w:numPr>
          <w:ilvl w:val="0"/>
          <w:numId w:val="0"/>
        </w:numPr>
        <w:ind w:firstLine="320" w:firstLineChars="1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（三）把握时间节点，提升绩效产出效果</w:t>
      </w:r>
    </w:p>
    <w:p>
      <w:pPr>
        <w:numPr>
          <w:ilvl w:val="0"/>
          <w:numId w:val="0"/>
        </w:numPr>
        <w:ind w:firstLine="960" w:firstLineChars="300"/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32"/>
          <w:szCs w:val="32"/>
          <w:lang w:val="en-US" w:eastAsia="zh-CN" w:bidi="ar-SA"/>
        </w:rPr>
        <w:t>不断加强时间节点管理，明确实施过程关键节点；开展绩效运行监控，监控各绩效目标完成程度。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七、</w:t>
      </w:r>
      <w:r>
        <w:rPr>
          <w:rFonts w:hint="eastAsia" w:ascii="宋体" w:hAnsi="宋体" w:eastAsia="宋体" w:cs="宋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leftChars="200"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 无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2CDE61"/>
    <w:multiLevelType w:val="singleLevel"/>
    <w:tmpl w:val="C22CDE6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930267"/>
    <w:multiLevelType w:val="singleLevel"/>
    <w:tmpl w:val="0593026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2A17A0F"/>
    <w:rsid w:val="094956BD"/>
    <w:rsid w:val="0B860FC6"/>
    <w:rsid w:val="188A471B"/>
    <w:rsid w:val="1D866AF7"/>
    <w:rsid w:val="1F597AC8"/>
    <w:rsid w:val="341747C2"/>
    <w:rsid w:val="395E3829"/>
    <w:rsid w:val="3A076E09"/>
    <w:rsid w:val="3A1E0D98"/>
    <w:rsid w:val="3B8F3226"/>
    <w:rsid w:val="41736E87"/>
    <w:rsid w:val="44DE5F3F"/>
    <w:rsid w:val="4A875AD1"/>
    <w:rsid w:val="55D80835"/>
    <w:rsid w:val="59240618"/>
    <w:rsid w:val="5A9D5D9B"/>
    <w:rsid w:val="5F430043"/>
    <w:rsid w:val="623207A8"/>
    <w:rsid w:val="636C7012"/>
    <w:rsid w:val="65503EBA"/>
    <w:rsid w:val="7AC6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6">
    <w:name w:val="ca-22"/>
    <w:basedOn w:val="4"/>
    <w:qFormat/>
    <w:uiPriority w:val="0"/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2702</Words>
  <Characters>2870</Characters>
  <Lines>0</Lines>
  <Paragraphs>0</Paragraphs>
  <TotalTime>3</TotalTime>
  <ScaleCrop>false</ScaleCrop>
  <LinksUpToDate>false</LinksUpToDate>
  <CharactersWithSpaces>2874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cp:lastPrinted>2022-03-29T02:54:40Z</cp:lastPrinted>
  <dcterms:modified xsi:type="dcterms:W3CDTF">2022-03-29T02:54:42Z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