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津市市金鱼岭街道津港大道周边地块棚户区改造项目清远路两侧改扩翻建工程2021年度</w:t>
      </w:r>
      <w:r>
        <w:rPr>
          <w:rFonts w:hint="eastAsia" w:eastAsia="方正小标宋_GBK"/>
          <w:sz w:val="36"/>
          <w:szCs w:val="36"/>
          <w:lang w:eastAsia="zh-CN"/>
        </w:rPr>
        <w:t>项目</w:t>
      </w:r>
      <w:r>
        <w:rPr>
          <w:rFonts w:eastAsia="方正小标宋_GBK"/>
          <w:sz w:val="36"/>
          <w:szCs w:val="36"/>
        </w:rPr>
        <w:t>支出</w:t>
      </w:r>
    </w:p>
    <w:p>
      <w:pPr>
        <w:spacing w:line="600" w:lineRule="exact"/>
        <w:jc w:val="center"/>
        <w:rPr>
          <w:rFonts w:eastAsia="方正小标宋_GBK"/>
          <w:sz w:val="36"/>
          <w:szCs w:val="36"/>
        </w:rPr>
      </w:pPr>
      <w:r>
        <w:rPr>
          <w:rFonts w:eastAsia="方正小标宋_GBK"/>
          <w:sz w:val="36"/>
          <w:szCs w:val="36"/>
        </w:rPr>
        <w:t>绩效报告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（一）项目实施单位基本情况。</w:t>
      </w:r>
    </w:p>
    <w:p>
      <w:pPr>
        <w:adjustRightInd w:val="0"/>
        <w:snapToGrid w:val="0"/>
        <w:spacing w:line="600" w:lineRule="exact"/>
        <w:ind w:firstLine="640" w:firstLineChars="200"/>
        <w:rPr>
          <w:rFonts w:hint="default" w:eastAsia="仿宋_GB2312"/>
          <w:sz w:val="32"/>
          <w:szCs w:val="32"/>
          <w:lang w:val="en-US" w:eastAsia="zh-CN"/>
        </w:rPr>
      </w:pPr>
      <w:r>
        <w:rPr>
          <w:rFonts w:hint="eastAsia" w:eastAsia="仿宋_GB2312"/>
          <w:sz w:val="32"/>
          <w:szCs w:val="32"/>
          <w:lang w:eastAsia="zh-CN"/>
        </w:rPr>
        <w:t>津市市津港大道周边地块棚户区改造项目清远路两侧改扩翻建工程位于金鱼岭办事处文家湾社区，清远路两侧有居民近</w:t>
      </w:r>
      <w:r>
        <w:rPr>
          <w:rFonts w:hint="eastAsia" w:eastAsia="仿宋_GB2312"/>
          <w:sz w:val="32"/>
          <w:szCs w:val="32"/>
          <w:lang w:val="en-US" w:eastAsia="zh-CN"/>
        </w:rPr>
        <w:t>200户，居民住房大多建于上世纪八、九十年代，基本上都是居民自建房，由于建设年代较久，外墙脱落严重，有的甚至长满了青苔，清远路两侧搭建了较多的违章建筑，极大地影响了居民生活环境。</w:t>
      </w:r>
    </w:p>
    <w:p>
      <w:pPr>
        <w:adjustRightInd w:val="0"/>
        <w:snapToGrid w:val="0"/>
        <w:spacing w:line="600" w:lineRule="exact"/>
        <w:ind w:firstLine="640" w:firstLineChars="200"/>
        <w:rPr>
          <w:rFonts w:eastAsia="仿宋_GB2312"/>
          <w:sz w:val="32"/>
          <w:szCs w:val="32"/>
        </w:rPr>
      </w:pPr>
      <w:r>
        <w:rPr>
          <w:rFonts w:eastAsia="仿宋_GB2312"/>
          <w:sz w:val="32"/>
          <w:szCs w:val="32"/>
        </w:rPr>
        <w:t>（二）</w:t>
      </w:r>
      <w:r>
        <w:rPr>
          <w:rFonts w:hint="eastAsia" w:eastAsia="仿宋_GB2312"/>
          <w:sz w:val="32"/>
          <w:szCs w:val="32"/>
          <w:lang w:eastAsia="zh-CN"/>
        </w:rPr>
        <w:t>项目</w:t>
      </w:r>
      <w:r>
        <w:rPr>
          <w:rFonts w:eastAsia="仿宋_GB2312"/>
          <w:sz w:val="32"/>
          <w:szCs w:val="32"/>
        </w:rPr>
        <w:t>基本情况包括</w:t>
      </w:r>
      <w:r>
        <w:rPr>
          <w:rFonts w:hint="eastAsia" w:eastAsia="仿宋_GB2312"/>
          <w:sz w:val="32"/>
          <w:szCs w:val="32"/>
          <w:lang w:eastAsia="zh-CN"/>
        </w:rPr>
        <w:t>项目</w:t>
      </w:r>
      <w:r>
        <w:rPr>
          <w:rFonts w:eastAsia="仿宋_GB2312"/>
          <w:sz w:val="32"/>
          <w:szCs w:val="32"/>
        </w:rPr>
        <w:t>基本性质、用途和主要内容、涉及范围等。</w:t>
      </w:r>
    </w:p>
    <w:p>
      <w:pPr>
        <w:adjustRightInd w:val="0"/>
        <w:snapToGrid w:val="0"/>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项目基本性质是清远路两侧改扩翻建，用途是为打造宜居街区，主要内容是清远路两侧违章建筑拆除；清远路两侧建筑立面外墙面砖拆除和部门外墙面清洗后新做外墙真石漆、部门门窗更换及新建部门墙体；管线改造；屋面更换防水；新增污水系统及给水系统改造等。</w:t>
      </w:r>
    </w:p>
    <w:p>
      <w:pPr>
        <w:numPr>
          <w:ilvl w:val="0"/>
          <w:numId w:val="1"/>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绩效目标，包括总体目标和年度目标。</w:t>
      </w:r>
    </w:p>
    <w:p>
      <w:pPr>
        <w:numPr>
          <w:ilvl w:val="0"/>
          <w:numId w:val="0"/>
        </w:numPr>
        <w:adjustRightInd w:val="0"/>
        <w:snapToGrid w:val="0"/>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总体目标：对清远路两侧违章建筑拆除，建筑立面外墙砖拆除和部门外墙面清洗后新做外墙真石漆，部门木质窗户拆除更换、屋面更换防水、管线改造；新增污水系统及给水系统改造等，进一步改善群众居住条件，提高居住质量和生活质量，增强群众幸福感，不断促进辖区经济发展。</w:t>
      </w:r>
    </w:p>
    <w:p>
      <w:pPr>
        <w:numPr>
          <w:ilvl w:val="0"/>
          <w:numId w:val="0"/>
        </w:numPr>
        <w:adjustRightInd w:val="0"/>
        <w:snapToGrid w:val="0"/>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年度目标：改造建筑面积16700平方米，房屋立面改造、屋顶换瓦、管线规整、落水管改造、门窗更新、防盗网及空调栅统一制作、部分违建房屋拆除，并配套相关设施设备。</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adjustRightInd w:val="0"/>
        <w:snapToGrid w:val="0"/>
        <w:spacing w:line="600" w:lineRule="exact"/>
        <w:ind w:firstLine="640" w:firstLineChars="200"/>
        <w:rPr>
          <w:rFonts w:eastAsia="仿宋_GB2312"/>
          <w:sz w:val="32"/>
          <w:szCs w:val="32"/>
        </w:rPr>
      </w:pPr>
      <w:r>
        <w:rPr>
          <w:rFonts w:eastAsia="仿宋_GB2312"/>
          <w:sz w:val="32"/>
          <w:szCs w:val="32"/>
        </w:rPr>
        <w:t>（一）</w:t>
      </w:r>
      <w:r>
        <w:rPr>
          <w:rFonts w:hint="eastAsia" w:eastAsia="仿宋_GB2312"/>
          <w:sz w:val="32"/>
          <w:szCs w:val="32"/>
          <w:lang w:eastAsia="zh-CN"/>
        </w:rPr>
        <w:t>项目</w:t>
      </w:r>
      <w:r>
        <w:rPr>
          <w:rFonts w:eastAsia="仿宋_GB2312"/>
          <w:sz w:val="32"/>
          <w:szCs w:val="32"/>
        </w:rPr>
        <w:t>资金及自筹资金的安排落实、总投入等情况。</w:t>
      </w:r>
    </w:p>
    <w:p>
      <w:pPr>
        <w:adjustRightInd w:val="0"/>
        <w:snapToGrid w:val="0"/>
        <w:spacing w:line="600" w:lineRule="exact"/>
        <w:ind w:firstLine="640" w:firstLineChars="200"/>
        <w:rPr>
          <w:rFonts w:hint="default" w:eastAsia="仿宋_GB2312"/>
          <w:sz w:val="32"/>
          <w:szCs w:val="32"/>
          <w:lang w:val="en-US" w:eastAsia="zh-CN"/>
        </w:rPr>
      </w:pPr>
      <w:r>
        <w:rPr>
          <w:rFonts w:hint="eastAsia" w:eastAsia="仿宋_GB2312"/>
          <w:sz w:val="32"/>
          <w:szCs w:val="32"/>
          <w:lang w:eastAsia="zh-CN"/>
        </w:rPr>
        <w:t>津市市津港大道周边地块棚户区改造项目清远路两侧改扩翻建工程总投入</w:t>
      </w:r>
      <w:r>
        <w:rPr>
          <w:rFonts w:hint="eastAsia" w:eastAsia="仿宋_GB2312"/>
          <w:sz w:val="32"/>
          <w:szCs w:val="32"/>
          <w:lang w:val="en-US" w:eastAsia="zh-CN"/>
        </w:rPr>
        <w:t>300.75万元，其中上级补助收入300.75万元。</w:t>
      </w:r>
    </w:p>
    <w:p>
      <w:pPr>
        <w:numPr>
          <w:ilvl w:val="0"/>
          <w:numId w:val="2"/>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资金实际使用情况。</w:t>
      </w:r>
    </w:p>
    <w:p>
      <w:pPr>
        <w:numPr>
          <w:ilvl w:val="0"/>
          <w:numId w:val="0"/>
        </w:numPr>
        <w:adjustRightInd w:val="0"/>
        <w:snapToGrid w:val="0"/>
        <w:spacing w:line="600" w:lineRule="exact"/>
        <w:rPr>
          <w:rFonts w:hint="default" w:eastAsia="仿宋_GB2312"/>
          <w:sz w:val="32"/>
          <w:szCs w:val="32"/>
          <w:lang w:val="en-US" w:eastAsia="zh-CN"/>
        </w:rPr>
      </w:pPr>
      <w:r>
        <w:rPr>
          <w:rFonts w:hint="eastAsia" w:eastAsia="仿宋_GB2312"/>
          <w:sz w:val="32"/>
          <w:szCs w:val="32"/>
          <w:lang w:val="en-US" w:eastAsia="zh-CN"/>
        </w:rPr>
        <w:t xml:space="preserve">    截止2021年12月31日，</w:t>
      </w:r>
      <w:r>
        <w:rPr>
          <w:rFonts w:hint="eastAsia" w:eastAsia="仿宋_GB2312"/>
          <w:sz w:val="32"/>
          <w:szCs w:val="32"/>
          <w:lang w:eastAsia="zh-CN"/>
        </w:rPr>
        <w:t>津市市津港大道周边地块棚户区改造项目清远路两侧改扩翻建工程已竣工，结算评审金额</w:t>
      </w:r>
      <w:r>
        <w:rPr>
          <w:rFonts w:hint="eastAsia" w:eastAsia="仿宋_GB2312"/>
          <w:sz w:val="32"/>
          <w:szCs w:val="32"/>
          <w:lang w:val="en-US" w:eastAsia="zh-CN"/>
        </w:rPr>
        <w:t>300.75万元</w:t>
      </w:r>
      <w:r>
        <w:rPr>
          <w:rFonts w:hint="eastAsia" w:eastAsia="仿宋_GB2312"/>
          <w:sz w:val="32"/>
          <w:szCs w:val="32"/>
          <w:lang w:eastAsia="zh-CN"/>
        </w:rPr>
        <w:t>。</w:t>
      </w:r>
    </w:p>
    <w:p>
      <w:pPr>
        <w:numPr>
          <w:ilvl w:val="0"/>
          <w:numId w:val="2"/>
        </w:numPr>
        <w:adjustRightInd w:val="0"/>
        <w:snapToGrid w:val="0"/>
        <w:spacing w:line="600" w:lineRule="exact"/>
        <w:ind w:left="0" w:leftChars="0"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资金管理情况分析，主要包括管理制度、办法的制订及执行情况。</w:t>
      </w:r>
    </w:p>
    <w:p>
      <w:pPr>
        <w:numPr>
          <w:ilvl w:val="0"/>
          <w:numId w:val="0"/>
        </w:numPr>
        <w:adjustRightInd w:val="0"/>
        <w:snapToGrid w:val="0"/>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按照规定成立了项目管理领导小组，并严格按照《金鱼岭街道办事处专项资金管理办法》进行资金监管，严格执行财政投资评审和政府采购规定。项目资金拨付及时，在预定的时间内完成了相关支出任务，收、支台账完善，资金使用符合相关规定，对项目资金的使用情况进行事前、事中、事后监督。</w:t>
      </w: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支出组织实施情况</w:t>
      </w:r>
    </w:p>
    <w:p>
      <w:pPr>
        <w:adjustRightInd w:val="0"/>
        <w:snapToGrid w:val="0"/>
        <w:spacing w:line="600" w:lineRule="exact"/>
        <w:ind w:firstLine="640" w:firstLineChars="200"/>
        <w:rPr>
          <w:rFonts w:eastAsia="仿宋_GB2312"/>
          <w:sz w:val="32"/>
          <w:szCs w:val="32"/>
        </w:rPr>
      </w:pPr>
      <w:r>
        <w:rPr>
          <w:rFonts w:hint="eastAsia" w:eastAsia="仿宋_GB2312" w:cs="仿宋_GB2312"/>
          <w:sz w:val="32"/>
          <w:szCs w:val="32"/>
        </w:rPr>
        <w:t>项目组织实施情况，主要包括项目招投标、调整、竣工验收等情况。</w:t>
      </w:r>
    </w:p>
    <w:p>
      <w:pPr>
        <w:adjustRightInd w:val="0"/>
        <w:snapToGrid w:val="0"/>
        <w:spacing w:line="600" w:lineRule="exact"/>
        <w:ind w:firstLine="640" w:firstLineChars="200"/>
        <w:rPr>
          <w:rFonts w:eastAsia="仿宋_GB2312"/>
          <w:sz w:val="32"/>
          <w:szCs w:val="32"/>
        </w:rPr>
      </w:pPr>
      <w:r>
        <w:rPr>
          <w:rFonts w:hint="eastAsia" w:eastAsia="仿宋_GB2312" w:cs="仿宋_GB2312"/>
          <w:sz w:val="32"/>
          <w:szCs w:val="32"/>
        </w:rPr>
        <w:t>（一）资金使用管理情况</w:t>
      </w:r>
    </w:p>
    <w:p>
      <w:pPr>
        <w:adjustRightInd w:val="0"/>
        <w:snapToGrid w:val="0"/>
        <w:spacing w:line="600" w:lineRule="exact"/>
        <w:ind w:firstLine="640" w:firstLineChars="200"/>
        <w:rPr>
          <w:rFonts w:eastAsia="仿宋_GB2312"/>
          <w:sz w:val="32"/>
          <w:szCs w:val="32"/>
        </w:rPr>
      </w:pPr>
      <w:r>
        <w:rPr>
          <w:rFonts w:hint="eastAsia" w:eastAsia="仿宋_GB2312" w:cs="仿宋_GB2312"/>
          <w:sz w:val="32"/>
          <w:szCs w:val="32"/>
        </w:rPr>
        <w:t>街道财政所对项目管理实行工作制度化、规范化、标准化，对</w:t>
      </w:r>
      <w:r>
        <w:rPr>
          <w:rFonts w:hint="eastAsia" w:eastAsia="仿宋_GB2312" w:cs="仿宋_GB2312"/>
          <w:sz w:val="32"/>
          <w:szCs w:val="32"/>
          <w:lang w:eastAsia="zh-CN"/>
        </w:rPr>
        <w:t>清远路两侧改扩翻建工程</w:t>
      </w:r>
      <w:r>
        <w:rPr>
          <w:rFonts w:hint="eastAsia" w:eastAsia="仿宋_GB2312" w:cs="仿宋_GB2312"/>
          <w:sz w:val="32"/>
          <w:szCs w:val="32"/>
        </w:rPr>
        <w:t>资金使用及项目建设实行日常监督。</w:t>
      </w:r>
    </w:p>
    <w:p>
      <w:pPr>
        <w:adjustRightInd w:val="0"/>
        <w:snapToGrid w:val="0"/>
        <w:spacing w:line="600" w:lineRule="exact"/>
        <w:ind w:firstLine="640" w:firstLineChars="200"/>
        <w:rPr>
          <w:rFonts w:eastAsia="仿宋_GB2312"/>
          <w:sz w:val="32"/>
          <w:szCs w:val="32"/>
        </w:rPr>
      </w:pPr>
      <w:r>
        <w:rPr>
          <w:rFonts w:hint="eastAsia" w:eastAsia="仿宋_GB2312" w:cs="仿宋_GB2312"/>
          <w:sz w:val="32"/>
          <w:szCs w:val="32"/>
        </w:rPr>
        <w:t>（二）项目组织实施情况</w:t>
      </w:r>
    </w:p>
    <w:p>
      <w:pPr>
        <w:adjustRightInd w:val="0"/>
        <w:snapToGrid w:val="0"/>
        <w:spacing w:line="600" w:lineRule="exact"/>
        <w:ind w:firstLine="640" w:firstLineChars="200"/>
        <w:rPr>
          <w:rFonts w:eastAsia="仿宋_GB2312"/>
          <w:sz w:val="32"/>
          <w:szCs w:val="32"/>
        </w:rPr>
      </w:pPr>
      <w:r>
        <w:rPr>
          <w:rFonts w:eastAsia="仿宋_GB2312"/>
          <w:sz w:val="32"/>
          <w:szCs w:val="32"/>
        </w:rPr>
        <w:t xml:space="preserve">  </w:t>
      </w:r>
      <w:r>
        <w:rPr>
          <w:rFonts w:hint="eastAsia" w:eastAsia="仿宋_GB2312" w:cs="仿宋_GB2312"/>
          <w:sz w:val="32"/>
          <w:szCs w:val="32"/>
        </w:rPr>
        <w:t>街道对</w:t>
      </w:r>
      <w:r>
        <w:rPr>
          <w:rFonts w:hint="eastAsia" w:eastAsia="仿宋_GB2312" w:cs="仿宋_GB2312"/>
          <w:sz w:val="32"/>
          <w:szCs w:val="32"/>
          <w:lang w:eastAsia="zh-CN"/>
        </w:rPr>
        <w:t>清远路两侧改扩翻建工程</w:t>
      </w:r>
      <w:r>
        <w:rPr>
          <w:rFonts w:hint="eastAsia" w:eastAsia="仿宋_GB2312" w:cs="仿宋_GB2312"/>
          <w:sz w:val="32"/>
          <w:szCs w:val="32"/>
        </w:rPr>
        <w:t>实行全程跟踪和监督，确保项目有序推进，保证项目建设质量。所有项目均通过政府采购实施，保证事前、事中、事后监督，确保工程建设合法合规。</w:t>
      </w:r>
    </w:p>
    <w:p>
      <w:pPr>
        <w:adjustRightInd w:val="0"/>
        <w:snapToGrid w:val="0"/>
        <w:spacing w:line="600" w:lineRule="exact"/>
        <w:ind w:firstLine="640" w:firstLineChars="200"/>
        <w:rPr>
          <w:rFonts w:hint="eastAsia" w:eastAsia="仿宋_GB2312" w:cs="仿宋_GB2312"/>
          <w:sz w:val="32"/>
          <w:szCs w:val="32"/>
          <w:lang w:eastAsia="zh-CN"/>
        </w:rPr>
      </w:pPr>
      <w:r>
        <w:rPr>
          <w:rFonts w:hint="eastAsia" w:eastAsia="仿宋_GB2312" w:cs="仿宋_GB2312"/>
          <w:sz w:val="32"/>
          <w:szCs w:val="32"/>
        </w:rPr>
        <w:t>该项目</w:t>
      </w:r>
      <w:r>
        <w:rPr>
          <w:rFonts w:hint="eastAsia" w:eastAsia="仿宋_GB2312" w:cs="仿宋_GB2312"/>
          <w:sz w:val="32"/>
          <w:szCs w:val="32"/>
          <w:lang w:eastAsia="zh-CN"/>
        </w:rPr>
        <w:t>已完成结算评审。</w:t>
      </w:r>
    </w:p>
    <w:p>
      <w:pPr>
        <w:adjustRightInd w:val="0"/>
        <w:snapToGrid w:val="0"/>
        <w:spacing w:line="600" w:lineRule="exact"/>
        <w:ind w:firstLine="640" w:firstLineChars="200"/>
        <w:rPr>
          <w:rFonts w:eastAsia="黑体"/>
          <w:sz w:val="32"/>
          <w:szCs w:val="32"/>
        </w:rPr>
      </w:pPr>
      <w:r>
        <w:rPr>
          <w:rFonts w:eastAsia="黑体"/>
          <w:sz w:val="32"/>
          <w:szCs w:val="32"/>
        </w:rPr>
        <w:t>四、</w:t>
      </w:r>
      <w:r>
        <w:rPr>
          <w:rFonts w:hint="eastAsia" w:eastAsia="黑体"/>
          <w:sz w:val="32"/>
          <w:szCs w:val="32"/>
          <w:lang w:eastAsia="zh-CN"/>
        </w:rPr>
        <w:t>项目</w:t>
      </w:r>
      <w:r>
        <w:rPr>
          <w:rFonts w:eastAsia="黑体"/>
          <w:sz w:val="32"/>
          <w:szCs w:val="32"/>
        </w:rPr>
        <w:t>绩效情况</w:t>
      </w:r>
    </w:p>
    <w:p>
      <w:pPr>
        <w:adjustRightInd w:val="0"/>
        <w:snapToGrid w:val="0"/>
        <w:spacing w:line="600" w:lineRule="exact"/>
        <w:ind w:firstLine="640" w:firstLineChars="200"/>
        <w:rPr>
          <w:rFonts w:eastAsia="仿宋_GB2312"/>
          <w:sz w:val="32"/>
          <w:szCs w:val="32"/>
        </w:rPr>
      </w:pPr>
      <w:r>
        <w:rPr>
          <w:rFonts w:hint="eastAsia" w:eastAsia="仿宋_GB2312" w:cs="仿宋_GB2312"/>
          <w:sz w:val="32"/>
          <w:szCs w:val="32"/>
          <w:lang w:eastAsia="zh-CN"/>
        </w:rPr>
        <w:t>津市市津港大道周边地块棚户区改造项目清远路两侧改扩翻建工程严格</w:t>
      </w:r>
      <w:r>
        <w:rPr>
          <w:rFonts w:hint="eastAsia" w:eastAsia="仿宋_GB2312" w:cs="仿宋_GB2312"/>
          <w:sz w:val="32"/>
          <w:szCs w:val="32"/>
        </w:rPr>
        <w:t>根据中标通知书、项目合同书、财政预</w:t>
      </w:r>
      <w:r>
        <w:rPr>
          <w:rFonts w:hint="eastAsia" w:eastAsia="仿宋_GB2312" w:cs="仿宋_GB2312"/>
          <w:sz w:val="32"/>
          <w:szCs w:val="32"/>
          <w:lang w:eastAsia="zh-CN"/>
        </w:rPr>
        <w:t>决</w:t>
      </w:r>
      <w:r>
        <w:rPr>
          <w:rFonts w:hint="eastAsia" w:eastAsia="仿宋_GB2312" w:cs="仿宋_GB2312"/>
          <w:sz w:val="32"/>
          <w:szCs w:val="32"/>
        </w:rPr>
        <w:t>算报告严格控制成本，按照合同规定支付工程款。</w:t>
      </w:r>
      <w:r>
        <w:rPr>
          <w:rFonts w:hint="eastAsia" w:eastAsia="仿宋_GB2312" w:cs="仿宋_GB2312"/>
          <w:sz w:val="32"/>
          <w:szCs w:val="32"/>
          <w:lang w:eastAsia="zh-CN"/>
        </w:rPr>
        <w:t>通过建设，清远路两侧有了明显的改善，居民居住环境有了极大的改变，居民的满意度和幸福感大大提升。</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（一）后续工作计划。</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对清远路两侧改扩翻建工程进行事后监督，并将其相关资料整理归档备查。</w:t>
      </w:r>
    </w:p>
    <w:p>
      <w:pPr>
        <w:numPr>
          <w:ilvl w:val="0"/>
          <w:numId w:val="3"/>
        </w:num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主要经验做法、存在的问题和建议。</w:t>
      </w:r>
    </w:p>
    <w:p>
      <w:pPr>
        <w:adjustRightInd w:val="0"/>
        <w:snapToGrid w:val="0"/>
        <w:spacing w:line="6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健全</w:t>
      </w:r>
      <w:r>
        <w:rPr>
          <w:rFonts w:hint="eastAsia" w:ascii="仿宋_GB2312" w:hAnsi="仿宋_GB2312" w:eastAsia="仿宋_GB2312" w:cs="仿宋_GB2312"/>
          <w:sz w:val="32"/>
          <w:szCs w:val="32"/>
        </w:rPr>
        <w:t>资金使用台账，实行事前、事中、事后实施监督，确保资金使用，严格按合同规定支付工程款，确保工程质量。</w:t>
      </w:r>
    </w:p>
    <w:p>
      <w:pPr>
        <w:numPr>
          <w:ilvl w:val="0"/>
          <w:numId w:val="0"/>
        </w:numPr>
        <w:adjustRightInd w:val="0"/>
        <w:snapToGrid w:val="0"/>
        <w:spacing w:line="600" w:lineRule="exact"/>
        <w:rPr>
          <w:rFonts w:hint="default" w:ascii="仿宋_GB2312" w:hAnsi="仿宋_GB2312" w:eastAsia="仿宋_GB2312" w:cs="仿宋_GB2312"/>
          <w:sz w:val="32"/>
          <w:szCs w:val="32"/>
          <w:lang w:val="en-US" w:eastAsia="zh-CN"/>
        </w:rPr>
      </w:pPr>
    </w:p>
    <w:p>
      <w:pPr>
        <w:adjustRightInd w:val="0"/>
        <w:snapToGrid w:val="0"/>
        <w:spacing w:line="600" w:lineRule="exact"/>
        <w:ind w:firstLine="640" w:firstLineChars="200"/>
        <w:rPr>
          <w:rFonts w:eastAsia="黑体"/>
          <w:sz w:val="32"/>
          <w:szCs w:val="32"/>
        </w:rPr>
      </w:pP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2"/>
        <w:tblW w:w="11140" w:type="dxa"/>
        <w:jc w:val="center"/>
        <w:tblLayout w:type="fixed"/>
        <w:tblCellMar>
          <w:top w:w="0" w:type="dxa"/>
          <w:left w:w="108" w:type="dxa"/>
          <w:bottom w:w="0" w:type="dxa"/>
          <w:right w:w="108" w:type="dxa"/>
        </w:tblCellMar>
      </w:tblPr>
      <w:tblGrid>
        <w:gridCol w:w="1135"/>
        <w:gridCol w:w="992"/>
        <w:gridCol w:w="901"/>
        <w:gridCol w:w="1005"/>
        <w:gridCol w:w="2250"/>
        <w:gridCol w:w="1950"/>
        <w:gridCol w:w="735"/>
        <w:gridCol w:w="960"/>
        <w:gridCol w:w="1212"/>
      </w:tblGrid>
      <w:tr>
        <w:tblPrEx>
          <w:tblCellMar>
            <w:top w:w="0" w:type="dxa"/>
            <w:left w:w="108" w:type="dxa"/>
            <w:bottom w:w="0" w:type="dxa"/>
            <w:right w:w="108" w:type="dxa"/>
          </w:tblCellMar>
        </w:tblPrEx>
        <w:trPr>
          <w:trHeight w:val="1165" w:hRule="atLeast"/>
          <w:jc w:val="center"/>
        </w:trPr>
        <w:tc>
          <w:tcPr>
            <w:tcW w:w="11140"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11140"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10005"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津市市津港大道周边地块棚户区改造项目清远路两侧改扩翻建工程</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5148" w:type="dxa"/>
            <w:gridSpan w:val="4"/>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乡镇财政服务中心</w:t>
            </w:r>
          </w:p>
        </w:tc>
        <w:tc>
          <w:tcPr>
            <w:tcW w:w="1950"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2907" w:type="dxa"/>
            <w:gridSpan w:val="3"/>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津市市金鱼岭街道办事处</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189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00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225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950"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735"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960"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212"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189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005"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310</w:t>
            </w:r>
          </w:p>
        </w:tc>
        <w:tc>
          <w:tcPr>
            <w:tcW w:w="2250"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310</w:t>
            </w:r>
          </w:p>
        </w:tc>
        <w:tc>
          <w:tcPr>
            <w:tcW w:w="1950"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300.75</w:t>
            </w:r>
          </w:p>
        </w:tc>
        <w:tc>
          <w:tcPr>
            <w:tcW w:w="73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960"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97.02%</w:t>
            </w:r>
          </w:p>
        </w:tc>
        <w:tc>
          <w:tcPr>
            <w:tcW w:w="1212"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189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00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225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5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73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96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12"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189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00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225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95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73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96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12"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189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005"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310</w:t>
            </w:r>
          </w:p>
        </w:tc>
        <w:tc>
          <w:tcPr>
            <w:tcW w:w="2250"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310</w:t>
            </w:r>
          </w:p>
        </w:tc>
        <w:tc>
          <w:tcPr>
            <w:tcW w:w="1950"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300.75</w:t>
            </w:r>
          </w:p>
        </w:tc>
        <w:tc>
          <w:tcPr>
            <w:tcW w:w="73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96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12"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514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857"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514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清远路两侧违章建筑拆除，建筑立面外墙砖拆除和部门外墙面清洗后新做外墙真石漆，部门木质窗户拆除更换、屋面更换防水、管线改造；新增污水系统及给水系统改造等。</w:t>
            </w:r>
            <w:r>
              <w:rPr>
                <w:rFonts w:eastAsia="仿宋_GB2312"/>
                <w:color w:val="000000"/>
                <w:kern w:val="0"/>
                <w:szCs w:val="21"/>
              </w:rPr>
              <w:t>　　</w:t>
            </w:r>
          </w:p>
        </w:tc>
        <w:tc>
          <w:tcPr>
            <w:tcW w:w="4857" w:type="dxa"/>
            <w:gridSpan w:val="4"/>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清远路两侧违章建筑拆除，建筑立面外墙砖拆除和部门外墙面清洗后新做外墙真石漆，部门木质窗户拆除更换、屋面更换防水、管线改造；新增污水系统及给水系统改造等。</w:t>
            </w:r>
          </w:p>
        </w:tc>
      </w:tr>
      <w:tr>
        <w:tblPrEx>
          <w:tblCellMar>
            <w:top w:w="0" w:type="dxa"/>
            <w:left w:w="108" w:type="dxa"/>
            <w:bottom w:w="0" w:type="dxa"/>
            <w:right w:w="108" w:type="dxa"/>
          </w:tblCellMar>
        </w:tblPrEx>
        <w:trPr>
          <w:trHeight w:val="853"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90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00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225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95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73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96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21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901"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0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项目工程</w:t>
            </w:r>
          </w:p>
        </w:tc>
        <w:tc>
          <w:tcPr>
            <w:tcW w:w="22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排水工程：污水管改造等</w:t>
            </w:r>
          </w:p>
        </w:tc>
        <w:tc>
          <w:tcPr>
            <w:tcW w:w="19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排水工程：污水管改造等</w:t>
            </w:r>
          </w:p>
        </w:tc>
        <w:tc>
          <w:tcPr>
            <w:tcW w:w="735"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w:t>
            </w:r>
          </w:p>
        </w:tc>
        <w:tc>
          <w:tcPr>
            <w:tcW w:w="960"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w:t>
            </w:r>
          </w:p>
        </w:tc>
        <w:tc>
          <w:tcPr>
            <w:tcW w:w="121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901"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0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项目工程</w:t>
            </w:r>
          </w:p>
        </w:tc>
        <w:tc>
          <w:tcPr>
            <w:tcW w:w="22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住宅楼改扩翻建工程</w:t>
            </w:r>
          </w:p>
        </w:tc>
        <w:tc>
          <w:tcPr>
            <w:tcW w:w="19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道路两侧的外墙面改造，落水管更换、屋面拆除与改造、及加固维修、临时建筑拆除等</w:t>
            </w:r>
          </w:p>
        </w:tc>
        <w:tc>
          <w:tcPr>
            <w:tcW w:w="735"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w:t>
            </w:r>
          </w:p>
        </w:tc>
        <w:tc>
          <w:tcPr>
            <w:tcW w:w="960"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w:t>
            </w:r>
          </w:p>
        </w:tc>
        <w:tc>
          <w:tcPr>
            <w:tcW w:w="121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901"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005"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rPr>
            </w:pPr>
            <w:r>
              <w:rPr>
                <w:rFonts w:hint="eastAsia" w:eastAsia="仿宋_GB2312"/>
                <w:color w:val="000000"/>
                <w:kern w:val="0"/>
                <w:szCs w:val="21"/>
              </w:rPr>
              <w:t>项目工程</w:t>
            </w:r>
          </w:p>
        </w:tc>
        <w:tc>
          <w:tcPr>
            <w:tcW w:w="22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室外安装工程</w:t>
            </w:r>
          </w:p>
        </w:tc>
        <w:tc>
          <w:tcPr>
            <w:tcW w:w="19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强弱电线套管、给水改造、新增化粪池1座等</w:t>
            </w:r>
          </w:p>
        </w:tc>
        <w:tc>
          <w:tcPr>
            <w:tcW w:w="735"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 xml:space="preserve">  6</w:t>
            </w:r>
          </w:p>
        </w:tc>
        <w:tc>
          <w:tcPr>
            <w:tcW w:w="960" w:type="dxa"/>
            <w:tcBorders>
              <w:top w:val="single" w:color="auto" w:sz="4" w:space="0"/>
              <w:left w:val="nil"/>
              <w:bottom w:val="single" w:color="auto" w:sz="4" w:space="0"/>
              <w:right w:val="single" w:color="auto" w:sz="4" w:space="0"/>
            </w:tcBorders>
            <w:noWrap w:val="0"/>
            <w:vAlign w:val="center"/>
          </w:tcPr>
          <w:p>
            <w:pPr>
              <w:widowControl/>
              <w:ind w:firstLine="210" w:firstLineChars="100"/>
              <w:jc w:val="left"/>
              <w:rPr>
                <w:rFonts w:hint="eastAsia" w:eastAsia="仿宋_GB2312"/>
                <w:color w:val="000000"/>
                <w:kern w:val="0"/>
                <w:szCs w:val="21"/>
                <w:lang w:val="en-US" w:eastAsia="zh-CN"/>
              </w:rPr>
            </w:pPr>
            <w:r>
              <w:rPr>
                <w:rFonts w:hint="eastAsia" w:eastAsia="仿宋_GB2312"/>
                <w:color w:val="000000"/>
                <w:kern w:val="0"/>
                <w:szCs w:val="21"/>
                <w:lang w:val="en-US" w:eastAsia="zh-CN"/>
              </w:rPr>
              <w:t>6</w:t>
            </w:r>
          </w:p>
        </w:tc>
        <w:tc>
          <w:tcPr>
            <w:tcW w:w="121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90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0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达标率</w:t>
            </w:r>
          </w:p>
        </w:tc>
        <w:tc>
          <w:tcPr>
            <w:tcW w:w="22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竣工验收达标率</w:t>
            </w:r>
          </w:p>
        </w:tc>
        <w:tc>
          <w:tcPr>
            <w:tcW w:w="1950" w:type="dxa"/>
            <w:tcBorders>
              <w:top w:val="single" w:color="auto" w:sz="4" w:space="0"/>
              <w:left w:val="nil"/>
              <w:bottom w:val="single" w:color="auto" w:sz="4" w:space="0"/>
              <w:right w:val="single" w:color="auto" w:sz="4" w:space="0"/>
            </w:tcBorders>
            <w:noWrap w:val="0"/>
            <w:vAlign w:val="center"/>
          </w:tcPr>
          <w:p>
            <w:pPr>
              <w:widowControl/>
              <w:ind w:firstLine="420" w:firstLineChars="200"/>
              <w:jc w:val="left"/>
              <w:rPr>
                <w:rFonts w:eastAsia="仿宋_GB2312"/>
                <w:color w:val="000000"/>
                <w:kern w:val="0"/>
                <w:szCs w:val="21"/>
              </w:rPr>
            </w:pPr>
            <w:r>
              <w:rPr>
                <w:rFonts w:hint="eastAsia" w:eastAsia="仿宋_GB2312"/>
                <w:color w:val="000000"/>
                <w:kern w:val="0"/>
                <w:szCs w:val="21"/>
                <w:lang w:val="en-US" w:eastAsia="zh-CN"/>
              </w:rPr>
              <w:t xml:space="preserve"> </w:t>
            </w:r>
            <w:r>
              <w:rPr>
                <w:rFonts w:hint="eastAsia" w:eastAsia="仿宋_GB2312"/>
                <w:color w:val="000000"/>
                <w:kern w:val="0"/>
                <w:szCs w:val="21"/>
              </w:rPr>
              <w:t>100%</w:t>
            </w:r>
          </w:p>
        </w:tc>
        <w:tc>
          <w:tcPr>
            <w:tcW w:w="735"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7</w:t>
            </w:r>
          </w:p>
        </w:tc>
        <w:tc>
          <w:tcPr>
            <w:tcW w:w="960"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7</w:t>
            </w:r>
          </w:p>
        </w:tc>
        <w:tc>
          <w:tcPr>
            <w:tcW w:w="121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90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0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工程完工及时率</w:t>
            </w:r>
          </w:p>
        </w:tc>
        <w:tc>
          <w:tcPr>
            <w:tcW w:w="22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工程按合同要求及时竣工验收</w:t>
            </w:r>
          </w:p>
        </w:tc>
        <w:tc>
          <w:tcPr>
            <w:tcW w:w="19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 xml:space="preserve">   </w:t>
            </w:r>
            <w:r>
              <w:rPr>
                <w:rFonts w:hint="eastAsia" w:eastAsia="仿宋_GB2312"/>
                <w:color w:val="000000"/>
                <w:kern w:val="0"/>
                <w:szCs w:val="21"/>
              </w:rPr>
              <w:t>100%</w:t>
            </w:r>
          </w:p>
        </w:tc>
        <w:tc>
          <w:tcPr>
            <w:tcW w:w="735"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7</w:t>
            </w:r>
          </w:p>
        </w:tc>
        <w:tc>
          <w:tcPr>
            <w:tcW w:w="960"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7</w:t>
            </w:r>
          </w:p>
        </w:tc>
        <w:tc>
          <w:tcPr>
            <w:tcW w:w="121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769"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901"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0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装饰工程</w:t>
            </w:r>
          </w:p>
        </w:tc>
        <w:tc>
          <w:tcPr>
            <w:tcW w:w="22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结算评审控制在2817740.79元</w:t>
            </w:r>
          </w:p>
        </w:tc>
        <w:tc>
          <w:tcPr>
            <w:tcW w:w="1950"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 xml:space="preserve">   100%</w:t>
            </w:r>
          </w:p>
        </w:tc>
        <w:tc>
          <w:tcPr>
            <w:tcW w:w="735"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w:t>
            </w:r>
          </w:p>
        </w:tc>
        <w:tc>
          <w:tcPr>
            <w:tcW w:w="960"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w:t>
            </w:r>
          </w:p>
        </w:tc>
        <w:tc>
          <w:tcPr>
            <w:tcW w:w="121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01" w:type="dxa"/>
            <w:vMerge w:val="continue"/>
            <w:tcBorders>
              <w:left w:val="nil"/>
              <w:right w:val="single" w:color="auto" w:sz="4" w:space="0"/>
            </w:tcBorders>
            <w:noWrap w:val="0"/>
            <w:vAlign w:val="center"/>
          </w:tcPr>
          <w:p>
            <w:pPr>
              <w:widowControl/>
              <w:jc w:val="left"/>
              <w:rPr>
                <w:rFonts w:eastAsia="仿宋_GB2312"/>
                <w:color w:val="000000"/>
                <w:kern w:val="0"/>
                <w:szCs w:val="21"/>
              </w:rPr>
            </w:pPr>
          </w:p>
        </w:tc>
        <w:tc>
          <w:tcPr>
            <w:tcW w:w="10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排水工程</w:t>
            </w:r>
          </w:p>
        </w:tc>
        <w:tc>
          <w:tcPr>
            <w:tcW w:w="22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结算评审控制在88506.13元</w:t>
            </w:r>
          </w:p>
        </w:tc>
        <w:tc>
          <w:tcPr>
            <w:tcW w:w="1950"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 xml:space="preserve">   100%</w:t>
            </w:r>
          </w:p>
        </w:tc>
        <w:tc>
          <w:tcPr>
            <w:tcW w:w="735"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w:t>
            </w:r>
          </w:p>
        </w:tc>
        <w:tc>
          <w:tcPr>
            <w:tcW w:w="960"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w:t>
            </w:r>
          </w:p>
        </w:tc>
        <w:tc>
          <w:tcPr>
            <w:tcW w:w="121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01"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0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安装工程</w:t>
            </w:r>
          </w:p>
        </w:tc>
        <w:tc>
          <w:tcPr>
            <w:tcW w:w="22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结算评审控制在25900.76元</w:t>
            </w:r>
          </w:p>
        </w:tc>
        <w:tc>
          <w:tcPr>
            <w:tcW w:w="1950" w:type="dxa"/>
            <w:tcBorders>
              <w:top w:val="single" w:color="auto" w:sz="4" w:space="0"/>
              <w:left w:val="nil"/>
              <w:bottom w:val="single" w:color="auto" w:sz="4" w:space="0"/>
              <w:right w:val="single" w:color="auto" w:sz="4" w:space="0"/>
            </w:tcBorders>
            <w:noWrap w:val="0"/>
            <w:vAlign w:val="center"/>
          </w:tcPr>
          <w:p>
            <w:pPr>
              <w:widowControl/>
              <w:ind w:firstLine="630" w:firstLineChars="300"/>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735"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6</w:t>
            </w:r>
          </w:p>
        </w:tc>
        <w:tc>
          <w:tcPr>
            <w:tcW w:w="960" w:type="dxa"/>
            <w:tcBorders>
              <w:top w:val="single" w:color="auto" w:sz="4" w:space="0"/>
              <w:left w:val="nil"/>
              <w:bottom w:val="single" w:color="auto" w:sz="4" w:space="0"/>
              <w:right w:val="single" w:color="auto" w:sz="4" w:space="0"/>
            </w:tcBorders>
            <w:noWrap w:val="0"/>
            <w:vAlign w:val="center"/>
          </w:tcPr>
          <w:p>
            <w:pPr>
              <w:widowControl/>
              <w:ind w:firstLine="210" w:firstLineChars="100"/>
              <w:jc w:val="left"/>
              <w:rPr>
                <w:rFonts w:hint="eastAsia" w:eastAsia="仿宋_GB2312"/>
                <w:color w:val="000000"/>
                <w:kern w:val="0"/>
                <w:szCs w:val="21"/>
                <w:lang w:val="en-US" w:eastAsia="zh-CN"/>
              </w:rPr>
            </w:pPr>
            <w:r>
              <w:rPr>
                <w:rFonts w:hint="eastAsia" w:eastAsia="仿宋_GB2312"/>
                <w:color w:val="000000"/>
                <w:kern w:val="0"/>
                <w:szCs w:val="21"/>
                <w:lang w:val="en-US" w:eastAsia="zh-CN"/>
              </w:rPr>
              <w:t>6</w:t>
            </w:r>
          </w:p>
        </w:tc>
        <w:tc>
          <w:tcPr>
            <w:tcW w:w="121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90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0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发展经济</w:t>
            </w:r>
          </w:p>
        </w:tc>
        <w:tc>
          <w:tcPr>
            <w:tcW w:w="22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拉动固定资产投资、促进GDP增长、改善人居环境，促进经济可持续发展。</w:t>
            </w:r>
          </w:p>
        </w:tc>
        <w:tc>
          <w:tcPr>
            <w:tcW w:w="19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拉动固定资产投资、促进GDP增长、改善人居环境，促进经济可持续发展。</w:t>
            </w:r>
          </w:p>
        </w:tc>
        <w:tc>
          <w:tcPr>
            <w:tcW w:w="735"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w:t>
            </w:r>
          </w:p>
        </w:tc>
        <w:tc>
          <w:tcPr>
            <w:tcW w:w="960" w:type="dxa"/>
            <w:tcBorders>
              <w:top w:val="single" w:color="auto" w:sz="4" w:space="0"/>
              <w:left w:val="nil"/>
              <w:bottom w:val="single" w:color="auto" w:sz="4" w:space="0"/>
              <w:right w:val="single" w:color="auto" w:sz="4" w:space="0"/>
            </w:tcBorders>
            <w:noWrap w:val="0"/>
            <w:vAlign w:val="center"/>
          </w:tcPr>
          <w:p>
            <w:pPr>
              <w:widowControl/>
              <w:ind w:firstLine="210" w:firstLineChars="100"/>
              <w:jc w:val="left"/>
              <w:rPr>
                <w:rFonts w:eastAsia="仿宋_GB2312"/>
                <w:color w:val="000000"/>
                <w:kern w:val="0"/>
                <w:szCs w:val="21"/>
              </w:rPr>
            </w:pPr>
            <w:r>
              <w:rPr>
                <w:rFonts w:hint="eastAsia" w:eastAsia="仿宋_GB2312"/>
                <w:color w:val="000000"/>
                <w:kern w:val="0"/>
                <w:szCs w:val="21"/>
                <w:lang w:val="en-US" w:eastAsia="zh-CN"/>
              </w:rPr>
              <w:t>5</w:t>
            </w:r>
            <w:r>
              <w:rPr>
                <w:rFonts w:eastAsia="仿宋_GB2312"/>
                <w:color w:val="000000"/>
                <w:kern w:val="0"/>
                <w:szCs w:val="21"/>
              </w:rPr>
              <w:t>　</w:t>
            </w:r>
          </w:p>
        </w:tc>
        <w:tc>
          <w:tcPr>
            <w:tcW w:w="121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不断发展基础设施建设，拉动消费，发展经济。</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90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0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拉动需求</w:t>
            </w:r>
          </w:p>
        </w:tc>
        <w:tc>
          <w:tcPr>
            <w:tcW w:w="22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提高社会需求，拉动经济发展。</w:t>
            </w:r>
          </w:p>
        </w:tc>
        <w:tc>
          <w:tcPr>
            <w:tcW w:w="19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提高社会需求，拉动经济发展。</w:t>
            </w:r>
          </w:p>
        </w:tc>
        <w:tc>
          <w:tcPr>
            <w:tcW w:w="735"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w:t>
            </w:r>
          </w:p>
        </w:tc>
        <w:tc>
          <w:tcPr>
            <w:tcW w:w="960"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w:t>
            </w:r>
          </w:p>
        </w:tc>
        <w:tc>
          <w:tcPr>
            <w:tcW w:w="121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90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0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宜居城市</w:t>
            </w:r>
          </w:p>
        </w:tc>
        <w:tc>
          <w:tcPr>
            <w:tcW w:w="22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提升居民生活幸福指数。</w:t>
            </w:r>
          </w:p>
        </w:tc>
        <w:tc>
          <w:tcPr>
            <w:tcW w:w="195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居民生活幸福指数提升。</w:t>
            </w:r>
          </w:p>
        </w:tc>
        <w:tc>
          <w:tcPr>
            <w:tcW w:w="735"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w:t>
            </w:r>
          </w:p>
        </w:tc>
        <w:tc>
          <w:tcPr>
            <w:tcW w:w="960"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w:t>
            </w:r>
          </w:p>
        </w:tc>
        <w:tc>
          <w:tcPr>
            <w:tcW w:w="121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改善环境</w:t>
            </w:r>
          </w:p>
        </w:tc>
        <w:tc>
          <w:tcPr>
            <w:tcW w:w="225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人居环境不断改善</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人居环境不断改善</w:t>
            </w:r>
          </w:p>
        </w:tc>
        <w:tc>
          <w:tcPr>
            <w:tcW w:w="7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w:t>
            </w:r>
          </w:p>
        </w:tc>
        <w:tc>
          <w:tcPr>
            <w:tcW w:w="960"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21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进一步加强宣传，在完善周边设施建设的同时，注重生态环境保护。</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2" w:type="dxa"/>
            <w:vMerge w:val="continue"/>
            <w:tcBorders>
              <w:left w:val="single" w:color="auto" w:sz="4" w:space="0"/>
              <w:right w:val="single" w:color="auto" w:sz="4" w:space="0"/>
            </w:tcBorders>
            <w:noWrap w:val="0"/>
            <w:vAlign w:val="center"/>
          </w:tcPr>
          <w:p>
            <w:pPr>
              <w:widowControl/>
              <w:jc w:val="left"/>
              <w:rPr>
                <w:rFonts w:eastAsia="仿宋_GB2312"/>
                <w:color w:val="000000"/>
                <w:kern w:val="0"/>
                <w:szCs w:val="21"/>
              </w:rPr>
            </w:pPr>
          </w:p>
        </w:tc>
        <w:tc>
          <w:tcPr>
            <w:tcW w:w="901" w:type="dxa"/>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00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可持续发展</w:t>
            </w:r>
          </w:p>
        </w:tc>
        <w:tc>
          <w:tcPr>
            <w:tcW w:w="225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经济可持续发展</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经济可持续发展</w:t>
            </w:r>
          </w:p>
        </w:tc>
        <w:tc>
          <w:tcPr>
            <w:tcW w:w="7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w:t>
            </w:r>
          </w:p>
        </w:tc>
        <w:tc>
          <w:tcPr>
            <w:tcW w:w="96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w:t>
            </w:r>
          </w:p>
        </w:tc>
        <w:tc>
          <w:tcPr>
            <w:tcW w:w="121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151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901" w:type="dxa"/>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00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满意度</w:t>
            </w:r>
          </w:p>
        </w:tc>
        <w:tc>
          <w:tcPr>
            <w:tcW w:w="225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社会公众及受益群众满意度达95%以上。</w:t>
            </w:r>
          </w:p>
        </w:tc>
        <w:tc>
          <w:tcPr>
            <w:tcW w:w="195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社会公众及受益群众满意度95%</w:t>
            </w:r>
          </w:p>
        </w:tc>
        <w:tc>
          <w:tcPr>
            <w:tcW w:w="735"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960"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212"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8233"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735"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960"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98</w:t>
            </w:r>
          </w:p>
        </w:tc>
        <w:tc>
          <w:tcPr>
            <w:tcW w:w="1212"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pPr>
      <w:r>
        <w:rPr>
          <w:rFonts w:eastAsia="仿宋_GB2312"/>
          <w:sz w:val="24"/>
        </w:rPr>
        <w:t>填表人：</w:t>
      </w:r>
      <w:r>
        <w:rPr>
          <w:rFonts w:hint="eastAsia" w:eastAsia="仿宋_GB2312"/>
          <w:sz w:val="24"/>
          <w:lang w:eastAsia="zh-CN"/>
        </w:rPr>
        <w:t>赵欢</w:t>
      </w:r>
      <w:r>
        <w:rPr>
          <w:rFonts w:eastAsia="仿宋_GB2312"/>
          <w:sz w:val="24"/>
        </w:rPr>
        <w:t xml:space="preserve">    </w:t>
      </w:r>
      <w:r>
        <w:rPr>
          <w:rFonts w:hint="eastAsia" w:eastAsia="仿宋_GB2312"/>
          <w:sz w:val="24"/>
          <w:lang w:val="en-US" w:eastAsia="zh-CN"/>
        </w:rPr>
        <w:t xml:space="preserve">                            </w:t>
      </w:r>
      <w:r>
        <w:rPr>
          <w:rFonts w:eastAsia="仿宋_GB2312"/>
          <w:sz w:val="24"/>
        </w:rPr>
        <w:t>填报日期：</w:t>
      </w:r>
      <w:r>
        <w:rPr>
          <w:rFonts w:hint="eastAsia" w:eastAsia="仿宋_GB2312"/>
          <w:sz w:val="24"/>
          <w:lang w:val="en-US" w:eastAsia="zh-CN"/>
        </w:rPr>
        <w:t>2022年3月23日</w:t>
      </w:r>
      <w:r>
        <w:rPr>
          <w:rFonts w:eastAsia="仿宋_GB2312"/>
          <w:sz w:val="24"/>
        </w:rPr>
        <w:t xml:space="preserve">    </w:t>
      </w:r>
      <w:r>
        <w:rPr>
          <w:rFonts w:hint="eastAsia" w:eastAsia="仿宋_GB2312"/>
          <w:sz w:val="24"/>
          <w:lang w:val="en-US" w:eastAsia="zh-CN"/>
        </w:rPr>
        <w:t xml:space="preserve">                        </w:t>
      </w:r>
      <w:r>
        <w:rPr>
          <w:rFonts w:eastAsia="仿宋_GB2312"/>
          <w:sz w:val="24"/>
        </w:rPr>
        <w:t xml:space="preserve"> 联系电话：</w:t>
      </w:r>
      <w:r>
        <w:rPr>
          <w:rFonts w:hint="eastAsia" w:eastAsia="仿宋_GB2312"/>
          <w:sz w:val="24"/>
          <w:lang w:val="en-US" w:eastAsia="zh-CN"/>
        </w:rPr>
        <w:t>15115770385</w:t>
      </w:r>
      <w:r>
        <w:rPr>
          <w:rFonts w:eastAsia="仿宋_GB2312"/>
          <w:sz w:val="24"/>
        </w:rPr>
        <w:t xml:space="preserve">      </w:t>
      </w:r>
      <w:r>
        <w:rPr>
          <w:rFonts w:hint="eastAsia" w:eastAsia="仿宋_GB2312"/>
          <w:sz w:val="24"/>
          <w:lang w:val="en-US" w:eastAsia="zh-CN"/>
        </w:rPr>
        <w:t xml:space="preserve">                </w:t>
      </w:r>
      <w:r>
        <w:rPr>
          <w:rFonts w:eastAsia="仿宋_GB2312"/>
          <w:sz w:val="24"/>
        </w:rPr>
        <w:t xml:space="preserve"> 单位负责人签字：</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9972EA"/>
    <w:multiLevelType w:val="singleLevel"/>
    <w:tmpl w:val="A89972EA"/>
    <w:lvl w:ilvl="0" w:tentative="0">
      <w:start w:val="3"/>
      <w:numFmt w:val="chineseCounting"/>
      <w:suff w:val="nothing"/>
      <w:lvlText w:val="（%1）"/>
      <w:lvlJc w:val="left"/>
      <w:rPr>
        <w:rFonts w:hint="eastAsia"/>
      </w:rPr>
    </w:lvl>
  </w:abstractNum>
  <w:abstractNum w:abstractNumId="1">
    <w:nsid w:val="F43411A5"/>
    <w:multiLevelType w:val="singleLevel"/>
    <w:tmpl w:val="F43411A5"/>
    <w:lvl w:ilvl="0" w:tentative="0">
      <w:start w:val="2"/>
      <w:numFmt w:val="chineseCounting"/>
      <w:suff w:val="nothing"/>
      <w:lvlText w:val="（%1）"/>
      <w:lvlJc w:val="left"/>
      <w:rPr>
        <w:rFonts w:hint="eastAsia"/>
      </w:rPr>
    </w:lvl>
  </w:abstractNum>
  <w:abstractNum w:abstractNumId="2">
    <w:nsid w:val="49E26AF8"/>
    <w:multiLevelType w:val="singleLevel"/>
    <w:tmpl w:val="49E26AF8"/>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9EE4798"/>
    <w:rsid w:val="0CFE4450"/>
    <w:rsid w:val="23344054"/>
    <w:rsid w:val="24BB359E"/>
    <w:rsid w:val="305B5409"/>
    <w:rsid w:val="36F65468"/>
    <w:rsid w:val="3C343492"/>
    <w:rsid w:val="43876CD6"/>
    <w:rsid w:val="46F93CA0"/>
    <w:rsid w:val="487D713D"/>
    <w:rsid w:val="4A8D1247"/>
    <w:rsid w:val="572734C1"/>
    <w:rsid w:val="61EA4FA2"/>
    <w:rsid w:val="63E232B4"/>
    <w:rsid w:val="67C972D1"/>
    <w:rsid w:val="6A462ACE"/>
    <w:rsid w:val="6C454E54"/>
    <w:rsid w:val="6C8639E2"/>
    <w:rsid w:val="6D907467"/>
    <w:rsid w:val="7CE21EFC"/>
    <w:rsid w:val="7E7D055C"/>
    <w:rsid w:val="7F620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2275</Words>
  <Characters>2400</Characters>
  <Lines>0</Lines>
  <Paragraphs>0</Paragraphs>
  <TotalTime>7</TotalTime>
  <ScaleCrop>false</ScaleCrop>
  <LinksUpToDate>false</LinksUpToDate>
  <CharactersWithSpaces>2601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Administrator</cp:lastModifiedBy>
  <cp:lastPrinted>2022-03-29T07:20:53Z</cp:lastPrinted>
  <dcterms:modified xsi:type="dcterms:W3CDTF">2022-03-29T07:20:55Z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