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津市市商务局2021年度</w:t>
      </w:r>
      <w:r>
        <w:rPr>
          <w:rFonts w:hint="eastAsia" w:ascii="方正小标宋简体" w:hAnsi="方正小标宋简体" w:eastAsia="方正小标宋简体" w:cs="方正小标宋简体"/>
          <w:sz w:val="44"/>
          <w:szCs w:val="44"/>
        </w:rPr>
        <w:t>部门整体支出</w:t>
      </w: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绩效报告</w:t>
      </w:r>
    </w:p>
    <w:p>
      <w:pPr>
        <w:widowControl/>
        <w:spacing w:line="580" w:lineRule="exact"/>
        <w:ind w:firstLine="640" w:firstLineChars="200"/>
        <w:jc w:val="left"/>
        <w:rPr>
          <w:rFonts w:hint="eastAsia" w:ascii="仿宋_GB2312" w:hAnsi="宋体" w:eastAsia="仿宋_GB2312" w:cs="Times New Roman"/>
          <w:color w:val="auto"/>
          <w:kern w:val="0"/>
          <w:sz w:val="32"/>
          <w:szCs w:val="24"/>
          <w:lang w:eastAsia="zh-CN"/>
        </w:rPr>
      </w:pPr>
      <w:r>
        <w:rPr>
          <w:rFonts w:hint="eastAsia" w:ascii="仿宋_GB2312" w:hAnsi="宋体" w:eastAsia="仿宋_GB2312" w:cs="Times New Roman"/>
          <w:color w:val="auto"/>
          <w:kern w:val="0"/>
          <w:sz w:val="32"/>
          <w:szCs w:val="24"/>
        </w:rPr>
        <w:t>为进一步规范财政资金管理，加强预算绩效评价工作，强化部门支出责任，提高资金使用效率，根据</w:t>
      </w:r>
      <w:r>
        <w:rPr>
          <w:rFonts w:hint="eastAsia" w:ascii="仿宋_GB2312" w:hAnsi="宋体" w:eastAsia="仿宋_GB2312" w:cs="Times New Roman"/>
          <w:color w:val="auto"/>
          <w:kern w:val="0"/>
          <w:sz w:val="32"/>
          <w:szCs w:val="24"/>
          <w:lang w:eastAsia="zh-CN"/>
        </w:rPr>
        <w:t>津市市</w:t>
      </w:r>
      <w:r>
        <w:rPr>
          <w:rFonts w:hint="eastAsia" w:ascii="仿宋_GB2312" w:hAnsi="宋体" w:eastAsia="仿宋_GB2312" w:cs="Times New Roman"/>
          <w:color w:val="auto"/>
          <w:kern w:val="0"/>
          <w:sz w:val="32"/>
          <w:szCs w:val="24"/>
        </w:rPr>
        <w:t>财政局关于做好</w:t>
      </w:r>
      <w:r>
        <w:rPr>
          <w:rFonts w:hint="eastAsia" w:ascii="仿宋_GB2312" w:hAnsi="宋体" w:eastAsia="仿宋_GB2312" w:cs="Times New Roman"/>
          <w:color w:val="auto"/>
          <w:kern w:val="0"/>
          <w:sz w:val="32"/>
          <w:szCs w:val="24"/>
          <w:lang w:val="en-US" w:eastAsia="zh-CN"/>
        </w:rPr>
        <w:t>2021</w:t>
      </w:r>
      <w:r>
        <w:rPr>
          <w:rFonts w:hint="eastAsia" w:ascii="仿宋_GB2312" w:hAnsi="宋体" w:eastAsia="仿宋_GB2312" w:cs="Times New Roman"/>
          <w:color w:val="auto"/>
          <w:kern w:val="0"/>
          <w:sz w:val="32"/>
          <w:szCs w:val="24"/>
        </w:rPr>
        <w:t>年度预算绩效自评工作的通知，结合我局实际情况，认真组织开展了绩效评价工作，情况如下</w:t>
      </w:r>
      <w:r>
        <w:rPr>
          <w:rFonts w:hint="eastAsia" w:ascii="仿宋_GB2312" w:hAnsi="宋体" w:eastAsia="仿宋_GB2312" w:cs="Times New Roman"/>
          <w:color w:val="auto"/>
          <w:kern w:val="0"/>
          <w:sz w:val="32"/>
          <w:szCs w:val="24"/>
          <w:lang w:eastAsia="zh-CN"/>
        </w:rPr>
        <w:t>：</w:t>
      </w:r>
    </w:p>
    <w:p>
      <w:pPr>
        <w:pStyle w:val="7"/>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widowControl/>
        <w:spacing w:line="600" w:lineRule="exact"/>
        <w:ind w:firstLine="630" w:firstLineChars="196"/>
        <w:jc w:val="left"/>
        <w:rPr>
          <w:rFonts w:hint="eastAsia" w:ascii="方正楷体_GBK" w:hAnsi="方正楷体_GBK" w:eastAsia="方正楷体_GBK" w:cs="方正楷体_GBK"/>
          <w:color w:val="auto"/>
          <w:sz w:val="32"/>
          <w:szCs w:val="32"/>
        </w:rPr>
      </w:pPr>
      <w:r>
        <w:rPr>
          <w:rFonts w:eastAsia="楷体_GB2312"/>
          <w:b/>
          <w:color w:val="auto"/>
          <w:sz w:val="32"/>
          <w:szCs w:val="32"/>
        </w:rPr>
        <w:t>（一）职能职责。</w:t>
      </w:r>
    </w:p>
    <w:p>
      <w:pPr>
        <w:widowControl/>
        <w:spacing w:line="580" w:lineRule="exact"/>
        <w:ind w:firstLine="640" w:firstLineChars="200"/>
        <w:jc w:val="left"/>
        <w:rPr>
          <w:rFonts w:hint="eastAsia"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1.</w:t>
      </w:r>
      <w:r>
        <w:rPr>
          <w:rFonts w:hint="eastAsia" w:ascii="仿宋_GB2312" w:hAnsi="宋体" w:eastAsia="仿宋_GB2312"/>
          <w:color w:val="auto"/>
          <w:kern w:val="0"/>
          <w:sz w:val="32"/>
          <w:szCs w:val="24"/>
        </w:rPr>
        <w:t>贯彻执行国家和省有关内外贸易、国际经济合作和招商引资的方针、政策和法律、法规，拟订全市相应的中长期发展规划和年度计划并组织实施。</w:t>
      </w:r>
    </w:p>
    <w:p>
      <w:pPr>
        <w:widowControl/>
        <w:spacing w:line="580" w:lineRule="exact"/>
        <w:ind w:firstLine="640" w:firstLineChars="200"/>
        <w:jc w:val="left"/>
        <w:rPr>
          <w:rFonts w:hint="eastAsia"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2.</w:t>
      </w:r>
      <w:r>
        <w:rPr>
          <w:rFonts w:hint="eastAsia" w:ascii="仿宋_GB2312" w:hAnsi="宋体" w:eastAsia="仿宋_GB2312"/>
          <w:color w:val="auto"/>
          <w:kern w:val="0"/>
          <w:sz w:val="32"/>
          <w:szCs w:val="24"/>
        </w:rPr>
        <w:t>会同有关部门拟订全市商务市场体系建设与发展规划并组织实施。编制</w:t>
      </w:r>
      <w:r>
        <w:rPr>
          <w:rFonts w:hint="eastAsia" w:ascii="仿宋_GB2312" w:hAnsi="宋体" w:eastAsia="仿宋_GB2312"/>
          <w:color w:val="auto"/>
          <w:kern w:val="0"/>
          <w:sz w:val="32"/>
          <w:szCs w:val="24"/>
          <w:lang w:val="en-US" w:eastAsia="zh-CN"/>
        </w:rPr>
        <w:t>商贸</w:t>
      </w:r>
      <w:r>
        <w:rPr>
          <w:rFonts w:hint="eastAsia" w:ascii="仿宋_GB2312" w:hAnsi="宋体" w:eastAsia="仿宋_GB2312"/>
          <w:color w:val="auto"/>
          <w:kern w:val="0"/>
          <w:sz w:val="32"/>
          <w:szCs w:val="24"/>
        </w:rPr>
        <w:t>流通、仓储、加工设施建设规划，管理有关商贸流通设施投资项目。培育发展城乡市场，推进流通产业结构调整和连锁经营、物流配送、电子商务等现代流通方式。</w:t>
      </w:r>
    </w:p>
    <w:p>
      <w:pPr>
        <w:widowControl/>
        <w:spacing w:line="580" w:lineRule="exact"/>
        <w:ind w:firstLine="640" w:firstLineChars="200"/>
        <w:jc w:val="left"/>
        <w:rPr>
          <w:rFonts w:hint="eastAsia" w:ascii="仿宋_GB2312" w:hAnsi="宋体" w:eastAsia="仿宋_GB2312"/>
          <w:color w:val="auto"/>
          <w:kern w:val="0"/>
          <w:sz w:val="32"/>
          <w:szCs w:val="24"/>
          <w:lang w:eastAsia="zh-CN"/>
        </w:rPr>
      </w:pPr>
      <w:r>
        <w:rPr>
          <w:rFonts w:hint="eastAsia" w:ascii="仿宋_GB2312" w:hAnsi="宋体" w:eastAsia="仿宋_GB2312"/>
          <w:color w:val="auto"/>
          <w:kern w:val="0"/>
          <w:sz w:val="32"/>
          <w:szCs w:val="24"/>
          <w:lang w:val="en-US" w:eastAsia="zh-CN"/>
        </w:rPr>
        <w:t>3.</w:t>
      </w:r>
      <w:r>
        <w:rPr>
          <w:rFonts w:hint="eastAsia" w:ascii="仿宋_GB2312" w:hAnsi="宋体" w:eastAsia="仿宋_GB2312"/>
          <w:color w:val="auto"/>
          <w:kern w:val="0"/>
          <w:sz w:val="32"/>
          <w:szCs w:val="24"/>
        </w:rPr>
        <w:t>拟订规范流通领域市场体系及流通秩序和打破市场垄断、地区封锁的政策措施，建立健全统一、开放、竞争、有序的市场体系；监测分析市场运行和商品供求状况，组织实施重要消费品市场调控；负责提出整顿和规范全市市场秩序的建议，推动商务领域信用建设，指导商业信用销售，建立市场诚信公共服务平台</w:t>
      </w:r>
      <w:r>
        <w:rPr>
          <w:rFonts w:hint="eastAsia" w:ascii="仿宋_GB2312" w:hAnsi="宋体" w:eastAsia="仿宋_GB2312"/>
          <w:color w:val="auto"/>
          <w:kern w:val="0"/>
          <w:sz w:val="32"/>
          <w:szCs w:val="24"/>
          <w:lang w:eastAsia="zh-CN"/>
        </w:rPr>
        <w:t>。</w:t>
      </w:r>
    </w:p>
    <w:p>
      <w:pPr>
        <w:widowControl/>
        <w:spacing w:line="580" w:lineRule="exact"/>
        <w:ind w:firstLine="640" w:firstLineChars="200"/>
        <w:jc w:val="left"/>
        <w:rPr>
          <w:rFonts w:hint="eastAsia"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4.</w:t>
      </w:r>
      <w:r>
        <w:rPr>
          <w:rFonts w:hint="eastAsia" w:ascii="仿宋_GB2312" w:hAnsi="宋体" w:eastAsia="仿宋_GB2312"/>
          <w:color w:val="auto"/>
          <w:kern w:val="0"/>
          <w:sz w:val="32"/>
          <w:szCs w:val="24"/>
        </w:rPr>
        <w:t>负责调查研究流通行业重大问题，提出政策建议承担商品流通业、商贸服务业（含餐饮、住宿业等）。</w:t>
      </w:r>
    </w:p>
    <w:p>
      <w:pPr>
        <w:widowControl/>
        <w:spacing w:line="580" w:lineRule="exact"/>
        <w:ind w:firstLine="640" w:firstLineChars="200"/>
        <w:jc w:val="left"/>
        <w:rPr>
          <w:rFonts w:hint="eastAsia"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5.</w:t>
      </w:r>
      <w:r>
        <w:rPr>
          <w:rFonts w:hint="eastAsia" w:ascii="仿宋_GB2312" w:hAnsi="宋体" w:eastAsia="仿宋_GB2312"/>
          <w:color w:val="auto"/>
          <w:kern w:val="0"/>
          <w:sz w:val="32"/>
          <w:szCs w:val="24"/>
        </w:rPr>
        <w:t>执行国家制定的进出口商品管理办法、进出口商品目录和进出口配额招标政策；负责进出口配额计划的申报、下达及配额、许可证管理工作。</w:t>
      </w:r>
    </w:p>
    <w:p>
      <w:pPr>
        <w:widowControl/>
        <w:spacing w:line="580" w:lineRule="exact"/>
        <w:ind w:firstLine="640" w:firstLineChars="200"/>
        <w:jc w:val="left"/>
        <w:rPr>
          <w:rFonts w:hint="eastAsia"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6.</w:t>
      </w:r>
      <w:r>
        <w:rPr>
          <w:rFonts w:hint="eastAsia" w:ascii="仿宋_GB2312" w:hAnsi="宋体" w:eastAsia="仿宋_GB2312"/>
          <w:color w:val="auto"/>
          <w:kern w:val="0"/>
          <w:sz w:val="32"/>
          <w:szCs w:val="24"/>
        </w:rPr>
        <w:t>贯彻执行国家对外技术贸易、进出口管制以及鼓励技术和成套设备出口的政策；依法监督技术引进、设备进口、国家限制出口的技术和引进技术的出口工作。</w:t>
      </w:r>
    </w:p>
    <w:p>
      <w:pPr>
        <w:widowControl/>
        <w:spacing w:line="580" w:lineRule="exact"/>
        <w:ind w:firstLine="640" w:firstLineChars="200"/>
        <w:jc w:val="left"/>
        <w:rPr>
          <w:rFonts w:hint="eastAsia"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7.</w:t>
      </w:r>
      <w:r>
        <w:rPr>
          <w:rFonts w:hint="eastAsia" w:ascii="仿宋_GB2312" w:hAnsi="宋体" w:eastAsia="仿宋_GB2312"/>
          <w:color w:val="auto"/>
          <w:kern w:val="0"/>
          <w:sz w:val="32"/>
          <w:szCs w:val="24"/>
        </w:rPr>
        <w:t>负责全市商务系统涉及世贸组织相关事务的研究、指导和服务工作；组织协调反倾销、反补贴保障措施及其他与进出口公平贸易有关的工作；建立进出口公平贸易预警机制，组织全市产业损害调查；指导协调国外对我市出口商品的反倾销、反补贴、保障措施的应诉及相关工作。</w:t>
      </w:r>
    </w:p>
    <w:p>
      <w:pPr>
        <w:widowControl/>
        <w:spacing w:line="580" w:lineRule="exact"/>
        <w:ind w:firstLine="640" w:firstLineChars="200"/>
        <w:jc w:val="left"/>
        <w:rPr>
          <w:rFonts w:hint="eastAsia"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8.</w:t>
      </w:r>
      <w:r>
        <w:rPr>
          <w:rFonts w:hint="eastAsia" w:ascii="仿宋_GB2312" w:hAnsi="宋体" w:eastAsia="仿宋_GB2312"/>
          <w:color w:val="auto"/>
          <w:kern w:val="0"/>
          <w:sz w:val="32"/>
          <w:szCs w:val="24"/>
        </w:rPr>
        <w:t>负责全市外商投资工作；参与拟订外商投资的发展战略和中长期规划，依法核准大型外商投资项目的合同章程及法律特别规定的重大变更事项;督促检查外商投资企业执行有关法律法规和合同章程的情况并协调解决有关问题；负责指导和管理全市招商引资、投资促进及外商投资企业的进出口工作；负责办理全市外商投资企业中产品出口企业、先进技术企业的申报；指导工业集中区的有关工作。</w:t>
      </w:r>
    </w:p>
    <w:p>
      <w:pPr>
        <w:widowControl/>
        <w:spacing w:line="580" w:lineRule="exact"/>
        <w:ind w:firstLine="640" w:firstLineChars="200"/>
        <w:jc w:val="left"/>
        <w:rPr>
          <w:rFonts w:hint="eastAsia"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9.</w:t>
      </w:r>
      <w:r>
        <w:rPr>
          <w:rFonts w:hint="eastAsia" w:ascii="仿宋_GB2312" w:hAnsi="宋体" w:eastAsia="仿宋_GB2312"/>
          <w:color w:val="auto"/>
          <w:kern w:val="0"/>
          <w:sz w:val="32"/>
          <w:szCs w:val="24"/>
        </w:rPr>
        <w:t>负责全市对外经济技术合作工作；拟订并执行全市对外经济合作的政策、规章和管理办法；负责全市对外承包劳务合作、设计咨询等工作进行指导和监督；负责对外经济合作企业的经营资格认定和申报工作；负责全市国际经济援助和受援项目的归口管理工作。</w:t>
      </w:r>
    </w:p>
    <w:p>
      <w:pPr>
        <w:widowControl/>
        <w:spacing w:line="580" w:lineRule="exact"/>
        <w:ind w:firstLine="640" w:firstLineChars="200"/>
        <w:jc w:val="left"/>
        <w:rPr>
          <w:rFonts w:hint="eastAsia"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10.</w:t>
      </w:r>
      <w:r>
        <w:rPr>
          <w:rFonts w:hint="eastAsia" w:ascii="仿宋_GB2312" w:hAnsi="宋体" w:eastAsia="仿宋_GB2312"/>
          <w:color w:val="auto"/>
          <w:kern w:val="0"/>
          <w:sz w:val="32"/>
          <w:szCs w:val="24"/>
        </w:rPr>
        <w:t>贯彻实施国家对香港、澳门特别行政区和台湾地区的经贸政策、贸易中长期规划；管理和指导我市对香港、澳门特别行政区及台湾地区贸易，协调港、澳、台商投资管理工作；组织对香港、澳门特别行政区和台湾地区的经贸流通和合作活动。</w:t>
      </w:r>
    </w:p>
    <w:p>
      <w:pPr>
        <w:widowControl/>
        <w:spacing w:line="580" w:lineRule="exact"/>
        <w:ind w:firstLine="640" w:firstLineChars="200"/>
        <w:jc w:val="left"/>
        <w:rPr>
          <w:rFonts w:hint="eastAsia"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11.</w:t>
      </w:r>
      <w:r>
        <w:rPr>
          <w:rFonts w:hint="eastAsia" w:ascii="仿宋_GB2312" w:hAnsi="宋体" w:eastAsia="仿宋_GB2312"/>
          <w:color w:val="auto"/>
          <w:kern w:val="0"/>
          <w:sz w:val="32"/>
          <w:szCs w:val="24"/>
        </w:rPr>
        <w:t>负责组织省商务厅、常德市政府和本市政府举办的内外贸易促销活动和招商引资、对外经济技术合作活动；指导、协调以津市市名义在境内举办的各种内外贸交易会、展览会、展销会和招商引资活动。</w:t>
      </w:r>
    </w:p>
    <w:p>
      <w:pPr>
        <w:widowControl/>
        <w:spacing w:line="580" w:lineRule="exact"/>
        <w:ind w:firstLine="640" w:firstLineChars="200"/>
        <w:jc w:val="left"/>
        <w:rPr>
          <w:rFonts w:hint="eastAsia"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12.</w:t>
      </w:r>
      <w:r>
        <w:rPr>
          <w:rFonts w:hint="eastAsia" w:ascii="仿宋_GB2312" w:hAnsi="宋体" w:eastAsia="仿宋_GB2312"/>
          <w:color w:val="auto"/>
          <w:kern w:val="0"/>
          <w:sz w:val="32"/>
          <w:szCs w:val="24"/>
        </w:rPr>
        <w:t>负责全市商务行业统计工作，提供信息咨询服务；指导全市流通领域信息网络和电子商务建设；指导全市商贸行业协会、学会等社团组织工作。</w:t>
      </w:r>
    </w:p>
    <w:p>
      <w:pPr>
        <w:widowControl/>
        <w:spacing w:line="580" w:lineRule="exact"/>
        <w:ind w:firstLine="640" w:firstLineChars="200"/>
        <w:jc w:val="left"/>
        <w:rPr>
          <w:rFonts w:ascii="仿宋_GB2312" w:hAnsi="宋体" w:eastAsia="仿宋_GB2312"/>
          <w:color w:val="auto"/>
          <w:kern w:val="0"/>
          <w:sz w:val="32"/>
          <w:szCs w:val="24"/>
        </w:rPr>
      </w:pPr>
      <w:r>
        <w:rPr>
          <w:rFonts w:hint="eastAsia" w:ascii="仿宋_GB2312" w:hAnsi="宋体" w:eastAsia="仿宋_GB2312"/>
          <w:color w:val="auto"/>
          <w:kern w:val="0"/>
          <w:sz w:val="32"/>
          <w:szCs w:val="24"/>
          <w:lang w:val="en-US" w:eastAsia="zh-CN"/>
        </w:rPr>
        <w:t>13.</w:t>
      </w:r>
      <w:r>
        <w:rPr>
          <w:rFonts w:hint="eastAsia" w:ascii="仿宋_GB2312" w:hAnsi="宋体" w:eastAsia="仿宋_GB2312"/>
          <w:color w:val="auto"/>
          <w:kern w:val="0"/>
          <w:sz w:val="32"/>
          <w:szCs w:val="24"/>
        </w:rPr>
        <w:t>承办市委、市政府交办的其他事项。</w:t>
      </w:r>
    </w:p>
    <w:p>
      <w:pPr>
        <w:widowControl/>
        <w:spacing w:line="600" w:lineRule="exact"/>
        <w:ind w:firstLine="630" w:firstLineChars="196"/>
        <w:jc w:val="left"/>
        <w:rPr>
          <w:rFonts w:hint="eastAsia" w:eastAsia="楷体_GB2312"/>
          <w:b/>
          <w:color w:val="auto"/>
          <w:sz w:val="32"/>
          <w:szCs w:val="32"/>
          <w:lang w:eastAsia="zh-CN"/>
        </w:rPr>
      </w:pPr>
      <w:r>
        <w:rPr>
          <w:rFonts w:eastAsia="楷体_GB2312"/>
          <w:b/>
          <w:color w:val="auto"/>
          <w:sz w:val="32"/>
          <w:szCs w:val="32"/>
        </w:rPr>
        <w:t>（二）</w:t>
      </w:r>
      <w:r>
        <w:rPr>
          <w:rFonts w:hint="eastAsia" w:eastAsia="楷体_GB2312"/>
          <w:b/>
          <w:color w:val="auto"/>
          <w:sz w:val="32"/>
          <w:szCs w:val="32"/>
          <w:lang w:eastAsia="zh-CN"/>
        </w:rPr>
        <w:t>人员编制、内设职能股室</w:t>
      </w:r>
    </w:p>
    <w:p>
      <w:pPr>
        <w:widowControl/>
        <w:spacing w:line="580" w:lineRule="exact"/>
        <w:ind w:firstLine="640" w:firstLineChars="200"/>
        <w:jc w:val="left"/>
        <w:rPr>
          <w:rFonts w:ascii="Times New Roman" w:hAnsi="Times New Roman" w:eastAsia="黑体"/>
          <w:sz w:val="32"/>
          <w:szCs w:val="32"/>
        </w:rPr>
      </w:pPr>
      <w:r>
        <w:rPr>
          <w:rFonts w:hint="eastAsia" w:ascii="仿宋_GB2312" w:hAnsi="宋体" w:eastAsia="仿宋_GB2312"/>
          <w:color w:val="auto"/>
          <w:kern w:val="0"/>
          <w:sz w:val="32"/>
          <w:szCs w:val="24"/>
          <w:lang w:val="en-US" w:eastAsia="zh-CN"/>
        </w:rPr>
        <w:t>局现有在编人员16人（在岗人员16人，借调人员1人，提前退职2人；其中，行政编制11人，事业编制5人），临聘人员2人。全年招录公务员2人。商务局内设机构6个：综合办公室、贸易服务股、政工股、市场建设股、外经外贸和投资管理股、市场秩序股（“12312”商务举报投诉中心）。</w:t>
      </w: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7"/>
        <w:keepNext w:val="0"/>
        <w:keepLines w:val="0"/>
        <w:pageBreakBefore w:val="0"/>
        <w:widowControl/>
        <w:kinsoku/>
        <w:wordWrap/>
        <w:overflowPunct/>
        <w:topLinePunct w:val="0"/>
        <w:autoSpaceDE/>
        <w:autoSpaceDN/>
        <w:bidi w:val="0"/>
        <w:adjustRightInd/>
        <w:snapToGrid/>
        <w:spacing w:line="580" w:lineRule="exact"/>
        <w:ind w:left="0"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2021年我局部门预算基本支出426.11万元，用于工资福利支出211.83万元，其中基本工资68.10万元，津补贴38.37万元，奖金31.5万元，养老保险缴费17.04万元，基本医疗保险6.44万元，其它社保缴费1.65万元，住房公积金12.78万元，其他工资福利支出36.11万元等。商品服务支出214.28万元。其中办公费22万元，印刷费22万元，水电费4.1万元，邮电费1.3万元，差旅费1.8万元，维修费5.5万元，会议费20.3万元，培训费10.2万元，工会经费2.13万元，其它交通费8.98万元，其它商品和服务支出52.64万元等。</w:t>
      </w: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7"/>
        <w:keepNext w:val="0"/>
        <w:keepLines w:val="0"/>
        <w:pageBreakBefore w:val="0"/>
        <w:widowControl/>
        <w:kinsoku/>
        <w:wordWrap/>
        <w:overflowPunct/>
        <w:topLinePunct w:val="0"/>
        <w:autoSpaceDE/>
        <w:autoSpaceDN/>
        <w:bidi w:val="0"/>
        <w:adjustRightInd/>
        <w:snapToGrid/>
        <w:spacing w:line="580" w:lineRule="exact"/>
        <w:ind w:left="0" w:firstLine="640" w:firstLineChars="200"/>
        <w:jc w:val="left"/>
        <w:textAlignment w:val="auto"/>
        <w:rPr>
          <w:rFonts w:hint="default" w:eastAsia="仿宋_GB2312"/>
          <w:sz w:val="32"/>
          <w:szCs w:val="32"/>
          <w:lang w:val="en-US" w:eastAsia="zh-CN"/>
        </w:rPr>
      </w:pPr>
      <w:r>
        <w:rPr>
          <w:rFonts w:hint="eastAsia" w:eastAsia="仿宋_GB2312"/>
          <w:sz w:val="32"/>
          <w:szCs w:val="32"/>
          <w:lang w:val="en-US" w:eastAsia="zh-CN"/>
        </w:rPr>
        <w:t>2021年我局部门预算项目支出76万元，项目支出用于日常工作经费。</w:t>
      </w:r>
    </w:p>
    <w:p>
      <w:pPr>
        <w:pStyle w:val="7"/>
        <w:widowControl/>
        <w:numPr>
          <w:ilvl w:val="0"/>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val="en-US" w:eastAsia="zh-CN"/>
        </w:rPr>
        <w:t>三、</w:t>
      </w:r>
      <w:r>
        <w:rPr>
          <w:rFonts w:ascii="Times New Roman" w:hAnsi="Times New Roman" w:eastAsia="黑体"/>
          <w:sz w:val="32"/>
          <w:szCs w:val="32"/>
        </w:rPr>
        <w:t>政府性基金预算支出情况</w:t>
      </w:r>
    </w:p>
    <w:p>
      <w:pPr>
        <w:pStyle w:val="7"/>
        <w:widowControl/>
        <w:numPr>
          <w:ilvl w:val="0"/>
          <w:numId w:val="0"/>
        </w:numPr>
        <w:spacing w:line="600" w:lineRule="exact"/>
        <w:ind w:firstLine="640" w:firstLineChars="200"/>
        <w:jc w:val="left"/>
        <w:rPr>
          <w:rFonts w:hint="default" w:ascii="Times New Roman" w:hAnsi="Times New Roman" w:eastAsia="黑体"/>
          <w:sz w:val="32"/>
          <w:szCs w:val="32"/>
          <w:lang w:val="en-US" w:eastAsia="zh-CN"/>
        </w:rPr>
      </w:pPr>
      <w:r>
        <w:rPr>
          <w:rFonts w:hint="eastAsia" w:eastAsia="仿宋_GB2312"/>
          <w:sz w:val="32"/>
          <w:szCs w:val="32"/>
          <w:lang w:val="en-US" w:eastAsia="zh-CN"/>
        </w:rPr>
        <w:t>2021年我局无政府性基金预算。</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我局根据</w:t>
      </w:r>
      <w:r>
        <w:rPr>
          <w:rFonts w:hint="eastAsia" w:eastAsia="仿宋_GB2312"/>
          <w:color w:val="000000"/>
          <w:sz w:val="32"/>
          <w:szCs w:val="32"/>
          <w:lang w:val="en-US" w:eastAsia="zh-CN"/>
        </w:rPr>
        <w:t>2021</w:t>
      </w:r>
      <w:r>
        <w:rPr>
          <w:rFonts w:hint="eastAsia" w:eastAsia="仿宋_GB2312"/>
          <w:color w:val="000000"/>
          <w:sz w:val="32"/>
          <w:szCs w:val="32"/>
        </w:rPr>
        <w:t>年</w:t>
      </w:r>
      <w:r>
        <w:rPr>
          <w:rFonts w:hint="eastAsia" w:eastAsia="仿宋_GB2312"/>
          <w:color w:val="000000"/>
          <w:sz w:val="32"/>
          <w:szCs w:val="32"/>
          <w:lang w:val="en-US" w:eastAsia="zh-CN"/>
        </w:rPr>
        <w:t>市</w:t>
      </w:r>
      <w:r>
        <w:rPr>
          <w:rFonts w:hint="eastAsia" w:eastAsia="仿宋_GB2312"/>
          <w:color w:val="000000"/>
          <w:sz w:val="32"/>
          <w:szCs w:val="32"/>
        </w:rPr>
        <w:t>委、</w:t>
      </w:r>
      <w:r>
        <w:rPr>
          <w:rFonts w:hint="eastAsia" w:eastAsia="仿宋_GB2312"/>
          <w:color w:val="000000"/>
          <w:sz w:val="32"/>
          <w:szCs w:val="32"/>
          <w:lang w:val="en-US" w:eastAsia="zh-CN"/>
        </w:rPr>
        <w:t>市</w:t>
      </w:r>
      <w:r>
        <w:rPr>
          <w:rFonts w:hint="eastAsia" w:eastAsia="仿宋_GB2312"/>
          <w:color w:val="000000"/>
          <w:sz w:val="32"/>
          <w:szCs w:val="32"/>
        </w:rPr>
        <w:t>政府工作任务指标的要求，对照年度绩效目标开展绩效自评，</w:t>
      </w:r>
      <w:r>
        <w:rPr>
          <w:rFonts w:hint="eastAsia" w:eastAsia="仿宋_GB2312"/>
          <w:color w:val="000000"/>
          <w:sz w:val="32"/>
          <w:szCs w:val="32"/>
          <w:lang w:val="en-US" w:eastAsia="zh-CN"/>
        </w:rPr>
        <w:t>2021</w:t>
      </w:r>
      <w:r>
        <w:rPr>
          <w:rFonts w:hint="eastAsia" w:eastAsia="仿宋_GB2312"/>
          <w:color w:val="000000"/>
          <w:sz w:val="32"/>
          <w:szCs w:val="32"/>
        </w:rPr>
        <w:t>年绩效指标完成情况如下：产出指标任务完成率100%，效益指标按时完成，满意度指标达到预期效果。</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预算安排资金在本年度内达到了预期的产出和效果工作目标，较好地完成了年初确定的各项工作任务：</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（一）进出口总额。</w:t>
      </w:r>
      <w:r>
        <w:rPr>
          <w:rFonts w:hint="eastAsia" w:eastAsia="仿宋_GB2312"/>
          <w:color w:val="000000"/>
          <w:sz w:val="32"/>
          <w:szCs w:val="32"/>
          <w:lang w:val="en-US" w:eastAsia="zh-CN"/>
        </w:rPr>
        <w:t>1-12月进出口总额为13743万美元，完成目标任务（12000万美元）的101.4%，较2020年同期增长11.8%，；新增进出口备案企业9家；新增“破零倍增”企业共2家。</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lang w:eastAsia="zh-CN"/>
        </w:rPr>
        <w:t>（</w:t>
      </w:r>
      <w:r>
        <w:rPr>
          <w:rFonts w:hint="eastAsia" w:eastAsia="仿宋_GB2312"/>
          <w:color w:val="000000"/>
          <w:sz w:val="32"/>
          <w:szCs w:val="32"/>
          <w:lang w:val="en-US" w:eastAsia="zh-CN"/>
        </w:rPr>
        <w:t>二</w:t>
      </w:r>
      <w:r>
        <w:rPr>
          <w:rFonts w:hint="eastAsia" w:eastAsia="仿宋_GB2312"/>
          <w:color w:val="000000"/>
          <w:sz w:val="32"/>
          <w:szCs w:val="32"/>
          <w:lang w:eastAsia="zh-CN"/>
        </w:rPr>
        <w:t>）</w:t>
      </w:r>
      <w:r>
        <w:rPr>
          <w:rFonts w:hint="eastAsia" w:eastAsia="仿宋_GB2312"/>
          <w:color w:val="000000"/>
          <w:sz w:val="32"/>
          <w:szCs w:val="32"/>
        </w:rPr>
        <w:t>社会消费品零售总额。</w:t>
      </w:r>
      <w:r>
        <w:rPr>
          <w:rFonts w:hint="eastAsia" w:eastAsia="仿宋_GB2312"/>
          <w:color w:val="000000"/>
          <w:sz w:val="32"/>
          <w:szCs w:val="32"/>
          <w:lang w:val="en-US" w:eastAsia="zh-CN"/>
        </w:rPr>
        <w:t>2021年社会消费品零售总额完成78.35亿元，同比增长14.7%。</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lang w:eastAsia="zh-CN"/>
        </w:rPr>
        <w:t>（</w:t>
      </w:r>
      <w:r>
        <w:rPr>
          <w:rFonts w:hint="eastAsia" w:eastAsia="仿宋_GB2312"/>
          <w:color w:val="000000"/>
          <w:sz w:val="32"/>
          <w:szCs w:val="32"/>
          <w:lang w:val="en-US" w:eastAsia="zh-CN"/>
        </w:rPr>
        <w:t>三</w:t>
      </w:r>
      <w:r>
        <w:rPr>
          <w:rFonts w:hint="eastAsia" w:eastAsia="仿宋_GB2312"/>
          <w:color w:val="000000"/>
          <w:sz w:val="32"/>
          <w:szCs w:val="32"/>
          <w:lang w:eastAsia="zh-CN"/>
        </w:rPr>
        <w:t>）</w:t>
      </w:r>
      <w:r>
        <w:rPr>
          <w:rFonts w:hint="eastAsia" w:eastAsia="仿宋_GB2312"/>
          <w:color w:val="000000"/>
          <w:sz w:val="32"/>
          <w:szCs w:val="32"/>
        </w:rPr>
        <w:t>内外资：</w:t>
      </w:r>
      <w:r>
        <w:rPr>
          <w:rFonts w:hint="eastAsia" w:eastAsia="仿宋_GB2312"/>
          <w:color w:val="000000"/>
          <w:sz w:val="32"/>
          <w:szCs w:val="32"/>
          <w:lang w:val="en-US" w:eastAsia="zh-CN"/>
        </w:rPr>
        <w:t>1-12月引进内外资总额74.96亿元，同比增长34.07%</w:t>
      </w:r>
      <w:r>
        <w:rPr>
          <w:rFonts w:hint="eastAsia" w:eastAsia="仿宋_GB2312"/>
          <w:color w:val="000000"/>
          <w:sz w:val="32"/>
          <w:szCs w:val="32"/>
        </w:rPr>
        <w:t>。</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lang w:val="en-US" w:eastAsia="zh-CN"/>
        </w:rPr>
        <w:t>（四）电子商务：1-12月电商销售额3.6亿元，同比增长40.6%。订单数将达到930万单，同比增长79.1%</w:t>
      </w:r>
      <w:bookmarkStart w:id="0" w:name="_GoBack"/>
      <w:bookmarkEnd w:id="0"/>
      <w:r>
        <w:rPr>
          <w:rFonts w:hint="eastAsia" w:eastAsia="仿宋_GB2312"/>
          <w:color w:val="000000"/>
          <w:sz w:val="32"/>
          <w:szCs w:val="32"/>
          <w:lang w:val="en-US" w:eastAsia="zh-CN"/>
        </w:rPr>
        <w:t>。</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二、部门效益情况分析</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（一）经济性分析</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我局始终认真贯彻执行《会计法》《预算法》《行政单位会计制度》等法律法规，各项经费支出严格按照政府采购、国库集中支付及预算管理等有关规定执行</w:t>
      </w:r>
      <w:r>
        <w:rPr>
          <w:rFonts w:hint="eastAsia" w:eastAsia="仿宋_GB2312"/>
          <w:color w:val="000000"/>
          <w:sz w:val="32"/>
          <w:szCs w:val="32"/>
          <w:lang w:eastAsia="zh-CN"/>
        </w:rPr>
        <w:t>，同时</w:t>
      </w:r>
      <w:r>
        <w:rPr>
          <w:rFonts w:hint="eastAsia" w:eastAsia="仿宋_GB2312"/>
          <w:color w:val="000000"/>
          <w:sz w:val="32"/>
          <w:szCs w:val="32"/>
        </w:rPr>
        <w:t>明确了经费审批权限及程序，经费预算、核算管理、资产购置与处置、财务监督等。特别是在“三公”经费管理方面，规范了公务接待和公务用车的审批管理，较好地控制了行政运行成本。</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（二）效率性分析</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1、实施进度</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根据实际需求，按时支付各项支出。</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2、完成质量</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保证了局机关各项工作的正常运转和相关人员的福利待遇，完成质量基本达到绩效目标。</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（三）可持续性分析</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lang w:val="en-US" w:eastAsia="zh-CN"/>
        </w:rPr>
        <w:t>2021</w:t>
      </w:r>
      <w:r>
        <w:rPr>
          <w:rFonts w:hint="eastAsia" w:eastAsia="仿宋_GB2312"/>
          <w:color w:val="000000"/>
          <w:sz w:val="32"/>
          <w:szCs w:val="32"/>
        </w:rPr>
        <w:t>年度我单位圆满完成预期目标，取得了较好的经济和社会评价，企业和群众满意度高。</w:t>
      </w:r>
    </w:p>
    <w:p>
      <w:pPr>
        <w:pStyle w:val="7"/>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5"/>
        <w:jc w:val="left"/>
        <w:rPr>
          <w:rFonts w:hint="eastAsia" w:eastAsia="仿宋_GB2312"/>
          <w:color w:val="000000"/>
          <w:sz w:val="32"/>
          <w:szCs w:val="32"/>
          <w:lang w:eastAsia="zh-CN"/>
        </w:rPr>
      </w:pPr>
      <w:r>
        <w:rPr>
          <w:rFonts w:hint="eastAsia" w:eastAsia="仿宋_GB2312"/>
          <w:color w:val="000000"/>
          <w:sz w:val="32"/>
          <w:szCs w:val="32"/>
          <w:lang w:eastAsia="zh-CN"/>
        </w:rPr>
        <w:t>（一）预算执行存在偏差。本年度实际公用经费支出高于预算，说明预算编制与实际情况存在偏差，公用经费的控制和核算还有待进一步加强，预算资金安排中，行政经费安排不足。</w:t>
      </w:r>
    </w:p>
    <w:p>
      <w:pPr>
        <w:widowControl/>
        <w:spacing w:line="600" w:lineRule="exact"/>
        <w:ind w:firstLine="645"/>
        <w:jc w:val="left"/>
        <w:rPr>
          <w:rFonts w:hint="eastAsia" w:eastAsia="仿宋_GB2312"/>
          <w:color w:val="000000"/>
          <w:sz w:val="32"/>
          <w:szCs w:val="32"/>
          <w:lang w:eastAsia="zh-CN"/>
        </w:rPr>
      </w:pPr>
      <w:r>
        <w:rPr>
          <w:rFonts w:hint="eastAsia" w:eastAsia="仿宋_GB2312"/>
          <w:color w:val="000000"/>
          <w:sz w:val="32"/>
          <w:szCs w:val="32"/>
          <w:lang w:eastAsia="zh-CN"/>
        </w:rPr>
        <w:t>（二）财务政策学习及培训力度不够，提高财务人员素质以及财务核算能力仍需提高。</w:t>
      </w:r>
    </w:p>
    <w:p>
      <w:pPr>
        <w:widowControl/>
        <w:spacing w:line="600" w:lineRule="exact"/>
        <w:ind w:firstLine="640" w:firstLineChars="20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widowControl/>
        <w:spacing w:line="600" w:lineRule="exact"/>
        <w:ind w:firstLine="645"/>
        <w:jc w:val="left"/>
        <w:rPr>
          <w:rFonts w:hint="eastAsia" w:eastAsia="仿宋_GB2312"/>
          <w:color w:val="000000"/>
          <w:sz w:val="32"/>
          <w:szCs w:val="32"/>
          <w:lang w:eastAsia="zh-CN"/>
        </w:rPr>
      </w:pPr>
      <w:r>
        <w:rPr>
          <w:rFonts w:hint="eastAsia" w:eastAsia="仿宋_GB2312"/>
          <w:color w:val="000000"/>
          <w:sz w:val="32"/>
          <w:szCs w:val="32"/>
          <w:lang w:eastAsia="zh-CN"/>
        </w:rPr>
        <w:t>（一）规范账务处理，提高财务信息质量。严格按照《会计法》《行政单位会计制度》《行政单位财务规则》等规定执行财务核算，并结合实际情况，完整、准确地披露相关信息，尽可能地做到决算与预算相衔接。</w:t>
      </w:r>
    </w:p>
    <w:p>
      <w:pPr>
        <w:widowControl/>
        <w:spacing w:line="600" w:lineRule="exact"/>
        <w:ind w:firstLine="645"/>
        <w:jc w:val="left"/>
        <w:rPr>
          <w:rFonts w:hint="eastAsia" w:eastAsia="仿宋_GB2312"/>
          <w:color w:val="000000"/>
          <w:sz w:val="32"/>
          <w:szCs w:val="32"/>
          <w:lang w:eastAsia="zh-CN"/>
        </w:rPr>
      </w:pPr>
      <w:r>
        <w:rPr>
          <w:rFonts w:hint="eastAsia" w:eastAsia="仿宋_GB2312"/>
          <w:color w:val="000000"/>
          <w:sz w:val="32"/>
          <w:szCs w:val="32"/>
          <w:lang w:eastAsia="zh-CN"/>
        </w:rPr>
        <w:t>（二）进一步贯彻落实中央八项规定和省委九条规定，建立本部门“三公经费”等公务支出管理制度及厉行节约制度，加强经费审批和控制，规范支出标准与范围，并严格执行。</w:t>
      </w:r>
    </w:p>
    <w:p>
      <w:pPr>
        <w:widowControl/>
        <w:spacing w:line="600" w:lineRule="exact"/>
        <w:ind w:firstLine="645"/>
        <w:jc w:val="left"/>
        <w:rPr>
          <w:rFonts w:eastAsia="黑体"/>
          <w:sz w:val="32"/>
          <w:szCs w:val="32"/>
        </w:rPr>
      </w:pPr>
      <w:r>
        <w:rPr>
          <w:rFonts w:hint="eastAsia" w:eastAsia="仿宋_GB2312"/>
          <w:color w:val="000000"/>
          <w:sz w:val="32"/>
          <w:szCs w:val="32"/>
          <w:lang w:eastAsia="zh-CN"/>
        </w:rPr>
        <w:t>（三）加强岗位实务学习与培训工作。 加强新政策新规定等业务学习培训，让财务人员通过学习能够准确地根据年度内单位可预见的工作任务细化预算目标，科学合理地编制部门预算。规范部门预算收支核算，及时了解预算执行差异，合理调整、纠正预算执行偏差，财务人员应根据实际情况，定期做好预算执行分析，掌握预算执行进度，及时找出预算实际执行情况与预算目标之间存在的差距，切实提高部门预算收支管理水平。</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spacing w:line="600" w:lineRule="exact"/>
        <w:ind w:firstLine="645"/>
        <w:jc w:val="left"/>
        <w:rPr>
          <w:rFonts w:hint="eastAsia" w:eastAsia="黑体"/>
          <w:sz w:val="32"/>
          <w:szCs w:val="32"/>
          <w:lang w:val="en-US" w:eastAsia="zh-CN"/>
        </w:rPr>
      </w:pPr>
      <w:r>
        <w:rPr>
          <w:rFonts w:hint="eastAsia" w:eastAsia="仿宋_GB2312"/>
          <w:color w:val="000000"/>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9D71ED"/>
    <w:multiLevelType w:val="singleLevel"/>
    <w:tmpl w:val="1F9D71E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08D32EF"/>
    <w:rsid w:val="02C6576B"/>
    <w:rsid w:val="0EBE5B40"/>
    <w:rsid w:val="0EED39DD"/>
    <w:rsid w:val="29E2355C"/>
    <w:rsid w:val="2B4537BB"/>
    <w:rsid w:val="33AF32A2"/>
    <w:rsid w:val="353E3490"/>
    <w:rsid w:val="3781684D"/>
    <w:rsid w:val="3A076E09"/>
    <w:rsid w:val="43BE5BE9"/>
    <w:rsid w:val="503201EC"/>
    <w:rsid w:val="5A9D5D9B"/>
    <w:rsid w:val="62DD5E87"/>
    <w:rsid w:val="6F806E0F"/>
    <w:rsid w:val="71C56892"/>
    <w:rsid w:val="76AB3BEA"/>
    <w:rsid w:val="7AC365A2"/>
    <w:rsid w:val="7B102D1C"/>
    <w:rsid w:val="7DA95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Calibri" w:hAnsi="Calibri" w:eastAsia="宋体" w:cs="Times New Roman"/>
      <w:color w:val="000000"/>
      <w:kern w:val="0"/>
      <w:sz w:val="24"/>
      <w:szCs w:val="24"/>
      <w:lang w:val="en-US" w:eastAsia="zh-CN"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styleId="7">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2892</Words>
  <Characters>3077</Characters>
  <Lines>0</Lines>
  <Paragraphs>0</Paragraphs>
  <TotalTime>120</TotalTime>
  <ScaleCrop>false</ScaleCrop>
  <LinksUpToDate>false</LinksUpToDate>
  <CharactersWithSpaces>3078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弦沫静雅</cp:lastModifiedBy>
  <cp:lastPrinted>2022-04-06T06:57:37Z</cp:lastPrinted>
  <dcterms:modified xsi:type="dcterms:W3CDTF">2022-04-06T06:58:22Z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D343CC000F0643AAB44347BC5FCAC956</vt:lpwstr>
  </property>
</Properties>
</file>