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津市市市场服务中心2021年度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部门整体支出绩效报告</w:t>
      </w:r>
    </w:p>
    <w:p>
      <w:pPr>
        <w:widowControl/>
        <w:spacing w:line="580" w:lineRule="exact"/>
        <w:ind w:firstLine="640" w:firstLineChars="200"/>
        <w:jc w:val="left"/>
        <w:rPr>
          <w:rFonts w:hint="eastAsia" w:ascii="仿宋_GB2312" w:hAnsi="宋体" w:eastAsia="仿宋_GB2312" w:cs="Times New Roman"/>
          <w:color w:val="auto"/>
          <w:kern w:val="0"/>
          <w:sz w:val="32"/>
          <w:szCs w:val="24"/>
          <w:lang w:eastAsia="zh-CN"/>
        </w:rPr>
      </w:pPr>
      <w:r>
        <w:rPr>
          <w:rFonts w:hint="eastAsia" w:ascii="仿宋_GB2312" w:hAnsi="宋体" w:eastAsia="仿宋_GB2312" w:cs="Times New Roman"/>
          <w:color w:val="auto"/>
          <w:kern w:val="0"/>
          <w:sz w:val="32"/>
          <w:szCs w:val="24"/>
        </w:rPr>
        <w:t>为</w:t>
      </w:r>
      <w:r>
        <w:rPr>
          <w:rFonts w:hint="eastAsia" w:ascii="仿宋_GB2312" w:hAnsi="宋体" w:eastAsia="仿宋_GB2312" w:cs="Times New Roman"/>
          <w:color w:val="auto"/>
          <w:kern w:val="0"/>
          <w:sz w:val="32"/>
          <w:szCs w:val="24"/>
          <w:lang w:eastAsia="zh-CN"/>
        </w:rPr>
        <w:t>了</w:t>
      </w:r>
      <w:r>
        <w:rPr>
          <w:rFonts w:hint="eastAsia" w:ascii="仿宋_GB2312" w:hAnsi="宋体" w:eastAsia="仿宋_GB2312" w:cs="Times New Roman"/>
          <w:color w:val="auto"/>
          <w:kern w:val="0"/>
          <w:sz w:val="32"/>
          <w:szCs w:val="24"/>
        </w:rPr>
        <w:t>进一步规加强预算绩效评价工作</w:t>
      </w:r>
      <w:r>
        <w:rPr>
          <w:rFonts w:hint="eastAsia" w:ascii="仿宋_GB2312" w:hAnsi="宋体" w:eastAsia="仿宋_GB2312" w:cs="Times New Roman"/>
          <w:color w:val="auto"/>
          <w:kern w:val="0"/>
          <w:sz w:val="32"/>
          <w:szCs w:val="24"/>
          <w:lang w:eastAsia="zh-CN"/>
        </w:rPr>
        <w:t>，规</w:t>
      </w:r>
      <w:r>
        <w:rPr>
          <w:rFonts w:hint="eastAsia" w:ascii="仿宋_GB2312" w:hAnsi="宋体" w:eastAsia="仿宋_GB2312" w:cs="Times New Roman"/>
          <w:color w:val="auto"/>
          <w:kern w:val="0"/>
          <w:sz w:val="32"/>
          <w:szCs w:val="24"/>
        </w:rPr>
        <w:t>范财政资金管理，强化部门支出责任，提高资金使用效率，根据</w:t>
      </w:r>
      <w:r>
        <w:rPr>
          <w:rFonts w:hint="eastAsia" w:ascii="仿宋_GB2312" w:hAnsi="宋体" w:eastAsia="仿宋_GB2312" w:cs="Times New Roman"/>
          <w:color w:val="auto"/>
          <w:kern w:val="0"/>
          <w:sz w:val="32"/>
          <w:szCs w:val="24"/>
          <w:lang w:eastAsia="zh-CN"/>
        </w:rPr>
        <w:t>津市市</w:t>
      </w:r>
      <w:r>
        <w:rPr>
          <w:rFonts w:hint="eastAsia" w:ascii="仿宋_GB2312" w:hAnsi="宋体" w:eastAsia="仿宋_GB2312" w:cs="Times New Roman"/>
          <w:color w:val="auto"/>
          <w:kern w:val="0"/>
          <w:sz w:val="32"/>
          <w:szCs w:val="24"/>
        </w:rPr>
        <w:t>财政局关于做好</w:t>
      </w:r>
      <w:r>
        <w:rPr>
          <w:rFonts w:hint="eastAsia" w:ascii="仿宋_GB2312" w:hAnsi="宋体" w:eastAsia="仿宋_GB2312" w:cs="Times New Roman"/>
          <w:color w:val="auto"/>
          <w:kern w:val="0"/>
          <w:sz w:val="32"/>
          <w:szCs w:val="24"/>
          <w:lang w:val="en-US" w:eastAsia="zh-CN"/>
        </w:rPr>
        <w:t>2021</w:t>
      </w:r>
      <w:r>
        <w:rPr>
          <w:rFonts w:hint="eastAsia" w:ascii="仿宋_GB2312" w:hAnsi="宋体" w:eastAsia="仿宋_GB2312" w:cs="Times New Roman"/>
          <w:color w:val="auto"/>
          <w:kern w:val="0"/>
          <w:sz w:val="32"/>
          <w:szCs w:val="24"/>
        </w:rPr>
        <w:t>年度预算绩效自评工作的通知，结合我</w:t>
      </w:r>
      <w:r>
        <w:rPr>
          <w:rFonts w:hint="eastAsia" w:ascii="仿宋_GB2312" w:hAnsi="宋体" w:eastAsia="仿宋_GB2312" w:cs="Times New Roman"/>
          <w:color w:val="auto"/>
          <w:kern w:val="0"/>
          <w:sz w:val="32"/>
          <w:szCs w:val="24"/>
          <w:lang w:eastAsia="zh-CN"/>
        </w:rPr>
        <w:t>单位</w:t>
      </w:r>
      <w:r>
        <w:rPr>
          <w:rFonts w:hint="eastAsia" w:ascii="仿宋_GB2312" w:hAnsi="宋体" w:eastAsia="仿宋_GB2312" w:cs="Times New Roman"/>
          <w:color w:val="auto"/>
          <w:kern w:val="0"/>
          <w:sz w:val="32"/>
          <w:szCs w:val="24"/>
        </w:rPr>
        <w:t>实际情况，认真组织开展了绩效评价工作，情况如下</w:t>
      </w:r>
      <w:r>
        <w:rPr>
          <w:rFonts w:hint="eastAsia" w:ascii="仿宋_GB2312" w:hAnsi="宋体" w:eastAsia="仿宋_GB2312" w:cs="Times New Roman"/>
          <w:color w:val="auto"/>
          <w:kern w:val="0"/>
          <w:sz w:val="32"/>
          <w:szCs w:val="24"/>
          <w:lang w:eastAsia="zh-CN"/>
        </w:rPr>
        <w:t>：</w:t>
      </w:r>
    </w:p>
    <w:p>
      <w:pPr>
        <w:pStyle w:val="7"/>
        <w:widowControl/>
        <w:numPr>
          <w:ilvl w:val="0"/>
          <w:numId w:val="1"/>
        </w:numPr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部门、单位基本情况</w:t>
      </w:r>
    </w:p>
    <w:p>
      <w:pPr>
        <w:widowControl/>
        <w:spacing w:line="600" w:lineRule="exact"/>
        <w:ind w:firstLine="630" w:firstLineChars="196"/>
        <w:jc w:val="left"/>
        <w:rPr>
          <w:rFonts w:hint="eastAsia" w:ascii="方正楷体_GBK" w:hAnsi="方正楷体_GBK" w:eastAsia="方正楷体_GBK" w:cs="方正楷体_GBK"/>
          <w:color w:val="auto"/>
          <w:sz w:val="32"/>
          <w:szCs w:val="32"/>
        </w:rPr>
      </w:pPr>
      <w:r>
        <w:rPr>
          <w:rFonts w:eastAsia="楷体_GB2312"/>
          <w:b/>
          <w:color w:val="auto"/>
          <w:sz w:val="32"/>
          <w:szCs w:val="32"/>
        </w:rPr>
        <w:t>（一）职能职责。</w:t>
      </w:r>
    </w:p>
    <w:p>
      <w:pPr>
        <w:widowControl/>
        <w:spacing w:line="580" w:lineRule="exact"/>
        <w:ind w:firstLine="640" w:firstLineChars="200"/>
        <w:jc w:val="left"/>
        <w:rPr>
          <w:rFonts w:hint="eastAsia" w:ascii="仿宋_GB2312" w:hAnsi="宋体" w:eastAsia="仿宋_GB2312"/>
          <w:color w:val="auto"/>
          <w:kern w:val="0"/>
          <w:sz w:val="32"/>
          <w:szCs w:val="24"/>
          <w:lang w:val="en-US" w:eastAsia="zh-CN"/>
        </w:rPr>
      </w:pPr>
      <w:r>
        <w:rPr>
          <w:rFonts w:hint="eastAsia" w:ascii="仿宋_GB2312" w:hAnsi="宋体" w:eastAsia="仿宋_GB2312"/>
          <w:color w:val="auto"/>
          <w:kern w:val="0"/>
          <w:sz w:val="32"/>
          <w:szCs w:val="24"/>
          <w:lang w:val="en-US" w:eastAsia="zh-CN"/>
        </w:rPr>
        <w:t>1、市属国有市场治安、消防、卫生等日常服务。</w:t>
      </w:r>
    </w:p>
    <w:p>
      <w:pPr>
        <w:widowControl/>
        <w:spacing w:line="580" w:lineRule="exact"/>
        <w:ind w:firstLine="640" w:firstLineChars="200"/>
        <w:jc w:val="left"/>
        <w:rPr>
          <w:rFonts w:hint="eastAsia" w:ascii="仿宋_GB2312" w:hAnsi="宋体" w:eastAsia="仿宋_GB2312"/>
          <w:color w:val="auto"/>
          <w:kern w:val="0"/>
          <w:sz w:val="32"/>
          <w:szCs w:val="24"/>
          <w:lang w:val="en-US" w:eastAsia="zh-CN"/>
        </w:rPr>
      </w:pPr>
      <w:r>
        <w:rPr>
          <w:rFonts w:hint="eastAsia" w:ascii="仿宋_GB2312" w:hAnsi="宋体" w:eastAsia="仿宋_GB2312"/>
          <w:color w:val="auto"/>
          <w:kern w:val="0"/>
          <w:sz w:val="32"/>
          <w:szCs w:val="24"/>
          <w:lang w:val="en-US" w:eastAsia="zh-CN"/>
        </w:rPr>
        <w:t>2、负责市场资产的开发建设、规划管理、物业服务，提供交易所和服务设施等职责。</w:t>
      </w:r>
    </w:p>
    <w:p>
      <w:pPr>
        <w:widowControl/>
        <w:spacing w:line="580" w:lineRule="exact"/>
        <w:ind w:firstLine="640" w:firstLineChars="200"/>
        <w:jc w:val="left"/>
        <w:rPr>
          <w:rFonts w:hint="eastAsia" w:ascii="仿宋_GB2312" w:hAnsi="宋体" w:eastAsia="仿宋_GB2312"/>
          <w:color w:val="auto"/>
          <w:kern w:val="0"/>
          <w:sz w:val="32"/>
          <w:szCs w:val="24"/>
          <w:lang w:val="en-US" w:eastAsia="zh-CN"/>
        </w:rPr>
      </w:pPr>
      <w:r>
        <w:rPr>
          <w:rFonts w:hint="eastAsia" w:ascii="仿宋_GB2312" w:hAnsi="宋体" w:eastAsia="仿宋_GB2312"/>
          <w:color w:val="auto"/>
          <w:kern w:val="0"/>
          <w:sz w:val="32"/>
          <w:szCs w:val="24"/>
          <w:lang w:val="en-US" w:eastAsia="zh-CN"/>
        </w:rPr>
        <w:t>3、承担着市场的开发建设、规划管理、物业服务。</w:t>
      </w:r>
    </w:p>
    <w:p>
      <w:pPr>
        <w:widowControl/>
        <w:spacing w:line="580" w:lineRule="exact"/>
        <w:ind w:firstLine="640" w:firstLineChars="200"/>
        <w:jc w:val="left"/>
        <w:rPr>
          <w:rFonts w:ascii="仿宋_GB2312" w:hAnsi="宋体" w:eastAsia="仿宋_GB2312"/>
          <w:color w:val="auto"/>
          <w:kern w:val="0"/>
          <w:sz w:val="32"/>
          <w:szCs w:val="24"/>
        </w:rPr>
      </w:pPr>
      <w:r>
        <w:rPr>
          <w:rFonts w:hint="eastAsia" w:ascii="仿宋_GB2312" w:hAnsi="宋体" w:eastAsia="仿宋_GB2312"/>
          <w:color w:val="auto"/>
          <w:kern w:val="0"/>
          <w:sz w:val="32"/>
          <w:szCs w:val="24"/>
          <w:lang w:val="en-US" w:eastAsia="zh-CN"/>
        </w:rPr>
        <w:t>4、维护市场治安、消防、卫生安全等职责。</w:t>
      </w:r>
    </w:p>
    <w:p>
      <w:pPr>
        <w:widowControl/>
        <w:spacing w:line="600" w:lineRule="exact"/>
        <w:ind w:firstLine="630" w:firstLineChars="196"/>
        <w:jc w:val="left"/>
        <w:rPr>
          <w:rFonts w:hint="eastAsia" w:eastAsia="楷体_GB2312"/>
          <w:b/>
          <w:color w:val="auto"/>
          <w:sz w:val="32"/>
          <w:szCs w:val="32"/>
          <w:lang w:eastAsia="zh-CN"/>
        </w:rPr>
      </w:pPr>
      <w:r>
        <w:rPr>
          <w:rFonts w:eastAsia="楷体_GB2312"/>
          <w:b/>
          <w:color w:val="auto"/>
          <w:sz w:val="32"/>
          <w:szCs w:val="32"/>
        </w:rPr>
        <w:t>（二）</w:t>
      </w:r>
      <w:r>
        <w:rPr>
          <w:rFonts w:hint="eastAsia" w:eastAsia="楷体_GB2312"/>
          <w:b/>
          <w:color w:val="auto"/>
          <w:sz w:val="32"/>
          <w:szCs w:val="32"/>
          <w:lang w:eastAsia="zh-CN"/>
        </w:rPr>
        <w:t>人员编制、内设职能股室</w:t>
      </w:r>
    </w:p>
    <w:p>
      <w:pPr>
        <w:widowControl/>
        <w:spacing w:line="580" w:lineRule="exact"/>
        <w:ind w:firstLine="640" w:firstLineChars="20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0"/>
          <w:sz w:val="32"/>
          <w:szCs w:val="24"/>
          <w:lang w:val="en-US" w:eastAsia="zh-CN"/>
        </w:rPr>
        <w:t>我单位现有在编在岗人员30人，单位内设三个职能股（室），即办公室、政工股、财务室;四个农贸市场管理所，即和平市场管理所、生产街综合大市场管理所、三眼桥市场管理所、襄阳街市场管理所。</w:t>
      </w:r>
    </w:p>
    <w:p>
      <w:pPr>
        <w:pStyle w:val="7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二、</w:t>
      </w:r>
      <w:r>
        <w:rPr>
          <w:rFonts w:ascii="Times New Roman" w:hAnsi="Times New Roman" w:eastAsia="黑体"/>
          <w:sz w:val="32"/>
          <w:szCs w:val="32"/>
        </w:rPr>
        <w:t>一般公共预算支出情况</w:t>
      </w:r>
    </w:p>
    <w:p>
      <w:pPr>
        <w:pStyle w:val="7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（一）</w:t>
      </w:r>
      <w:r>
        <w:rPr>
          <w:rFonts w:ascii="Times New Roman" w:hAnsi="Times New Roman" w:eastAsia="黑体"/>
          <w:sz w:val="32"/>
          <w:szCs w:val="32"/>
        </w:rPr>
        <w:t>基本支出情况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left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2021年我单位部门预算基本支出674.14万元，用于工资福利支出341.28万元，其中基本工资109.47万元，绩效工资61.61万元，奖金24.89万元，养老保险缴费62.31万元，住房公积金13.1万元，其他工资福利支出50.57万元等。商品服务支出86.91万元。其中办公费18.27万元，印刷费7.68万元，维修（护）费35万元，其它商品和服务支出25.96万元等。</w:t>
      </w:r>
    </w:p>
    <w:p>
      <w:pPr>
        <w:pStyle w:val="7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（二）</w:t>
      </w:r>
      <w:r>
        <w:rPr>
          <w:rFonts w:ascii="Times New Roman" w:hAnsi="Times New Roman" w:eastAsia="黑体"/>
          <w:sz w:val="32"/>
          <w:szCs w:val="32"/>
        </w:rPr>
        <w:t>项目支出情况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left"/>
        <w:textAlignment w:val="auto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2021年我单位部门预算项目支出245.95万元，项目支出用于护市农贸市场建设工程项目。</w:t>
      </w:r>
      <w:bookmarkStart w:id="0" w:name="_GoBack"/>
      <w:bookmarkEnd w:id="0"/>
    </w:p>
    <w:p>
      <w:pPr>
        <w:pStyle w:val="7"/>
        <w:widowControl/>
        <w:numPr>
          <w:ilvl w:val="0"/>
          <w:numId w:val="0"/>
        </w:numPr>
        <w:spacing w:line="600" w:lineRule="exact"/>
        <w:ind w:left="640" w:leftChars="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三、</w:t>
      </w:r>
      <w:r>
        <w:rPr>
          <w:rFonts w:ascii="Times New Roman" w:hAnsi="Times New Roman" w:eastAsia="黑体"/>
          <w:sz w:val="32"/>
          <w:szCs w:val="32"/>
        </w:rPr>
        <w:t>政府性基金预算支出情况</w:t>
      </w:r>
    </w:p>
    <w:p>
      <w:pPr>
        <w:pStyle w:val="7"/>
        <w:widowControl/>
        <w:numPr>
          <w:ilvl w:val="0"/>
          <w:numId w:val="0"/>
        </w:numPr>
        <w:spacing w:line="600" w:lineRule="exact"/>
        <w:ind w:firstLine="640" w:firstLineChars="200"/>
        <w:jc w:val="left"/>
        <w:rPr>
          <w:rFonts w:hint="default" w:ascii="Times New Roman" w:hAnsi="Times New Roman" w:eastAsia="黑体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2021年我单位政府性基金预算支出498万元。</w:t>
      </w:r>
    </w:p>
    <w:p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四</w:t>
      </w:r>
      <w:r>
        <w:rPr>
          <w:rFonts w:eastAsia="黑体"/>
          <w:sz w:val="32"/>
          <w:szCs w:val="32"/>
        </w:rPr>
        <w:t>、部门整体支出绩效情况</w:t>
      </w:r>
    </w:p>
    <w:p>
      <w:pPr>
        <w:widowControl/>
        <w:spacing w:line="600" w:lineRule="exact"/>
        <w:ind w:firstLine="645"/>
        <w:jc w:val="left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hint="eastAsia" w:eastAsia="仿宋_GB2312"/>
          <w:color w:val="000000"/>
          <w:sz w:val="32"/>
          <w:szCs w:val="32"/>
        </w:rPr>
        <w:t>我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单位</w:t>
      </w:r>
      <w:r>
        <w:rPr>
          <w:rFonts w:hint="eastAsia" w:eastAsia="仿宋_GB2312"/>
          <w:color w:val="000000"/>
          <w:sz w:val="32"/>
          <w:szCs w:val="32"/>
        </w:rPr>
        <w:t>根据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2021</w:t>
      </w:r>
      <w:r>
        <w:rPr>
          <w:rFonts w:hint="eastAsia" w:eastAsia="仿宋_GB2312"/>
          <w:color w:val="000000"/>
          <w:sz w:val="32"/>
          <w:szCs w:val="32"/>
        </w:rPr>
        <w:t>年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市</w:t>
      </w:r>
      <w:r>
        <w:rPr>
          <w:rFonts w:hint="eastAsia" w:eastAsia="仿宋_GB2312"/>
          <w:color w:val="000000"/>
          <w:sz w:val="32"/>
          <w:szCs w:val="32"/>
        </w:rPr>
        <w:t>委、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市</w:t>
      </w:r>
      <w:r>
        <w:rPr>
          <w:rFonts w:hint="eastAsia" w:eastAsia="仿宋_GB2312"/>
          <w:color w:val="000000"/>
          <w:sz w:val="32"/>
          <w:szCs w:val="32"/>
        </w:rPr>
        <w:t>政府工作任务指标的要求，对照年度绩效目标开展绩效自评，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2021</w:t>
      </w:r>
      <w:r>
        <w:rPr>
          <w:rFonts w:hint="eastAsia" w:eastAsia="仿宋_GB2312"/>
          <w:color w:val="000000"/>
          <w:sz w:val="32"/>
          <w:szCs w:val="32"/>
        </w:rPr>
        <w:t>年绩效指标完成情况如下：产出指标任务完成率100%，效益指标按时完成，满意度指标达到预期效果。预算安排资金在本年度内达到了预期的产出和效果工作目标，较好地完成了年初确定的各项工作任务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。</w:t>
      </w:r>
    </w:p>
    <w:p>
      <w:pPr>
        <w:widowControl/>
        <w:spacing w:line="600" w:lineRule="exact"/>
        <w:ind w:firstLine="640" w:firstLineChars="200"/>
        <w:jc w:val="left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（一）经济性分析</w:t>
      </w:r>
    </w:p>
    <w:p>
      <w:pPr>
        <w:widowControl/>
        <w:spacing w:line="600" w:lineRule="exact"/>
        <w:ind w:firstLine="645"/>
        <w:jc w:val="left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我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单位</w:t>
      </w:r>
      <w:r>
        <w:rPr>
          <w:rFonts w:hint="eastAsia" w:eastAsia="仿宋_GB2312"/>
          <w:color w:val="000000"/>
          <w:sz w:val="32"/>
          <w:szCs w:val="32"/>
        </w:rPr>
        <w:t>始终认真贯彻执行《会计法》《预算法》《行政单位会计制度》等法律法规，各项经费支出严格按照政府采购、国库集中支付及预算管理等有关规定执行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，同时</w:t>
      </w:r>
      <w:r>
        <w:rPr>
          <w:rFonts w:hint="eastAsia" w:eastAsia="仿宋_GB2312"/>
          <w:color w:val="000000"/>
          <w:sz w:val="32"/>
          <w:szCs w:val="32"/>
        </w:rPr>
        <w:t>明确了经费审批权限及程序，经费预算、核算管理、资产购置与处置、财务监督等。特别是在“三公”经费管理方面，规范了公务接待的审批管理，较好地控制了行政运行成本。</w:t>
      </w:r>
    </w:p>
    <w:p>
      <w:pPr>
        <w:widowControl/>
        <w:spacing w:line="600" w:lineRule="exact"/>
        <w:ind w:firstLine="645"/>
        <w:jc w:val="left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（二）效率性分析</w:t>
      </w:r>
    </w:p>
    <w:p>
      <w:pPr>
        <w:widowControl/>
        <w:spacing w:line="600" w:lineRule="exact"/>
        <w:ind w:firstLine="645"/>
        <w:jc w:val="left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1、实施进度</w:t>
      </w:r>
    </w:p>
    <w:p>
      <w:pPr>
        <w:widowControl/>
        <w:spacing w:line="600" w:lineRule="exact"/>
        <w:ind w:firstLine="645"/>
        <w:jc w:val="left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根据实际需求，按时支付各项支出。</w:t>
      </w:r>
    </w:p>
    <w:p>
      <w:pPr>
        <w:widowControl/>
        <w:spacing w:line="600" w:lineRule="exact"/>
        <w:ind w:firstLine="645"/>
        <w:jc w:val="left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2、完成质量</w:t>
      </w:r>
    </w:p>
    <w:p>
      <w:pPr>
        <w:widowControl/>
        <w:spacing w:line="600" w:lineRule="exact"/>
        <w:ind w:firstLine="645"/>
        <w:jc w:val="left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保证了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单位</w:t>
      </w:r>
      <w:r>
        <w:rPr>
          <w:rFonts w:hint="eastAsia" w:eastAsia="仿宋_GB2312"/>
          <w:color w:val="000000"/>
          <w:sz w:val="32"/>
          <w:szCs w:val="32"/>
        </w:rPr>
        <w:t>各项工作的正常运转和相关人员的福利待遇，完成质量基本达到绩效目标。</w:t>
      </w:r>
    </w:p>
    <w:p>
      <w:pPr>
        <w:widowControl/>
        <w:spacing w:line="600" w:lineRule="exact"/>
        <w:ind w:firstLine="645"/>
        <w:jc w:val="left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（三）可持续性分析</w:t>
      </w:r>
    </w:p>
    <w:p>
      <w:pPr>
        <w:widowControl/>
        <w:spacing w:line="600" w:lineRule="exact"/>
        <w:ind w:firstLine="645"/>
        <w:jc w:val="left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2021</w:t>
      </w:r>
      <w:r>
        <w:rPr>
          <w:rFonts w:hint="eastAsia" w:eastAsia="仿宋_GB2312"/>
          <w:color w:val="000000"/>
          <w:sz w:val="32"/>
          <w:szCs w:val="32"/>
        </w:rPr>
        <w:t>年度我单位圆满完成预期目标，取得了较好的经济和社会评价，群众满意度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较</w:t>
      </w:r>
      <w:r>
        <w:rPr>
          <w:rFonts w:hint="eastAsia" w:eastAsia="仿宋_GB2312"/>
          <w:color w:val="000000"/>
          <w:sz w:val="32"/>
          <w:szCs w:val="32"/>
        </w:rPr>
        <w:t>高。</w:t>
      </w:r>
    </w:p>
    <w:p>
      <w:pPr>
        <w:pStyle w:val="7"/>
        <w:widowControl/>
        <w:spacing w:line="600" w:lineRule="exact"/>
        <w:ind w:left="640" w:firstLine="0" w:firstLineChars="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五</w:t>
      </w:r>
      <w:r>
        <w:rPr>
          <w:rFonts w:hint="eastAsia" w:ascii="Times New Roman" w:hAnsi="Times New Roman" w:eastAsia="黑体"/>
          <w:sz w:val="32"/>
          <w:szCs w:val="32"/>
        </w:rPr>
        <w:t>、</w:t>
      </w:r>
      <w:r>
        <w:rPr>
          <w:rFonts w:ascii="Times New Roman" w:hAnsi="Times New Roman" w:eastAsia="黑体"/>
          <w:sz w:val="32"/>
          <w:szCs w:val="32"/>
        </w:rPr>
        <w:t>存在的问题及原因分析</w:t>
      </w:r>
    </w:p>
    <w:p>
      <w:pPr>
        <w:widowControl/>
        <w:spacing w:line="600" w:lineRule="exact"/>
        <w:ind w:firstLine="645"/>
        <w:jc w:val="left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hint="eastAsia" w:eastAsia="仿宋_GB2312"/>
          <w:color w:val="000000"/>
          <w:sz w:val="32"/>
          <w:szCs w:val="32"/>
          <w:lang w:eastAsia="zh-CN"/>
        </w:rPr>
        <w:t>（一）预算执行存在偏差。本年度实际公用经费支出高于预算，说明预算编制与实际情况存在偏差，公用经费的控制和核算还有待进一步加强，预算资金安排中，行政经费安排不足。</w:t>
      </w:r>
    </w:p>
    <w:p>
      <w:pPr>
        <w:widowControl/>
        <w:spacing w:line="600" w:lineRule="exact"/>
        <w:ind w:firstLine="645"/>
        <w:jc w:val="left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hint="eastAsia" w:eastAsia="仿宋_GB2312"/>
          <w:color w:val="000000"/>
          <w:sz w:val="32"/>
          <w:szCs w:val="32"/>
          <w:lang w:eastAsia="zh-CN"/>
        </w:rPr>
        <w:t>（二）财务政策学习及培训力度不够，提高财务人员素质以及财务核算能力仍需提高。</w:t>
      </w:r>
    </w:p>
    <w:p>
      <w:pPr>
        <w:widowControl/>
        <w:spacing w:line="60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六</w:t>
      </w:r>
      <w:r>
        <w:rPr>
          <w:rFonts w:eastAsia="黑体"/>
          <w:sz w:val="32"/>
          <w:szCs w:val="32"/>
        </w:rPr>
        <w:t>、下一步改进措施</w:t>
      </w:r>
    </w:p>
    <w:p>
      <w:pPr>
        <w:widowControl/>
        <w:spacing w:line="600" w:lineRule="exact"/>
        <w:ind w:firstLine="645"/>
        <w:jc w:val="left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hint="eastAsia" w:eastAsia="仿宋_GB2312"/>
          <w:color w:val="000000"/>
          <w:sz w:val="32"/>
          <w:szCs w:val="32"/>
          <w:lang w:eastAsia="zh-CN"/>
        </w:rPr>
        <w:t>（一）规范账务处理，提高财务信息质量。严格按照相关制度规定执行财务核算，并结合实际情况，完整、准确地披露相关信息，尽可能地做到决算与预算相衔接。加强经费审批和控制，规范支出标准与范围，并严格执行。</w:t>
      </w:r>
    </w:p>
    <w:p>
      <w:pPr>
        <w:widowControl/>
        <w:spacing w:line="60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eastAsia="zh-CN"/>
        </w:rPr>
        <w:t>（二）加强财务人员学习与培训。 财务人员理论学习上要紧跟时代变化对财务工作提出的新要求，加强新政策新规定等业务学习培训，认真学习领会新会计准则的新内容，并切实落实到实际工作中去。加强财务人员的职业道德教育，提高执行财务制度的自觉性、树立严肃财经纪律，切实提高部门预算收支管理水平。</w:t>
      </w:r>
    </w:p>
    <w:p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七</w:t>
      </w:r>
      <w:r>
        <w:rPr>
          <w:rFonts w:eastAsia="黑体"/>
          <w:sz w:val="32"/>
          <w:szCs w:val="32"/>
        </w:rPr>
        <w:t>、其他需要说明的情况</w:t>
      </w:r>
    </w:p>
    <w:p>
      <w:pPr>
        <w:widowControl/>
        <w:spacing w:line="600" w:lineRule="exact"/>
        <w:ind w:firstLine="645"/>
        <w:jc w:val="left"/>
        <w:rPr>
          <w:rFonts w:hint="eastAsia" w:eastAsia="黑体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9D71ED"/>
    <w:multiLevelType w:val="singleLevel"/>
    <w:tmpl w:val="1F9D71E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76E09"/>
    <w:rsid w:val="008D32EF"/>
    <w:rsid w:val="02C6576B"/>
    <w:rsid w:val="052F2A11"/>
    <w:rsid w:val="084E684E"/>
    <w:rsid w:val="0865499C"/>
    <w:rsid w:val="0C0E55E3"/>
    <w:rsid w:val="0EBE5B40"/>
    <w:rsid w:val="0EED39DD"/>
    <w:rsid w:val="195A1497"/>
    <w:rsid w:val="2305495A"/>
    <w:rsid w:val="286345FC"/>
    <w:rsid w:val="29E2355C"/>
    <w:rsid w:val="2B4537BB"/>
    <w:rsid w:val="2E7B1F74"/>
    <w:rsid w:val="2EF734D4"/>
    <w:rsid w:val="31471A0B"/>
    <w:rsid w:val="33AF32A2"/>
    <w:rsid w:val="345E0632"/>
    <w:rsid w:val="353E3490"/>
    <w:rsid w:val="371851E2"/>
    <w:rsid w:val="3781684D"/>
    <w:rsid w:val="3A076E09"/>
    <w:rsid w:val="3B561D9F"/>
    <w:rsid w:val="3C516B28"/>
    <w:rsid w:val="3D096A38"/>
    <w:rsid w:val="3E9E1A93"/>
    <w:rsid w:val="3F067638"/>
    <w:rsid w:val="3F500CA6"/>
    <w:rsid w:val="43BE5BE9"/>
    <w:rsid w:val="45F36B68"/>
    <w:rsid w:val="4ACA211C"/>
    <w:rsid w:val="50131BB5"/>
    <w:rsid w:val="503201EC"/>
    <w:rsid w:val="5A9D5D9B"/>
    <w:rsid w:val="5B600255"/>
    <w:rsid w:val="601608F3"/>
    <w:rsid w:val="60777D8D"/>
    <w:rsid w:val="62DD5E87"/>
    <w:rsid w:val="6852251D"/>
    <w:rsid w:val="6F806E0F"/>
    <w:rsid w:val="71C56892"/>
    <w:rsid w:val="743B18BD"/>
    <w:rsid w:val="75640639"/>
    <w:rsid w:val="76286CEF"/>
    <w:rsid w:val="76AB3BEA"/>
    <w:rsid w:val="7AC027B5"/>
    <w:rsid w:val="7AC365A2"/>
    <w:rsid w:val="7B102D1C"/>
    <w:rsid w:val="7DA95889"/>
    <w:rsid w:val="7F581391"/>
    <w:rsid w:val="7FBE1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Calibri" w:hAnsi="Calibri" w:eastAsia="宋体" w:cs="Times New Roman"/>
      <w:color w:val="000000"/>
      <w:kern w:val="0"/>
      <w:sz w:val="24"/>
      <w:szCs w:val="24"/>
      <w:lang w:val="en-US" w:eastAsia="zh-CN" w:bidi="ar-SA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paragraph" w:styleId="7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1384</Words>
  <Characters>1466</Characters>
  <Lines>0</Lines>
  <Paragraphs>0</Paragraphs>
  <TotalTime>6</TotalTime>
  <ScaleCrop>false</ScaleCrop>
  <LinksUpToDate>false</LinksUpToDate>
  <CharactersWithSpaces>1467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2021-03-15T06:50:00Z</dcterms:created>
  <dc:creator>Administrator</dc:creator>
  <cp:lastModifiedBy>Administrator</cp:lastModifiedBy>
  <cp:lastPrinted>2022-04-06T06:57:00Z</cp:lastPrinted>
  <dcterms:modified xsi:type="dcterms:W3CDTF">2022-04-08T04:22:04Z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D343CC000F0643AAB44347BC5FCAC956</vt:lpwstr>
  </property>
</Properties>
</file>