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lang w:val="en-US" w:eastAsia="zh-CN"/>
        </w:rPr>
        <w:t>应急管理局灾害信息预警2021年度</w:t>
      </w:r>
      <w:r>
        <w:rPr>
          <w:rFonts w:hint="eastAsia" w:eastAsia="方正小标宋_GBK"/>
          <w:sz w:val="36"/>
          <w:szCs w:val="36"/>
          <w:lang w:eastAsia="zh-CN"/>
        </w:rPr>
        <w:t>项目</w:t>
      </w:r>
      <w:r>
        <w:rPr>
          <w:rFonts w:eastAsia="方正小标宋_GBK"/>
          <w:sz w:val="36"/>
          <w:szCs w:val="36"/>
        </w:rPr>
        <w:t>支出</w:t>
      </w:r>
    </w:p>
    <w:p>
      <w:pPr>
        <w:spacing w:line="600" w:lineRule="exact"/>
        <w:jc w:val="center"/>
        <w:rPr>
          <w:rFonts w:eastAsia="仿宋_GB2312"/>
          <w:sz w:val="32"/>
          <w:szCs w:val="32"/>
        </w:rPr>
      </w:pPr>
      <w:r>
        <w:rPr>
          <w:rFonts w:eastAsia="方正小标宋_GBK"/>
          <w:sz w:val="36"/>
          <w:szCs w:val="36"/>
        </w:rPr>
        <w:t>绩效报告</w:t>
      </w:r>
    </w:p>
    <w:p>
      <w:pPr>
        <w:adjustRightInd w:val="0"/>
        <w:snapToGrid w:val="0"/>
        <w:spacing w:line="600" w:lineRule="exact"/>
        <w:ind w:firstLine="640" w:firstLineChars="200"/>
        <w:rPr>
          <w:rFonts w:eastAsia="黑体"/>
          <w:sz w:val="32"/>
          <w:szCs w:val="32"/>
        </w:rPr>
      </w:pPr>
      <w:r>
        <w:rPr>
          <w:rFonts w:eastAsia="黑体"/>
          <w:sz w:val="32"/>
          <w:szCs w:val="32"/>
        </w:rPr>
        <w:t>一、</w:t>
      </w:r>
      <w:r>
        <w:rPr>
          <w:rFonts w:hint="eastAsia" w:eastAsia="黑体"/>
          <w:sz w:val="32"/>
          <w:szCs w:val="32"/>
          <w:lang w:eastAsia="zh-CN"/>
        </w:rPr>
        <w:t>项目</w:t>
      </w:r>
      <w:r>
        <w:rPr>
          <w:rFonts w:eastAsia="黑体"/>
          <w:sz w:val="32"/>
          <w:szCs w:val="32"/>
        </w:rPr>
        <w:t>支出概况</w:t>
      </w:r>
    </w:p>
    <w:p>
      <w:pPr>
        <w:adjustRightInd w:val="0"/>
        <w:snapToGrid w:val="0"/>
        <w:spacing w:line="600" w:lineRule="exact"/>
        <w:ind w:firstLine="640" w:firstLineChars="200"/>
        <w:rPr>
          <w:rFonts w:eastAsia="仿宋_GB2312"/>
          <w:sz w:val="32"/>
          <w:szCs w:val="32"/>
        </w:rPr>
      </w:pPr>
      <w:r>
        <w:rPr>
          <w:rFonts w:eastAsia="仿宋_GB2312"/>
          <w:sz w:val="32"/>
          <w:szCs w:val="32"/>
        </w:rPr>
        <w:t>（一）</w:t>
      </w:r>
      <w:r>
        <w:rPr>
          <w:rFonts w:hint="eastAsia" w:ascii="仿宋_GB2312" w:hAnsi="宋体" w:eastAsia="仿宋_GB2312"/>
          <w:sz w:val="32"/>
          <w:szCs w:val="32"/>
          <w:lang w:val="en-US" w:eastAsia="zh-CN"/>
        </w:rPr>
        <w:t>津市市应急管理局于2019年3月8日正式挂牌，为市政府工作部门，现地址为汪家桥街道万寿路318号。主要承担安全生产、应急救援、防灾减灾救灾、森林防灭火等职责。</w:t>
      </w:r>
    </w:p>
    <w:p>
      <w:pPr>
        <w:adjustRightInd w:val="0"/>
        <w:snapToGrid w:val="0"/>
        <w:spacing w:line="600" w:lineRule="exact"/>
        <w:ind w:firstLine="640" w:firstLineChars="200"/>
        <w:rPr>
          <w:rFonts w:hint="eastAsia" w:eastAsia="仿宋_GB2312"/>
          <w:sz w:val="32"/>
          <w:szCs w:val="32"/>
          <w:lang w:eastAsia="zh-CN"/>
        </w:rPr>
      </w:pPr>
      <w:r>
        <w:rPr>
          <w:rFonts w:eastAsia="仿宋_GB2312"/>
          <w:sz w:val="32"/>
          <w:szCs w:val="32"/>
        </w:rPr>
        <w:t>（二）</w:t>
      </w:r>
      <w:r>
        <w:rPr>
          <w:rFonts w:hint="eastAsia" w:eastAsia="仿宋_GB2312"/>
          <w:sz w:val="32"/>
          <w:szCs w:val="32"/>
          <w:lang w:val="en-US" w:eastAsia="zh-CN"/>
        </w:rPr>
        <w:t>灾害信息预警主要是</w:t>
      </w:r>
      <w:r>
        <w:rPr>
          <w:rFonts w:hint="eastAsia" w:eastAsia="仿宋_GB2312"/>
          <w:sz w:val="32"/>
          <w:szCs w:val="32"/>
        </w:rPr>
        <w:t>建立实时高效的自然灾害预警体系，为市政府防灾减灾提供及时的决策数据</w:t>
      </w:r>
      <w:r>
        <w:rPr>
          <w:rFonts w:hint="eastAsia" w:eastAsia="仿宋_GB2312"/>
          <w:sz w:val="32"/>
          <w:szCs w:val="32"/>
          <w:lang w:eastAsia="zh-CN"/>
        </w:rPr>
        <w:t>。</w:t>
      </w:r>
    </w:p>
    <w:p>
      <w:pPr>
        <w:adjustRightInd w:val="0"/>
        <w:snapToGrid w:val="0"/>
        <w:spacing w:line="600" w:lineRule="exact"/>
        <w:ind w:firstLine="640" w:firstLineChars="200"/>
        <w:rPr>
          <w:rFonts w:eastAsia="仿宋_GB2312"/>
          <w:sz w:val="32"/>
          <w:szCs w:val="32"/>
        </w:rPr>
      </w:pPr>
      <w:r>
        <w:rPr>
          <w:rFonts w:eastAsia="仿宋_GB2312"/>
          <w:sz w:val="32"/>
          <w:szCs w:val="32"/>
        </w:rPr>
        <w:t>（三）</w:t>
      </w:r>
      <w:r>
        <w:rPr>
          <w:rFonts w:hint="eastAsia" w:eastAsia="仿宋_GB2312"/>
          <w:sz w:val="32"/>
          <w:szCs w:val="32"/>
          <w:lang w:val="en-US" w:eastAsia="zh-CN"/>
        </w:rPr>
        <w:t>年度主要目标为全市范围内</w:t>
      </w:r>
      <w:r>
        <w:rPr>
          <w:rFonts w:hint="eastAsia" w:eastAsia="仿宋_GB2312"/>
          <w:sz w:val="32"/>
          <w:szCs w:val="32"/>
          <w:lang w:eastAsia="zh-CN"/>
        </w:rPr>
        <w:t>对自然灾害实时预警，及时应对，合理采取减灾措施，减少自然灾害损失。服务对象对灾害预警满意度达9</w:t>
      </w:r>
      <w:r>
        <w:rPr>
          <w:rFonts w:hint="eastAsia" w:eastAsia="仿宋_GB2312"/>
          <w:sz w:val="32"/>
          <w:szCs w:val="32"/>
          <w:lang w:val="en-US" w:eastAsia="zh-CN"/>
        </w:rPr>
        <w:t>2</w:t>
      </w:r>
      <w:r>
        <w:rPr>
          <w:rFonts w:hint="eastAsia" w:eastAsia="仿宋_GB2312"/>
          <w:sz w:val="32"/>
          <w:szCs w:val="32"/>
          <w:lang w:eastAsia="zh-CN"/>
        </w:rPr>
        <w:t>%以上。</w:t>
      </w:r>
    </w:p>
    <w:p>
      <w:pPr>
        <w:adjustRightInd w:val="0"/>
        <w:snapToGrid w:val="0"/>
        <w:spacing w:line="600" w:lineRule="exact"/>
        <w:ind w:firstLine="640" w:firstLineChars="200"/>
        <w:rPr>
          <w:rFonts w:eastAsia="黑体"/>
          <w:sz w:val="32"/>
          <w:szCs w:val="32"/>
        </w:rPr>
      </w:pPr>
      <w:r>
        <w:rPr>
          <w:rFonts w:eastAsia="黑体"/>
          <w:sz w:val="32"/>
          <w:szCs w:val="32"/>
        </w:rPr>
        <w:t>二、</w:t>
      </w:r>
      <w:r>
        <w:rPr>
          <w:rFonts w:hint="eastAsia" w:eastAsia="黑体"/>
          <w:sz w:val="32"/>
          <w:szCs w:val="32"/>
          <w:lang w:eastAsia="zh-CN"/>
        </w:rPr>
        <w:t>项目</w:t>
      </w:r>
      <w:r>
        <w:rPr>
          <w:rFonts w:eastAsia="黑体"/>
          <w:sz w:val="32"/>
          <w:szCs w:val="32"/>
        </w:rPr>
        <w:t>资金使用及管理情况</w:t>
      </w:r>
    </w:p>
    <w:p>
      <w:pPr>
        <w:keepNext w:val="0"/>
        <w:keepLines w:val="0"/>
        <w:pageBreakBefore w:val="0"/>
        <w:widowControl w:val="0"/>
        <w:kinsoku/>
        <w:wordWrap/>
        <w:overflowPunct/>
        <w:topLinePunct w:val="0"/>
        <w:autoSpaceDE/>
        <w:autoSpaceDN/>
        <w:bidi w:val="0"/>
        <w:adjustRightInd/>
        <w:snapToGrid/>
        <w:spacing w:line="540" w:lineRule="exact"/>
        <w:ind w:firstLine="640"/>
        <w:jc w:val="left"/>
        <w:textAlignment w:val="auto"/>
        <w:rPr>
          <w:rFonts w:hint="eastAsia" w:ascii="仿宋_GB2312" w:hAnsi="仿宋_GB2312" w:eastAsia="仿宋_GB2312" w:cs="仿宋_GB2312"/>
          <w:sz w:val="32"/>
          <w:szCs w:val="24"/>
          <w:lang w:val="en-US" w:eastAsia="zh-CN"/>
        </w:rPr>
      </w:pPr>
      <w:r>
        <w:rPr>
          <w:rFonts w:hint="eastAsia" w:ascii="仿宋_GB2312" w:eastAsia="仿宋_GB2312" w:cs="Times New Roman"/>
          <w:sz w:val="32"/>
          <w:szCs w:val="32"/>
        </w:rPr>
        <w:t>（一）</w:t>
      </w:r>
      <w:r>
        <w:rPr>
          <w:rFonts w:hint="eastAsia" w:ascii="仿宋_GB2312" w:hAnsi="仿宋" w:eastAsia="仿宋_GB2312" w:cs="Helvetica"/>
          <w:kern w:val="0"/>
          <w:sz w:val="32"/>
          <w:szCs w:val="32"/>
        </w:rPr>
        <w:t>资金落实情况。</w:t>
      </w:r>
      <w:r>
        <w:rPr>
          <w:rFonts w:hint="eastAsia" w:ascii="仿宋_GB2312" w:hAnsi="仿宋_GB2312" w:eastAsia="仿宋_GB2312" w:cs="仿宋_GB2312"/>
          <w:sz w:val="32"/>
          <w:szCs w:val="24"/>
          <w:lang w:val="en-US" w:eastAsia="zh-CN"/>
        </w:rPr>
        <w:t>2021年市财政下达我局的灾害预警专项资金16万元资金到位率100%。</w:t>
      </w:r>
    </w:p>
    <w:p>
      <w:pPr>
        <w:keepNext w:val="0"/>
        <w:keepLines w:val="0"/>
        <w:pageBreakBefore w:val="0"/>
        <w:widowControl w:val="0"/>
        <w:kinsoku/>
        <w:wordWrap/>
        <w:overflowPunct/>
        <w:topLinePunct w:val="0"/>
        <w:autoSpaceDE/>
        <w:autoSpaceDN/>
        <w:bidi w:val="0"/>
        <w:adjustRightInd/>
        <w:snapToGrid/>
        <w:spacing w:line="540" w:lineRule="exact"/>
        <w:ind w:firstLine="640"/>
        <w:jc w:val="left"/>
        <w:textAlignment w:val="auto"/>
        <w:rPr>
          <w:rFonts w:hint="eastAsia" w:ascii="仿宋_GB2312" w:hAnsi="仿宋_GB2312" w:eastAsia="仿宋_GB2312" w:cs="仿宋_GB2312"/>
          <w:sz w:val="32"/>
          <w:szCs w:val="24"/>
          <w:lang w:val="en-US" w:eastAsia="zh-CN"/>
        </w:rPr>
      </w:pPr>
      <w:r>
        <w:rPr>
          <w:rFonts w:hint="eastAsia" w:ascii="仿宋_GB2312" w:eastAsia="仿宋_GB2312" w:cs="Times New Roman"/>
          <w:sz w:val="32"/>
          <w:szCs w:val="32"/>
        </w:rPr>
        <w:t>（二）</w:t>
      </w:r>
      <w:r>
        <w:rPr>
          <w:rFonts w:hint="eastAsia" w:ascii="仿宋_GB2312" w:hAnsi="仿宋" w:eastAsia="仿宋_GB2312" w:cs="Helvetica"/>
          <w:kern w:val="0"/>
          <w:sz w:val="32"/>
          <w:szCs w:val="32"/>
        </w:rPr>
        <w:t>资金支出情况。</w:t>
      </w:r>
      <w:r>
        <w:rPr>
          <w:rFonts w:hint="eastAsia" w:ascii="仿宋_GB2312" w:hAnsi="仿宋" w:eastAsia="仿宋_GB2312" w:cs="Helvetica"/>
          <w:kern w:val="0"/>
          <w:sz w:val="32"/>
          <w:szCs w:val="32"/>
          <w:lang w:val="en-US" w:eastAsia="zh-CN"/>
        </w:rPr>
        <w:t>专项资金主要支出主要由购买澧县气象局气象预警服务8万元、天气盒6.552万元和防灾减灾宣传资料印制1.448万元组成，</w:t>
      </w:r>
      <w:r>
        <w:rPr>
          <w:rFonts w:hint="eastAsia" w:ascii="仿宋_GB2312" w:hAnsi="仿宋_GB2312" w:eastAsia="仿宋_GB2312" w:cs="仿宋_GB2312"/>
          <w:sz w:val="32"/>
          <w:szCs w:val="24"/>
          <w:lang w:val="en-US" w:eastAsia="zh-CN"/>
        </w:rPr>
        <w:t>项目资金实施率100%。</w:t>
      </w:r>
    </w:p>
    <w:p>
      <w:pPr>
        <w:adjustRightInd w:val="0"/>
        <w:snapToGrid w:val="0"/>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1</w:t>
      </w:r>
      <w:r>
        <w:rPr>
          <w:rFonts w:hint="eastAsia" w:ascii="仿宋_GB2312" w:eastAsia="仿宋_GB2312" w:cs="Times New Roman"/>
          <w:sz w:val="32"/>
          <w:szCs w:val="32"/>
          <w:lang w:eastAsia="zh-CN"/>
        </w:rPr>
        <w:t>）</w:t>
      </w:r>
      <w:r>
        <w:rPr>
          <w:rFonts w:hint="eastAsia" w:ascii="仿宋_GB2312" w:eastAsia="仿宋_GB2312" w:cs="Times New Roman"/>
          <w:sz w:val="32"/>
          <w:szCs w:val="32"/>
        </w:rPr>
        <w:t>财务管理制度健全。按照</w:t>
      </w:r>
      <w:r>
        <w:rPr>
          <w:rFonts w:hint="eastAsia" w:ascii="仿宋_GB2312" w:hAnsi="仿宋_GB2312" w:eastAsia="仿宋_GB2312" w:cs="仿宋_GB2312"/>
          <w:i w:val="0"/>
          <w:iCs w:val="0"/>
          <w:color w:val="000000"/>
          <w:kern w:val="0"/>
          <w:sz w:val="32"/>
          <w:szCs w:val="32"/>
          <w:u w:val="none"/>
          <w:lang w:val="en-US" w:eastAsia="zh-CN" w:bidi="ar"/>
        </w:rPr>
        <w:t>津市市应急管理局专项资金管理制度</w:t>
      </w:r>
      <w:r>
        <w:rPr>
          <w:rFonts w:hint="eastAsia" w:ascii="仿宋_GB2312" w:eastAsia="仿宋_GB2312" w:cs="Times New Roman"/>
          <w:sz w:val="32"/>
          <w:szCs w:val="32"/>
        </w:rPr>
        <w:t>要求和财政专项资金管理办法对专项资金的管理按照项目支出涉及的经济科目规定，根据财务管理办法的相关制度执行，有力保证了项目资金的实施。</w:t>
      </w: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2</w:t>
      </w:r>
      <w:r>
        <w:rPr>
          <w:rFonts w:hint="eastAsia" w:ascii="仿宋_GB2312" w:eastAsia="仿宋_GB2312" w:cs="Times New Roman"/>
          <w:sz w:val="32"/>
          <w:szCs w:val="32"/>
          <w:lang w:eastAsia="zh-CN"/>
        </w:rPr>
        <w:t>）</w:t>
      </w:r>
      <w:r>
        <w:rPr>
          <w:rFonts w:hint="eastAsia" w:ascii="仿宋_GB2312" w:eastAsia="仿宋_GB2312" w:cs="Times New Roman"/>
          <w:sz w:val="32"/>
          <w:szCs w:val="32"/>
        </w:rPr>
        <w:t>资金拨付审批手续完整。项目专款专用，不存在支出依据不合规、虚列项目支出、截留、挤占、挪用和超标准支出等现象，使资金的运用得到了合理的控制，项目得到了切实的保障。</w:t>
      </w: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3</w:t>
      </w:r>
      <w:r>
        <w:rPr>
          <w:rFonts w:hint="eastAsia" w:ascii="仿宋_GB2312" w:eastAsia="仿宋_GB2312" w:cs="Times New Roman"/>
          <w:sz w:val="32"/>
          <w:szCs w:val="32"/>
          <w:lang w:eastAsia="zh-CN"/>
        </w:rPr>
        <w:t>）</w:t>
      </w:r>
      <w:r>
        <w:rPr>
          <w:rFonts w:hint="eastAsia" w:ascii="仿宋_GB2312" w:eastAsia="仿宋_GB2312" w:cs="Times New Roman"/>
          <w:sz w:val="32"/>
          <w:szCs w:val="32"/>
        </w:rPr>
        <w:t>会计信息质量真实。严格执行《会计法》等财经法规，严格按照相关会计制度办理会计业务，进行会计核算，并做好会计记录，真实的反映资金管理情况，并接受市财政、审计部门及上级主管部门的检查、监督。</w:t>
      </w:r>
    </w:p>
    <w:p>
      <w:pPr>
        <w:adjustRightInd w:val="0"/>
        <w:snapToGrid w:val="0"/>
        <w:spacing w:line="600" w:lineRule="exact"/>
        <w:ind w:firstLine="640" w:firstLineChars="200"/>
        <w:rPr>
          <w:rFonts w:eastAsia="黑体"/>
          <w:sz w:val="32"/>
          <w:szCs w:val="32"/>
        </w:rPr>
      </w:pPr>
      <w:r>
        <w:rPr>
          <w:rFonts w:hint="eastAsia" w:eastAsia="黑体"/>
          <w:sz w:val="32"/>
          <w:szCs w:val="32"/>
          <w:lang w:val="en-US" w:eastAsia="zh-CN"/>
        </w:rPr>
        <w:t>三</w:t>
      </w:r>
      <w:r>
        <w:rPr>
          <w:rFonts w:eastAsia="黑体"/>
          <w:sz w:val="32"/>
          <w:szCs w:val="32"/>
        </w:rPr>
        <w:t>、</w:t>
      </w:r>
      <w:r>
        <w:rPr>
          <w:rFonts w:hint="eastAsia" w:eastAsia="黑体"/>
          <w:sz w:val="32"/>
          <w:szCs w:val="32"/>
          <w:lang w:eastAsia="zh-CN"/>
        </w:rPr>
        <w:t>项目</w:t>
      </w:r>
      <w:r>
        <w:rPr>
          <w:rFonts w:eastAsia="黑体"/>
          <w:sz w:val="32"/>
          <w:szCs w:val="32"/>
        </w:rPr>
        <w:t>绩效情况</w:t>
      </w:r>
    </w:p>
    <w:p>
      <w:pPr>
        <w:spacing w:line="360" w:lineRule="auto"/>
        <w:ind w:firstLine="421"/>
        <w:rPr>
          <w:rFonts w:hint="default" w:eastAsia="仿宋_GB2312"/>
          <w:sz w:val="32"/>
          <w:szCs w:val="32"/>
          <w:lang w:val="en-US"/>
        </w:rPr>
      </w:pPr>
      <w:r>
        <w:rPr>
          <w:rFonts w:hint="eastAsia" w:eastAsia="仿宋_GB2312"/>
          <w:sz w:val="32"/>
          <w:szCs w:val="32"/>
          <w:lang w:val="en-US" w:eastAsia="zh-CN"/>
        </w:rPr>
        <w:t>灾害预警信息项目主要由</w:t>
      </w:r>
      <w:r>
        <w:rPr>
          <w:rFonts w:hint="eastAsia" w:ascii="仿宋_GB2312" w:hAnsi="仿宋" w:eastAsia="仿宋_GB2312" w:cs="Helvetica"/>
          <w:kern w:val="0"/>
          <w:sz w:val="32"/>
          <w:szCs w:val="32"/>
          <w:lang w:val="en-US" w:eastAsia="zh-CN"/>
        </w:rPr>
        <w:t>澧县气象局气象预警服务、天气盒和灾害预警各类宣传资料印制组成，气象预警实现了1次/天的报送频次，极端天气时时预警，为市政府针对灾害气象的预警提供了及时的决策依据。采购预警</w:t>
      </w:r>
      <w:r>
        <w:rPr>
          <w:rFonts w:hint="eastAsia" w:ascii="仿宋_GB2312" w:hAnsi="仿宋_GB2312" w:eastAsia="仿宋_GB2312" w:cs="仿宋_GB2312"/>
          <w:kern w:val="0"/>
          <w:sz w:val="32"/>
          <w:szCs w:val="32"/>
          <w:lang w:val="en-US" w:eastAsia="zh-CN"/>
        </w:rPr>
        <w:t>装置</w:t>
      </w:r>
      <w:r>
        <w:rPr>
          <w:rFonts w:hint="eastAsia" w:ascii="仿宋_GB2312" w:hAnsi="仿宋_GB2312" w:eastAsia="仿宋_GB2312" w:cs="仿宋_GB2312"/>
          <w:sz w:val="32"/>
          <w:szCs w:val="32"/>
        </w:rPr>
        <w:t>气象灾害预警服务智能终端（天气盒）</w:t>
      </w:r>
      <w:r>
        <w:rPr>
          <w:rFonts w:hint="eastAsia" w:ascii="仿宋_GB2312" w:hAnsi="仿宋_GB2312" w:eastAsia="仿宋_GB2312" w:cs="仿宋_GB2312"/>
          <w:sz w:val="32"/>
          <w:szCs w:val="32"/>
          <w:lang w:val="en-US" w:eastAsia="zh-CN"/>
        </w:rPr>
        <w:t>一套</w:t>
      </w:r>
      <w:r>
        <w:rPr>
          <w:rFonts w:hint="eastAsia" w:ascii="仿宋_GB2312" w:hAnsi="仿宋_GB2312" w:eastAsia="仿宋_GB2312" w:cs="仿宋_GB2312"/>
          <w:sz w:val="32"/>
          <w:szCs w:val="32"/>
        </w:rPr>
        <w:t>，相关信息采集完成后</w:t>
      </w:r>
      <w:r>
        <w:rPr>
          <w:rFonts w:hint="eastAsia" w:ascii="仿宋_GB2312" w:hAnsi="仿宋_GB2312" w:eastAsia="仿宋_GB2312" w:cs="仿宋_GB2312"/>
          <w:sz w:val="32"/>
          <w:szCs w:val="32"/>
          <w:lang w:val="en-US" w:eastAsia="zh-CN"/>
        </w:rPr>
        <w:t>已</w:t>
      </w:r>
      <w:r>
        <w:rPr>
          <w:rFonts w:hint="eastAsia" w:ascii="仿宋_GB2312" w:hAnsi="仿宋_GB2312" w:eastAsia="仿宋_GB2312" w:cs="仿宋_GB2312"/>
          <w:sz w:val="32"/>
          <w:szCs w:val="32"/>
        </w:rPr>
        <w:t>实现预警信息</w:t>
      </w:r>
      <w:r>
        <w:rPr>
          <w:rFonts w:hint="eastAsia" w:ascii="仿宋_GB2312" w:hAnsi="仿宋_GB2312" w:eastAsia="仿宋_GB2312" w:cs="仿宋_GB2312"/>
          <w:sz w:val="32"/>
          <w:szCs w:val="32"/>
          <w:lang w:val="en-US" w:eastAsia="zh-CN"/>
        </w:rPr>
        <w:t>对镇街</w:t>
      </w:r>
      <w:r>
        <w:rPr>
          <w:rFonts w:hint="eastAsia" w:ascii="仿宋_GB2312" w:hAnsi="仿宋_GB2312" w:eastAsia="仿宋_GB2312" w:cs="仿宋_GB2312"/>
          <w:sz w:val="32"/>
          <w:szCs w:val="32"/>
        </w:rPr>
        <w:t>的精准推送。</w:t>
      </w:r>
      <w:r>
        <w:rPr>
          <w:rFonts w:hint="eastAsia" w:ascii="仿宋_GB2312" w:hAnsi="仿宋_GB2312" w:eastAsia="仿宋_GB2312" w:cs="仿宋_GB2312"/>
          <w:sz w:val="32"/>
          <w:szCs w:val="32"/>
          <w:lang w:val="en-US" w:eastAsia="zh-CN"/>
        </w:rPr>
        <w:t>通过印制防灾减灾宣传品，使广大群众能够了解相关自然灾害防灾减灾知识，更好的提高自我及家庭的防护能力。群众满意率高。通过灾害信息预警项目的实施，我市灾害预警的发送率达到100%，全年有效的保障了对灾害的提前预警信息来源，减少了各类自然灾害损失，全市各服务对象预警信息服务满意。需持续做好灾害信息预警项目的保障，形成长效保障机制。</w:t>
      </w:r>
    </w:p>
    <w:p>
      <w:pPr>
        <w:adjustRightInd w:val="0"/>
        <w:snapToGrid w:val="0"/>
        <w:spacing w:line="600" w:lineRule="exact"/>
        <w:ind w:firstLine="640" w:firstLineChars="200"/>
        <w:rPr>
          <w:rFonts w:eastAsia="黑体"/>
          <w:sz w:val="32"/>
          <w:szCs w:val="32"/>
        </w:rPr>
      </w:pPr>
      <w:r>
        <w:rPr>
          <w:rFonts w:hint="eastAsia" w:eastAsia="黑体"/>
          <w:sz w:val="32"/>
          <w:szCs w:val="32"/>
          <w:lang w:eastAsia="zh-CN"/>
        </w:rPr>
        <w:t>五</w:t>
      </w:r>
      <w:r>
        <w:rPr>
          <w:rFonts w:eastAsia="黑体"/>
          <w:sz w:val="32"/>
          <w:szCs w:val="32"/>
        </w:rPr>
        <w:t>、其他需要说明的问题</w:t>
      </w:r>
    </w:p>
    <w:p>
      <w:pPr>
        <w:adjustRightInd w:val="0"/>
        <w:snapToGrid w:val="0"/>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无</w:t>
      </w:r>
    </w:p>
    <w:p>
      <w:pPr>
        <w:adjustRightInd w:val="0"/>
        <w:snapToGrid w:val="0"/>
        <w:spacing w:line="600" w:lineRule="exact"/>
        <w:ind w:firstLine="640" w:firstLineChars="200"/>
        <w:rPr>
          <w:rFonts w:hint="eastAsia" w:eastAsia="仿宋_GB2312"/>
          <w:sz w:val="32"/>
          <w:szCs w:val="32"/>
        </w:rPr>
      </w:pPr>
      <w:r>
        <w:rPr>
          <w:rFonts w:eastAsia="仿宋_GB2312"/>
          <w:sz w:val="32"/>
          <w:szCs w:val="32"/>
        </w:rPr>
        <w:t>附件：</w:t>
      </w:r>
      <w:r>
        <w:rPr>
          <w:rFonts w:hint="eastAsia" w:eastAsia="仿宋_GB2312"/>
          <w:sz w:val="32"/>
          <w:szCs w:val="32"/>
          <w:lang w:eastAsia="zh-CN"/>
        </w:rPr>
        <w:t>项目</w:t>
      </w:r>
      <w:r>
        <w:rPr>
          <w:rFonts w:hint="eastAsia" w:eastAsia="仿宋_GB2312"/>
          <w:sz w:val="32"/>
          <w:szCs w:val="32"/>
        </w:rPr>
        <w:t>支出绩效自评表</w:t>
      </w:r>
    </w:p>
    <w:tbl>
      <w:tblPr>
        <w:tblStyle w:val="2"/>
        <w:tblW w:w="9999" w:type="dxa"/>
        <w:jc w:val="center"/>
        <w:tblLayout w:type="autofit"/>
        <w:tblCellMar>
          <w:top w:w="0" w:type="dxa"/>
          <w:left w:w="108" w:type="dxa"/>
          <w:bottom w:w="0" w:type="dxa"/>
          <w:right w:w="108" w:type="dxa"/>
        </w:tblCellMar>
      </w:tblPr>
      <w:tblGrid>
        <w:gridCol w:w="1135"/>
        <w:gridCol w:w="992"/>
        <w:gridCol w:w="1261"/>
        <w:gridCol w:w="1224"/>
        <w:gridCol w:w="1134"/>
        <w:gridCol w:w="1134"/>
        <w:gridCol w:w="828"/>
        <w:gridCol w:w="873"/>
        <w:gridCol w:w="1418"/>
      </w:tblGrid>
      <w:tr>
        <w:tblPrEx>
          <w:tblCellMar>
            <w:top w:w="0" w:type="dxa"/>
            <w:left w:w="108" w:type="dxa"/>
            <w:bottom w:w="0" w:type="dxa"/>
            <w:right w:w="108" w:type="dxa"/>
          </w:tblCellMar>
        </w:tblPrEx>
        <w:trPr>
          <w:trHeight w:val="1165" w:hRule="atLeast"/>
          <w:jc w:val="center"/>
        </w:trPr>
        <w:tc>
          <w:tcPr>
            <w:tcW w:w="9999" w:type="dxa"/>
            <w:gridSpan w:val="9"/>
            <w:tcBorders>
              <w:top w:val="nil"/>
              <w:left w:val="nil"/>
              <w:bottom w:val="nil"/>
              <w:right w:val="nil"/>
            </w:tcBorders>
            <w:noWrap/>
            <w:vAlign w:val="center"/>
          </w:tcPr>
          <w:p>
            <w:pPr>
              <w:widowControl/>
              <w:jc w:val="both"/>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附件：</w:t>
            </w:r>
          </w:p>
          <w:p>
            <w:pPr>
              <w:widowControl/>
              <w:jc w:val="center"/>
              <w:rPr>
                <w:rFonts w:eastAsia="方正小标宋_GBK"/>
                <w:color w:val="000000"/>
                <w:kern w:val="0"/>
                <w:sz w:val="36"/>
                <w:szCs w:val="36"/>
              </w:rPr>
            </w:pPr>
            <w:r>
              <w:rPr>
                <w:rFonts w:hint="eastAsia" w:eastAsia="方正小标宋_GBK"/>
                <w:color w:val="000000"/>
                <w:kern w:val="0"/>
                <w:sz w:val="36"/>
                <w:szCs w:val="36"/>
                <w:lang w:eastAsia="zh-CN"/>
              </w:rPr>
              <w:t>项目</w:t>
            </w:r>
            <w:r>
              <w:rPr>
                <w:rFonts w:eastAsia="方正小标宋_GBK"/>
                <w:color w:val="000000"/>
                <w:kern w:val="0"/>
                <w:sz w:val="36"/>
                <w:szCs w:val="36"/>
              </w:rPr>
              <w:t>支出绩效自评表</w:t>
            </w:r>
          </w:p>
        </w:tc>
      </w:tr>
      <w:tr>
        <w:tblPrEx>
          <w:tblCellMar>
            <w:top w:w="0" w:type="dxa"/>
            <w:left w:w="108" w:type="dxa"/>
            <w:bottom w:w="0" w:type="dxa"/>
            <w:right w:w="108" w:type="dxa"/>
          </w:tblCellMar>
        </w:tblPrEx>
        <w:trPr>
          <w:trHeight w:val="270" w:hRule="atLeast"/>
          <w:jc w:val="center"/>
        </w:trPr>
        <w:tc>
          <w:tcPr>
            <w:tcW w:w="9999" w:type="dxa"/>
            <w:gridSpan w:val="9"/>
            <w:tcBorders>
              <w:top w:val="nil"/>
              <w:left w:val="nil"/>
              <w:bottom w:val="single" w:color="auto" w:sz="4" w:space="0"/>
              <w:right w:val="nil"/>
            </w:tcBorders>
            <w:noWrap/>
            <w:vAlign w:val="center"/>
          </w:tcPr>
          <w:p>
            <w:pPr>
              <w:widowControl/>
              <w:jc w:val="center"/>
              <w:rPr>
                <w:color w:val="000000"/>
                <w:kern w:val="0"/>
                <w:sz w:val="22"/>
              </w:rPr>
            </w:pPr>
            <w:r>
              <w:rPr>
                <w:color w:val="000000"/>
                <w:kern w:val="0"/>
                <w:sz w:val="22"/>
              </w:rPr>
              <w:t>（</w:t>
            </w:r>
            <w:r>
              <w:rPr>
                <w:rFonts w:hint="eastAsia"/>
                <w:color w:val="000000"/>
                <w:kern w:val="0"/>
                <w:sz w:val="22"/>
                <w:lang w:val="en-US" w:eastAsia="zh-CN"/>
              </w:rPr>
              <w:t>2021</w:t>
            </w:r>
            <w:r>
              <w:rPr>
                <w:color w:val="000000"/>
                <w:kern w:val="0"/>
                <w:sz w:val="22"/>
              </w:rPr>
              <w:t>年度）</w:t>
            </w:r>
          </w:p>
        </w:tc>
      </w:tr>
      <w:tr>
        <w:tblPrEx>
          <w:tblCellMar>
            <w:top w:w="0" w:type="dxa"/>
            <w:left w:w="108" w:type="dxa"/>
            <w:bottom w:w="0" w:type="dxa"/>
            <w:right w:w="108" w:type="dxa"/>
          </w:tblCellMar>
        </w:tblPrEx>
        <w:trPr>
          <w:trHeight w:val="585"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spacing w:line="260" w:lineRule="exact"/>
              <w:jc w:val="center"/>
              <w:rPr>
                <w:rFonts w:eastAsia="仿宋_GB2312"/>
                <w:color w:val="000000"/>
                <w:kern w:val="0"/>
                <w:szCs w:val="21"/>
              </w:rPr>
            </w:pPr>
            <w:r>
              <w:rPr>
                <w:rFonts w:eastAsia="仿宋_GB2312"/>
                <w:color w:val="000000"/>
                <w:kern w:val="0"/>
                <w:szCs w:val="21"/>
              </w:rPr>
              <w:t>项目支</w:t>
            </w:r>
          </w:p>
          <w:p>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864" w:type="dxa"/>
            <w:gridSpan w:val="8"/>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灾害信息预警</w:t>
            </w: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主管部门</w:t>
            </w:r>
          </w:p>
        </w:tc>
        <w:tc>
          <w:tcPr>
            <w:tcW w:w="4611" w:type="dxa"/>
            <w:gridSpan w:val="4"/>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津市应急管理局</w:t>
            </w:r>
          </w:p>
        </w:tc>
        <w:tc>
          <w:tcPr>
            <w:tcW w:w="1134" w:type="dxa"/>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津市应急管理局</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年初预算数</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全年预算数</w:t>
            </w:r>
          </w:p>
        </w:tc>
        <w:tc>
          <w:tcPr>
            <w:tcW w:w="1134"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全年执行数</w:t>
            </w:r>
          </w:p>
        </w:tc>
        <w:tc>
          <w:tcPr>
            <w:tcW w:w="828"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分值</w:t>
            </w:r>
          </w:p>
        </w:tc>
        <w:tc>
          <w:tcPr>
            <w:tcW w:w="873"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执行率</w:t>
            </w:r>
          </w:p>
        </w:tc>
        <w:tc>
          <w:tcPr>
            <w:tcW w:w="1418"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得分</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年度资金总额　</w:t>
            </w:r>
          </w:p>
        </w:tc>
        <w:tc>
          <w:tcPr>
            <w:tcW w:w="122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16</w:t>
            </w:r>
          </w:p>
        </w:tc>
        <w:tc>
          <w:tcPr>
            <w:tcW w:w="113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16</w:t>
            </w:r>
          </w:p>
        </w:tc>
        <w:tc>
          <w:tcPr>
            <w:tcW w:w="113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16</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10</w:t>
            </w:r>
          </w:p>
        </w:tc>
        <w:tc>
          <w:tcPr>
            <w:tcW w:w="873"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 w:val="18"/>
                <w:szCs w:val="18"/>
                <w:lang w:val="en-US" w:eastAsia="zh-CN"/>
              </w:rPr>
              <w:t>100%</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其中：当年财政拨款　</w:t>
            </w:r>
          </w:p>
        </w:tc>
        <w:tc>
          <w:tcPr>
            <w:tcW w:w="122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16</w:t>
            </w:r>
          </w:p>
        </w:tc>
        <w:tc>
          <w:tcPr>
            <w:tcW w:w="113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16</w:t>
            </w:r>
          </w:p>
        </w:tc>
        <w:tc>
          <w:tcPr>
            <w:tcW w:w="113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16</w:t>
            </w:r>
          </w:p>
        </w:tc>
        <w:tc>
          <w:tcPr>
            <w:tcW w:w="828"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 w:val="18"/>
                <w:szCs w:val="18"/>
                <w:lang w:val="en-US" w:eastAsia="zh-CN"/>
              </w:rPr>
              <w:t>100%</w:t>
            </w:r>
          </w:p>
        </w:tc>
        <w:tc>
          <w:tcPr>
            <w:tcW w:w="1418"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年度总</w:t>
            </w:r>
          </w:p>
          <w:p>
            <w:pPr>
              <w:widowControl/>
              <w:jc w:val="center"/>
              <w:rPr>
                <w:rFonts w:eastAsia="仿宋_GB2312"/>
                <w:color w:val="000000"/>
                <w:kern w:val="0"/>
                <w:szCs w:val="21"/>
              </w:rPr>
            </w:pPr>
            <w:r>
              <w:rPr>
                <w:rFonts w:eastAsia="仿宋_GB2312"/>
                <w:color w:val="000000"/>
                <w:kern w:val="0"/>
                <w:szCs w:val="21"/>
              </w:rPr>
              <w:t>体目标</w:t>
            </w:r>
          </w:p>
        </w:tc>
        <w:tc>
          <w:tcPr>
            <w:tcW w:w="4611" w:type="dxa"/>
            <w:gridSpan w:val="4"/>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rPr>
          <w:trHeight w:val="532" w:hRule="atLeast"/>
          <w:jc w:val="center"/>
        </w:trPr>
        <w:tc>
          <w:tcPr>
            <w:tcW w:w="113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4611" w:type="dxa"/>
            <w:gridSpan w:val="4"/>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全市自然灾害实时预警，减少自然灾害损失</w:t>
            </w:r>
            <w:r>
              <w:rPr>
                <w:rFonts w:eastAsia="仿宋_GB2312"/>
                <w:color w:val="000000"/>
                <w:kern w:val="0"/>
                <w:szCs w:val="21"/>
              </w:rPr>
              <w:t>　　</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全年天气、雨情信息报送，各项指标合格</w:t>
            </w:r>
          </w:p>
        </w:tc>
      </w:tr>
      <w:tr>
        <w:tblPrEx>
          <w:tblCellMar>
            <w:top w:w="0" w:type="dxa"/>
            <w:left w:w="108" w:type="dxa"/>
            <w:bottom w:w="0" w:type="dxa"/>
            <w:right w:w="108" w:type="dxa"/>
          </w:tblCellMar>
        </w:tblPrEx>
        <w:trPr>
          <w:trHeight w:val="868" w:hRule="atLeast"/>
          <w:jc w:val="center"/>
        </w:trPr>
        <w:tc>
          <w:tcPr>
            <w:tcW w:w="1135" w:type="dxa"/>
            <w:vMerge w:val="restart"/>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992"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6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22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偏差原因</w:t>
            </w:r>
          </w:p>
          <w:p>
            <w:pPr>
              <w:widowControl/>
              <w:spacing w:line="240" w:lineRule="exact"/>
              <w:jc w:val="center"/>
              <w:rPr>
                <w:rFonts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产出</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p>
          <w:p>
            <w:pPr>
              <w:widowControl/>
              <w:jc w:val="center"/>
              <w:rPr>
                <w:rFonts w:eastAsia="仿宋_GB2312"/>
                <w:color w:val="000000"/>
                <w:kern w:val="0"/>
                <w:szCs w:val="21"/>
              </w:rPr>
            </w:pPr>
            <w:r>
              <w:rPr>
                <w:rFonts w:eastAsia="仿宋_GB2312"/>
                <w:color w:val="000000"/>
                <w:kern w:val="0"/>
                <w:szCs w:val="21"/>
              </w:rPr>
              <w:t>(50分)</w:t>
            </w: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数量指标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气象预警频次</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1次/天</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1次/天</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1"/>
                <w:szCs w:val="21"/>
                <w:lang w:val="en-US" w:eastAsia="zh-CN" w:bidi="ar-SA"/>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采购预警装置</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1套</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1套</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1"/>
                <w:szCs w:val="21"/>
                <w:lang w:val="en-US" w:eastAsia="zh-CN" w:bidi="ar-SA"/>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质量指标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灾害预警发送率</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1"/>
                <w:szCs w:val="21"/>
                <w:lang w:val="en-US" w:eastAsia="zh-CN" w:bidi="ar-SA"/>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时效指标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完成及时率</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eastAsia="仿宋_GB2312"/>
                <w:color w:val="000000"/>
                <w:kern w:val="0"/>
                <w:szCs w:val="21"/>
              </w:rPr>
              <w:t>　</w:t>
            </w: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成本指标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成本合理规范率</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合理、规范</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合理、规范</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eastAsia="仿宋_GB2312"/>
                <w:color w:val="000000"/>
                <w:kern w:val="0"/>
                <w:szCs w:val="21"/>
              </w:rPr>
              <w:t>　</w:t>
            </w: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成本控制金额</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16万元</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16万元</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1"/>
                <w:szCs w:val="21"/>
                <w:lang w:val="en-US" w:eastAsia="zh-CN" w:bidi="ar-SA"/>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restart"/>
            <w:tcBorders>
              <w:top w:val="single" w:color="auto" w:sz="4" w:space="0"/>
              <w:left w:val="nil"/>
              <w:right w:val="single" w:color="auto" w:sz="4" w:space="0"/>
            </w:tcBorders>
            <w:noWrap w:val="0"/>
            <w:vAlign w:val="center"/>
          </w:tcPr>
          <w:p>
            <w:pPr>
              <w:jc w:val="left"/>
              <w:rPr>
                <w:rFonts w:hint="default" w:eastAsia="仿宋_GB2312"/>
                <w:color w:val="000000"/>
                <w:kern w:val="0"/>
                <w:szCs w:val="21"/>
                <w:lang w:val="en-US" w:eastAsia="zh-CN"/>
              </w:rPr>
            </w:pPr>
            <w:r>
              <w:rPr>
                <w:rFonts w:hint="eastAsia" w:eastAsia="仿宋_GB2312"/>
                <w:color w:val="000000"/>
                <w:kern w:val="0"/>
                <w:szCs w:val="21"/>
                <w:lang w:val="en-US" w:eastAsia="zh-CN"/>
              </w:rPr>
              <w:t>效益指标（30分）</w:t>
            </w:r>
          </w:p>
        </w:tc>
        <w:tc>
          <w:tcPr>
            <w:tcW w:w="1261"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减少自然灾害损失</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 w:val="15"/>
                <w:szCs w:val="15"/>
                <w:lang w:val="en-US" w:eastAsia="zh-CN"/>
              </w:rPr>
              <w:t>实际减少自然灾害损失</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减少</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20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1"/>
                <w:szCs w:val="21"/>
                <w:lang w:val="en-US" w:eastAsia="zh-CN" w:bidi="ar-SA"/>
              </w:rPr>
            </w:pPr>
            <w:r>
              <w:rPr>
                <w:rFonts w:eastAsia="仿宋_GB2312"/>
                <w:color w:val="000000"/>
                <w:kern w:val="0"/>
                <w:szCs w:val="21"/>
              </w:rPr>
              <w:t>　</w:t>
            </w:r>
            <w:r>
              <w:rPr>
                <w:rFonts w:hint="eastAsia" w:eastAsia="仿宋_GB2312"/>
                <w:color w:val="000000"/>
                <w:kern w:val="0"/>
                <w:szCs w:val="21"/>
                <w:lang w:val="en-US" w:eastAsia="zh-CN"/>
              </w:rPr>
              <w:t>20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widowControl/>
              <w:jc w:val="center"/>
              <w:rPr>
                <w:rFonts w:eastAsia="仿宋_GB2312"/>
                <w:color w:val="000000"/>
                <w:kern w:val="0"/>
                <w:szCs w:val="21"/>
              </w:rPr>
            </w:pPr>
          </w:p>
        </w:tc>
        <w:tc>
          <w:tcPr>
            <w:tcW w:w="99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长效保障机制</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全年保障</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建立</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1"/>
                <w:szCs w:val="21"/>
                <w:lang w:val="en-US" w:eastAsia="zh-CN" w:bidi="ar-SA"/>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left"/>
              <w:rPr>
                <w:rFonts w:eastAsia="仿宋_GB2312"/>
                <w:color w:val="000000"/>
                <w:kern w:val="0"/>
                <w:szCs w:val="21"/>
              </w:rPr>
            </w:pPr>
          </w:p>
        </w:tc>
        <w:tc>
          <w:tcPr>
            <w:tcW w:w="992" w:type="dxa"/>
            <w:tcBorders>
              <w:top w:val="single" w:color="auto" w:sz="4" w:space="0"/>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261" w:type="dxa"/>
            <w:tcBorders>
              <w:top w:val="single" w:color="auto" w:sz="4" w:space="0"/>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22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服务对象满意度</w:t>
            </w:r>
          </w:p>
        </w:tc>
        <w:tc>
          <w:tcPr>
            <w:tcW w:w="113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rPr>
              <w:t>≥</w:t>
            </w:r>
            <w:r>
              <w:rPr>
                <w:rFonts w:hint="eastAsia" w:eastAsia="仿宋_GB2312"/>
                <w:color w:val="000000"/>
                <w:kern w:val="0"/>
                <w:szCs w:val="21"/>
                <w:lang w:val="en-US" w:eastAsia="zh-CN"/>
              </w:rPr>
              <w:t>95%</w:t>
            </w:r>
          </w:p>
        </w:tc>
        <w:tc>
          <w:tcPr>
            <w:tcW w:w="113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rPr>
            </w:pPr>
            <w:r>
              <w:rPr>
                <w:rFonts w:eastAsia="仿宋_GB2312"/>
                <w:color w:val="000000"/>
                <w:kern w:val="0"/>
                <w:szCs w:val="21"/>
              </w:rPr>
              <w:t>　</w:t>
            </w:r>
            <w:r>
              <w:rPr>
                <w:rFonts w:hint="eastAsia" w:eastAsia="仿宋_GB2312"/>
                <w:color w:val="000000"/>
                <w:kern w:val="0"/>
                <w:szCs w:val="21"/>
              </w:rPr>
              <w:t>≥</w:t>
            </w:r>
            <w:r>
              <w:rPr>
                <w:rFonts w:hint="eastAsia" w:eastAsia="仿宋_GB2312"/>
                <w:color w:val="000000"/>
                <w:kern w:val="0"/>
                <w:szCs w:val="21"/>
                <w:lang w:val="en-US" w:eastAsia="zh-CN"/>
              </w:rPr>
              <w:t>92%</w:t>
            </w:r>
            <w:bookmarkStart w:id="0" w:name="_GoBack"/>
            <w:bookmarkEnd w:id="0"/>
          </w:p>
        </w:tc>
        <w:tc>
          <w:tcPr>
            <w:tcW w:w="828"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eastAsia="仿宋_GB2312"/>
                <w:color w:val="000000"/>
                <w:kern w:val="0"/>
                <w:szCs w:val="21"/>
              </w:rPr>
              <w:t>　</w:t>
            </w:r>
            <w:r>
              <w:rPr>
                <w:rFonts w:hint="eastAsia" w:eastAsia="仿宋_GB2312"/>
                <w:color w:val="000000"/>
                <w:kern w:val="0"/>
                <w:szCs w:val="21"/>
                <w:lang w:val="en-US" w:eastAsia="zh-CN"/>
              </w:rPr>
              <w:t>8</w:t>
            </w:r>
          </w:p>
        </w:tc>
        <w:tc>
          <w:tcPr>
            <w:tcW w:w="1418"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预警准确率，精准性有待提高</w:t>
            </w:r>
          </w:p>
        </w:tc>
      </w:tr>
      <w:tr>
        <w:tblPrEx>
          <w:tblCellMar>
            <w:top w:w="0" w:type="dxa"/>
            <w:left w:w="108" w:type="dxa"/>
            <w:bottom w:w="0" w:type="dxa"/>
            <w:right w:w="108" w:type="dxa"/>
          </w:tblCellMar>
        </w:tblPrEx>
        <w:trPr>
          <w:trHeight w:val="340" w:hRule="atLeast"/>
          <w:jc w:val="center"/>
        </w:trPr>
        <w:tc>
          <w:tcPr>
            <w:tcW w:w="6880" w:type="dxa"/>
            <w:gridSpan w:val="6"/>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828" w:type="dxa"/>
            <w:tcBorders>
              <w:top w:val="nil"/>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873"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98</w:t>
            </w:r>
          </w:p>
        </w:tc>
        <w:tc>
          <w:tcPr>
            <w:tcW w:w="1418"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p>
        </w:tc>
      </w:tr>
    </w:tbl>
    <w:p>
      <w:pPr>
        <w:spacing w:before="120" w:beforeLines="50"/>
      </w:pPr>
      <w:r>
        <w:rPr>
          <w:rFonts w:eastAsia="仿宋_GB2312"/>
          <w:sz w:val="24"/>
        </w:rPr>
        <w:t>填表人：         填报日期：           联系电话：       单位负责人签字：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iZDhmMmZkYTVjZGM1YzZiMWQ0YzY4ZjdlYWExMGMifQ=="/>
  </w:docVars>
  <w:rsids>
    <w:rsidRoot w:val="3C343492"/>
    <w:rsid w:val="00D54E04"/>
    <w:rsid w:val="0C930C1F"/>
    <w:rsid w:val="0CFE4450"/>
    <w:rsid w:val="178E6206"/>
    <w:rsid w:val="1DFC3B45"/>
    <w:rsid w:val="305B5409"/>
    <w:rsid w:val="38C20ECB"/>
    <w:rsid w:val="3C343492"/>
    <w:rsid w:val="487D713D"/>
    <w:rsid w:val="4CA2044C"/>
    <w:rsid w:val="59F87F5D"/>
    <w:rsid w:val="7CE21EFC"/>
    <w:rsid w:val="7D7952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1391</Words>
  <Characters>1476</Characters>
  <Lines>0</Lines>
  <Paragraphs>0</Paragraphs>
  <TotalTime>42</TotalTime>
  <ScaleCrop>false</ScaleCrop>
  <LinksUpToDate>false</LinksUpToDate>
  <CharactersWithSpaces>1585</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2021-03-15T06:51:00Z</dcterms:created>
  <dc:creator>Administrator</dc:creator>
  <cp:lastModifiedBy>虎虎</cp:lastModifiedBy>
  <dcterms:modified xsi:type="dcterms:W3CDTF">2022-05-16T01:08:26Z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C6CD5B2C6D5245CBB84BC4F80A5E1BC4</vt:lpwstr>
  </property>
</Properties>
</file>