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招商促进事务中心单位2021年度</w:t>
      </w:r>
      <w:r>
        <w:rPr>
          <w:rFonts w:eastAsia="方正小标宋_GBK"/>
          <w:sz w:val="36"/>
          <w:szCs w:val="36"/>
        </w:rPr>
        <w:t>部门整体支出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/>
          <w:sz w:val="36"/>
          <w:szCs w:val="36"/>
        </w:rPr>
        <w:t>绩效报告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>
      <w:pPr>
        <w:pStyle w:val="7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一、</w:t>
      </w:r>
      <w:r>
        <w:rPr>
          <w:rFonts w:ascii="Times New Roman" w:hAnsi="Times New Roman" w:eastAsia="黑体"/>
          <w:sz w:val="32"/>
          <w:szCs w:val="32"/>
        </w:rPr>
        <w:t>部门、单位基本情况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600" w:lineRule="exact"/>
        <w:ind w:left="0" w:right="0" w:firstLine="611" w:firstLineChars="200"/>
        <w:jc w:val="both"/>
        <w:textAlignment w:val="auto"/>
        <w:rPr>
          <w:rFonts w:hint="eastAsia" w:ascii="仿宋_GB2312" w:hAnsi="仿宋_GB2312" w:eastAsia="仿宋_GB2312" w:cs="仿宋_GB2312"/>
          <w:w w:val="95"/>
          <w:sz w:val="32"/>
          <w:szCs w:val="32"/>
        </w:rPr>
      </w:pP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（一）职能职责。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600" w:lineRule="exact"/>
        <w:ind w:left="0" w:right="0" w:firstLine="644" w:firstLineChars="200"/>
        <w:jc w:val="both"/>
        <w:textAlignment w:val="auto"/>
        <w:rPr>
          <w:rFonts w:hint="eastAsia" w:ascii="仿宋_GB2312" w:hAnsi="仿宋_GB2312" w:eastAsia="仿宋_GB2312" w:cs="仿宋_GB2312"/>
          <w:spacing w:val="1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参与贯彻落实中央、省关于招商引资和投资促进工作的方针政策和法律法规，配合做好我市有关政策措施和规划计划的研究起草与组织实施工作。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600" w:lineRule="exact"/>
        <w:ind w:left="0" w:right="0" w:firstLine="644" w:firstLineChars="200"/>
        <w:jc w:val="both"/>
        <w:textAlignment w:val="auto"/>
        <w:rPr>
          <w:rFonts w:hint="eastAsia" w:ascii="仿宋_GB2312" w:hAnsi="仿宋_GB2312" w:eastAsia="仿宋_GB2312" w:cs="仿宋_GB2312"/>
          <w:spacing w:val="1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统筹协调全市重大境内招商引资活动，做好境内招商引资方面对上汇报衔接工作，承担境内招商引资方面对下考核评价工作。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600" w:lineRule="exact"/>
        <w:ind w:left="0" w:right="0" w:firstLine="644" w:firstLineChars="200"/>
        <w:jc w:val="both"/>
        <w:textAlignment w:val="auto"/>
        <w:rPr>
          <w:rFonts w:hint="eastAsia" w:ascii="仿宋_GB2312" w:hAnsi="仿宋_GB2312" w:eastAsia="仿宋_GB2312" w:cs="仿宋_GB2312"/>
          <w:spacing w:val="1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做好市内企业对外投资开办企业（金融企业除外）有关事项核准工作。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600" w:lineRule="exact"/>
        <w:ind w:left="0" w:right="0" w:firstLine="644" w:firstLineChars="200"/>
        <w:jc w:val="both"/>
        <w:textAlignment w:val="auto"/>
        <w:rPr>
          <w:rFonts w:hint="eastAsia" w:ascii="仿宋_GB2312" w:hAnsi="仿宋_GB2312" w:eastAsia="仿宋_GB2312" w:cs="仿宋_GB2312"/>
          <w:spacing w:val="1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指导和协调区域经济合作以及资金、物资、技术、信息交流与合作工作，参与有关经济技术协作与横向经济联合项目的立项审批；做好内资投资促进方面对上汇报衔接工作，承担内资投资促进方面对下考核评价工作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600" w:lineRule="exact"/>
        <w:ind w:left="0" w:right="0" w:firstLine="644" w:firstLineChars="200"/>
        <w:jc w:val="both"/>
        <w:textAlignment w:val="auto"/>
        <w:rPr>
          <w:rFonts w:hint="default" w:ascii="仿宋_GB2312" w:hAnsi="仿宋_GB2312" w:eastAsia="仿宋_GB2312" w:cs="仿宋_GB2312"/>
          <w:spacing w:val="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负责落实上级相关工作部署、政策及其它事项，并及时报告落实情况。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600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600" w:lineRule="exact"/>
        <w:ind w:left="0" w:right="0" w:firstLine="644" w:firstLineChars="200"/>
        <w:jc w:val="both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根据市编办津编发〔2019〕67号《关于市直事业单位有关机构编制事项的通知》，市招商促进事务中心为市政府直属正科级公益类事业单位。根据编委核定，中心内设4个部室，分别为综合部、招商服务部、项目策划部、投资促进部。</w:t>
      </w:r>
    </w:p>
    <w:p>
      <w:pPr>
        <w:pStyle w:val="7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二、</w:t>
      </w:r>
      <w:r>
        <w:rPr>
          <w:rFonts w:ascii="Times New Roman" w:hAnsi="Times New Roman" w:eastAsia="黑体"/>
          <w:sz w:val="32"/>
          <w:szCs w:val="32"/>
        </w:rPr>
        <w:t>一般公共预算支出情况</w:t>
      </w:r>
    </w:p>
    <w:p>
      <w:pPr>
        <w:pStyle w:val="7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（一）</w:t>
      </w:r>
      <w:r>
        <w:rPr>
          <w:rFonts w:ascii="Times New Roman" w:hAnsi="Times New Roman" w:eastAsia="黑体"/>
          <w:sz w:val="32"/>
          <w:szCs w:val="32"/>
        </w:rPr>
        <w:t>基本支出情况</w:t>
      </w:r>
    </w:p>
    <w:p>
      <w:pPr>
        <w:widowControl/>
        <w:spacing w:line="600" w:lineRule="exact"/>
        <w:ind w:firstLine="66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eastAsia="仿宋_GB2312"/>
          <w:sz w:val="32"/>
          <w:szCs w:val="32"/>
        </w:rPr>
        <w:t>2021年本部门基本支出预算数55.26万元，主要是为保障部门正常运转、完成日常工作任务而发生的各项支出，包括用于基本工资、津贴补贴等人员经费以及办公费、印刷费、水电费</w:t>
      </w:r>
      <w:r>
        <w:rPr>
          <w:rFonts w:hint="eastAsia" w:eastAsia="仿宋_GB2312"/>
          <w:sz w:val="32"/>
          <w:szCs w:val="32"/>
        </w:rPr>
        <w:t>、差旅</w:t>
      </w:r>
      <w:r>
        <w:rPr>
          <w:rFonts w:eastAsia="仿宋_GB2312"/>
          <w:sz w:val="32"/>
          <w:szCs w:val="32"/>
        </w:rPr>
        <w:t>费等公用经费。</w:t>
      </w:r>
    </w:p>
    <w:p>
      <w:pPr>
        <w:pStyle w:val="7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（二）</w:t>
      </w:r>
      <w:r>
        <w:rPr>
          <w:rFonts w:ascii="Times New Roman" w:hAnsi="Times New Roman" w:eastAsia="黑体"/>
          <w:sz w:val="32"/>
          <w:szCs w:val="32"/>
        </w:rPr>
        <w:t>项目支出情况</w:t>
      </w:r>
    </w:p>
    <w:p>
      <w:pPr>
        <w:pStyle w:val="7"/>
        <w:widowControl/>
        <w:spacing w:line="600" w:lineRule="exact"/>
        <w:ind w:left="640" w:firstLine="0" w:firstLineChars="0"/>
        <w:jc w:val="left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2021年本部门</w:t>
      </w:r>
      <w:r>
        <w:rPr>
          <w:rFonts w:hint="eastAsia" w:eastAsia="仿宋_GB2312"/>
          <w:sz w:val="32"/>
          <w:szCs w:val="32"/>
        </w:rPr>
        <w:t>无</w:t>
      </w:r>
      <w:r>
        <w:rPr>
          <w:rFonts w:eastAsia="仿宋_GB2312"/>
          <w:sz w:val="32"/>
          <w:szCs w:val="32"/>
        </w:rPr>
        <w:t>项目支出预算</w:t>
      </w:r>
      <w:r>
        <w:rPr>
          <w:rFonts w:hint="eastAsia" w:eastAsia="仿宋_GB2312"/>
          <w:sz w:val="32"/>
          <w:szCs w:val="32"/>
        </w:rPr>
        <w:t>。</w:t>
      </w:r>
    </w:p>
    <w:p>
      <w:pPr>
        <w:pStyle w:val="7"/>
        <w:widowControl/>
        <w:spacing w:line="600" w:lineRule="exact"/>
        <w:ind w:left="640" w:firstLine="0" w:firstLine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三、</w:t>
      </w:r>
      <w:r>
        <w:rPr>
          <w:rFonts w:ascii="Times New Roman" w:hAnsi="Times New Roman" w:eastAsia="黑体"/>
          <w:sz w:val="32"/>
          <w:szCs w:val="32"/>
        </w:rPr>
        <w:t>政府性基金预算支出情况</w:t>
      </w:r>
    </w:p>
    <w:p>
      <w:pPr>
        <w:widowControl/>
        <w:spacing w:line="600" w:lineRule="exact"/>
        <w:ind w:firstLine="66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eastAsia="仿宋_GB2312"/>
          <w:sz w:val="32"/>
          <w:szCs w:val="32"/>
        </w:rPr>
        <w:t>2021年本部门无政府性基金安排的支出</w:t>
      </w:r>
      <w:r>
        <w:rPr>
          <w:rFonts w:hint="eastAsia"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四</w:t>
      </w:r>
      <w:r>
        <w:rPr>
          <w:rFonts w:eastAsia="黑体"/>
          <w:sz w:val="32"/>
          <w:szCs w:val="32"/>
        </w:rPr>
        <w:t>、部门整体支出绩效情况</w:t>
      </w:r>
    </w:p>
    <w:p>
      <w:pPr>
        <w:widowControl/>
        <w:spacing w:line="600" w:lineRule="exact"/>
        <w:ind w:firstLine="645"/>
        <w:jc w:val="left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eastAsia="仿宋_GB2312"/>
          <w:bCs/>
          <w:kern w:val="0"/>
          <w:sz w:val="32"/>
          <w:szCs w:val="32"/>
        </w:rPr>
        <w:t>纳入2021年部门整体支出绩效目标的金额为</w:t>
      </w:r>
      <w:r>
        <w:rPr>
          <w:rFonts w:eastAsia="仿宋_GB2312"/>
          <w:sz w:val="32"/>
          <w:szCs w:val="32"/>
        </w:rPr>
        <w:t>55.26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>
        <w:rPr>
          <w:rFonts w:eastAsia="仿宋_GB2312"/>
          <w:sz w:val="32"/>
          <w:szCs w:val="32"/>
        </w:rPr>
        <w:t>55.26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>
        <w:rPr>
          <w:rFonts w:eastAsia="仿宋_GB2312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万元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。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2021年，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招商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中心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按照市委市政府工作部署，精心谋划、真抓实干，围绕“工业立市、产业兴城”战略目标和优势产业链开展招商引进，招商引资工作取得较好业绩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。新引进招商引资项目30个，协议投资额332.19亿元。其中，10亿元以上项目6个，5亿元以上项目1个，亿元以上项目10个。津市港二期、引航生物制造产业园、华能电化学储能电站、利尔生物发酵技术产业建设、瑞能华辉年产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3万吨混合制冷剂等重大项目落户津市。</w:t>
      </w:r>
    </w:p>
    <w:p>
      <w:pPr>
        <w:widowControl/>
        <w:spacing w:line="600" w:lineRule="exact"/>
        <w:ind w:firstLine="645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2021年，先后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京津冀、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珠三角、长三角等发达地区拜访战略投资者、行业领军企业，重点围绕生物医药（医疗器械）、绿色化工产业链的上下游开展招商对接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。如书记、市长亲自带队前往三诺生物、利尔化学等重点企业考察对接。全年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，市领导带头外出招商考察70余次，累计接待来津考察企业或客商80批次。如接待了南京诺尔曼、成都美域高制药、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站胜集团、华腾制药等国内知名企业来津考察。</w:t>
      </w:r>
      <w:bookmarkStart w:id="0" w:name="_GoBack"/>
      <w:bookmarkEnd w:id="0"/>
      <w:r>
        <w:rPr>
          <w:rFonts w:hint="eastAsia" w:eastAsia="仿宋_GB2312" w:cs="Times New Roman"/>
          <w:sz w:val="32"/>
          <w:szCs w:val="32"/>
          <w:lang w:val="en-US" w:eastAsia="zh-CN"/>
        </w:rPr>
        <w:t>累计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参加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活动10余次，如赴重庆</w:t>
      </w:r>
      <w:r>
        <w:rPr>
          <w:rFonts w:hint="eastAsia" w:ascii="仿宋_GB2312" w:hAnsi="仿宋_GB2312" w:eastAsia="仿宋_GB2312" w:cs="仿宋_GB2312"/>
          <w:sz w:val="32"/>
          <w:szCs w:val="32"/>
        </w:rPr>
        <w:t>参观考察第十八届中国国际检验医学暨输血仪器试剂博览会、第一届中国国际IVD上游原材料暨制造流通供应链博览会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等。组织了重庆招商引资推介会等活动。</w:t>
      </w:r>
    </w:p>
    <w:p>
      <w:pPr>
        <w:widowControl/>
        <w:spacing w:line="600" w:lineRule="exact"/>
        <w:ind w:firstLine="645"/>
        <w:jc w:val="left"/>
        <w:rPr>
          <w:rFonts w:hint="default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全面完成招商促进事务中心2021年部门整体绩效目标。</w:t>
      </w:r>
    </w:p>
    <w:p>
      <w:pPr>
        <w:pStyle w:val="7"/>
        <w:widowControl/>
        <w:spacing w:line="600" w:lineRule="exact"/>
        <w:ind w:left="640" w:firstLine="0" w:firstLine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五</w:t>
      </w:r>
      <w:r>
        <w:rPr>
          <w:rFonts w:hint="eastAsia" w:ascii="Times New Roman" w:hAnsi="Times New Roman" w:eastAsia="黑体"/>
          <w:sz w:val="32"/>
          <w:szCs w:val="32"/>
        </w:rPr>
        <w:t>、</w:t>
      </w:r>
      <w:r>
        <w:rPr>
          <w:rFonts w:ascii="Times New Roman" w:hAnsi="Times New Roman" w:eastAsia="黑体"/>
          <w:sz w:val="32"/>
          <w:szCs w:val="32"/>
        </w:rPr>
        <w:t>存在的问题及原因分析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无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六</w:t>
      </w:r>
      <w:r>
        <w:rPr>
          <w:rFonts w:eastAsia="黑体"/>
          <w:sz w:val="32"/>
          <w:szCs w:val="32"/>
        </w:rPr>
        <w:t>、下一步改进措施</w:t>
      </w:r>
    </w:p>
    <w:p>
      <w:pPr>
        <w:widowControl/>
        <w:spacing w:line="600" w:lineRule="exact"/>
        <w:ind w:firstLine="640" w:firstLineChars="200"/>
        <w:jc w:val="left"/>
        <w:rPr>
          <w:rFonts w:hint="eastAsia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无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七</w:t>
      </w:r>
      <w:r>
        <w:rPr>
          <w:rFonts w:eastAsia="黑体"/>
          <w:sz w:val="32"/>
          <w:szCs w:val="32"/>
        </w:rPr>
        <w:t>、其他需要说明的情况</w:t>
      </w:r>
    </w:p>
    <w:p>
      <w:pPr>
        <w:widowControl/>
        <w:spacing w:line="600" w:lineRule="exact"/>
        <w:ind w:firstLine="640" w:firstLineChars="200"/>
        <w:jc w:val="left"/>
      </w:pPr>
      <w:r>
        <w:rPr>
          <w:rFonts w:hint="eastAsia" w:eastAsia="仿宋_GB2312"/>
          <w:sz w:val="32"/>
          <w:szCs w:val="32"/>
          <w:lang w:eastAsia="zh-CN"/>
        </w:rPr>
        <w:t>无</w:t>
      </w:r>
      <w:r>
        <w:rPr>
          <w:rFonts w:eastAsia="仿宋_GB2312"/>
          <w:sz w:val="32"/>
          <w:szCs w:val="32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76E09"/>
    <w:rsid w:val="3A076E09"/>
    <w:rsid w:val="3B8F3226"/>
    <w:rsid w:val="4BDE7582"/>
    <w:rsid w:val="5A9D5D9B"/>
    <w:rsid w:val="7F000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1"/>
    <w:pPr>
      <w:spacing w:before="85"/>
      <w:ind w:left="751"/>
      <w:outlineLvl w:val="1"/>
    </w:pPr>
    <w:rPr>
      <w:rFonts w:ascii="Microsoft JhengHei" w:hAnsi="Microsoft JhengHei" w:eastAsia="Microsoft JhengHei" w:cs="Microsoft JhengHei"/>
      <w:b/>
      <w:bCs/>
      <w:sz w:val="32"/>
      <w:szCs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2"/>
    <w:basedOn w:val="1"/>
    <w:qFormat/>
    <w:uiPriority w:val="99"/>
    <w:pPr>
      <w:shd w:val="clear" w:color="auto" w:fill="FFFFFF"/>
      <w:spacing w:before="100" w:beforeAutospacing="1" w:after="100" w:afterAutospacing="1"/>
      <w:ind w:left="562"/>
      <w:jc w:val="center"/>
    </w:pPr>
    <w:rPr>
      <w:rFonts w:ascii="宋体" w:hAnsi="宋体" w:cs="宋体"/>
      <w:b/>
      <w:bCs/>
    </w:rPr>
  </w:style>
  <w:style w:type="paragraph" w:styleId="4">
    <w:name w:val="Body Text"/>
    <w:basedOn w:val="1"/>
    <w:qFormat/>
    <w:uiPriority w:val="1"/>
    <w:pPr>
      <w:spacing w:before="190"/>
      <w:ind w:left="120"/>
    </w:pPr>
    <w:rPr>
      <w:rFonts w:ascii="宋体" w:hAnsi="宋体" w:eastAsia="宋体" w:cs="宋体"/>
      <w:sz w:val="32"/>
      <w:szCs w:val="32"/>
      <w:lang w:val="en-US" w:eastAsia="zh-CN" w:bidi="ar-SA"/>
    </w:rPr>
  </w:style>
  <w:style w:type="paragraph" w:styleId="7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1101</Words>
  <Characters>1150</Characters>
  <Lines>0</Lines>
  <Paragraphs>0</Paragraphs>
  <TotalTime>4</TotalTime>
  <ScaleCrop>false</ScaleCrop>
  <LinksUpToDate>false</LinksUpToDate>
  <CharactersWithSpaces>1150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2021-03-15T06:50:00Z</dcterms:created>
  <dc:creator>Administrator</dc:creator>
  <cp:lastModifiedBy>鸭鸭</cp:lastModifiedBy>
  <dcterms:modified xsi:type="dcterms:W3CDTF">2022-04-14T04:44:10Z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