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津市市科学技术局2021年度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4"/>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pStyle w:val="4"/>
        <w:widowControl/>
        <w:numPr>
          <w:ilvl w:val="0"/>
          <w:numId w:val="2"/>
        </w:numPr>
        <w:spacing w:line="600" w:lineRule="exact"/>
        <w:ind w:firstLineChars="0"/>
        <w:rPr>
          <w:rFonts w:eastAsia="仿宋_GB2312"/>
          <w:sz w:val="32"/>
          <w:szCs w:val="32"/>
        </w:rPr>
      </w:pPr>
      <w:r>
        <w:rPr>
          <w:rFonts w:hint="eastAsia" w:eastAsia="仿宋_GB2312"/>
          <w:sz w:val="32"/>
          <w:szCs w:val="32"/>
        </w:rPr>
        <w:t>机构和人员构成</w:t>
      </w:r>
    </w:p>
    <w:p>
      <w:pPr>
        <w:widowControl/>
        <w:spacing w:line="600" w:lineRule="exact"/>
        <w:ind w:firstLine="800" w:firstLineChars="250"/>
        <w:rPr>
          <w:rFonts w:hint="eastAsia" w:eastAsia="仿宋_GB2312"/>
          <w:sz w:val="32"/>
          <w:szCs w:val="32"/>
        </w:rPr>
      </w:pPr>
      <w:r>
        <w:rPr>
          <w:rFonts w:hint="eastAsia" w:eastAsia="仿宋_GB2312"/>
          <w:sz w:val="32"/>
          <w:szCs w:val="32"/>
        </w:rPr>
        <w:t>津市市科学技术局属一级预算单位 。内设</w:t>
      </w:r>
      <w:r>
        <w:rPr>
          <w:rFonts w:hint="eastAsia" w:eastAsia="仿宋_GB2312"/>
          <w:sz w:val="32"/>
          <w:szCs w:val="32"/>
          <w:lang w:eastAsia="zh-CN"/>
        </w:rPr>
        <w:t>办公室</w:t>
      </w:r>
      <w:r>
        <w:rPr>
          <w:rFonts w:hint="eastAsia" w:eastAsia="仿宋_GB2312"/>
          <w:sz w:val="32"/>
          <w:szCs w:val="32"/>
        </w:rPr>
        <w:t>办公室（含行政审批办）、高新技术股与成果转化股、农村社会发展股3个职能科室。津市市科学技术局下属有生产力促进中心和科技情报信息所两个事业机构。核定编制</w:t>
      </w:r>
      <w:r>
        <w:rPr>
          <w:rFonts w:hint="eastAsia" w:eastAsia="仿宋_GB2312"/>
          <w:sz w:val="32"/>
          <w:szCs w:val="32"/>
          <w:lang w:val="en-US" w:eastAsia="zh-CN"/>
        </w:rPr>
        <w:t>10</w:t>
      </w:r>
      <w:r>
        <w:rPr>
          <w:rFonts w:hint="eastAsia" w:eastAsia="仿宋_GB2312"/>
          <w:sz w:val="32"/>
          <w:szCs w:val="32"/>
        </w:rPr>
        <w:t>人（行政编制人数6人，事业编制人数</w:t>
      </w:r>
      <w:r>
        <w:rPr>
          <w:rFonts w:hint="eastAsia" w:eastAsia="仿宋_GB2312"/>
          <w:sz w:val="32"/>
          <w:szCs w:val="32"/>
          <w:lang w:val="en-US" w:eastAsia="zh-CN"/>
        </w:rPr>
        <w:t>4</w:t>
      </w:r>
      <w:r>
        <w:rPr>
          <w:rFonts w:hint="eastAsia" w:eastAsia="仿宋_GB2312"/>
          <w:sz w:val="32"/>
          <w:szCs w:val="32"/>
        </w:rPr>
        <w:t>人，其中书记1名，局长1名，副局长2名，非领导职务1名，股级任职数</w:t>
      </w:r>
      <w:r>
        <w:rPr>
          <w:rFonts w:hint="eastAsia" w:eastAsia="仿宋_GB2312"/>
          <w:sz w:val="32"/>
          <w:szCs w:val="32"/>
          <w:lang w:val="en-US" w:eastAsia="zh-CN"/>
        </w:rPr>
        <w:t>4</w:t>
      </w:r>
      <w:r>
        <w:rPr>
          <w:rFonts w:hint="eastAsia" w:eastAsia="仿宋_GB2312"/>
          <w:sz w:val="32"/>
          <w:szCs w:val="32"/>
        </w:rPr>
        <w:t>名）。202</w:t>
      </w:r>
      <w:r>
        <w:rPr>
          <w:rFonts w:hint="eastAsia" w:eastAsia="仿宋_GB2312"/>
          <w:sz w:val="32"/>
          <w:szCs w:val="32"/>
          <w:lang w:val="en-US" w:eastAsia="zh-CN"/>
        </w:rPr>
        <w:t>1</w:t>
      </w:r>
      <w:r>
        <w:rPr>
          <w:rFonts w:hint="eastAsia" w:eastAsia="仿宋_GB2312"/>
          <w:sz w:val="32"/>
          <w:szCs w:val="32"/>
        </w:rPr>
        <w:t>年末实有在职在编人员</w:t>
      </w:r>
      <w:r>
        <w:rPr>
          <w:rFonts w:hint="eastAsia" w:eastAsia="仿宋_GB2312"/>
          <w:sz w:val="32"/>
          <w:szCs w:val="32"/>
          <w:lang w:val="en-US" w:eastAsia="zh-CN"/>
        </w:rPr>
        <w:t>9</w:t>
      </w:r>
      <w:r>
        <w:rPr>
          <w:rFonts w:hint="eastAsia" w:eastAsia="仿宋_GB2312"/>
          <w:sz w:val="32"/>
          <w:szCs w:val="32"/>
        </w:rPr>
        <w:t>人、临聘人员</w:t>
      </w:r>
      <w:r>
        <w:rPr>
          <w:rFonts w:hint="eastAsia" w:eastAsia="仿宋_GB2312"/>
          <w:sz w:val="32"/>
          <w:szCs w:val="32"/>
          <w:lang w:val="en-US" w:eastAsia="zh-CN"/>
        </w:rPr>
        <w:t>3</w:t>
      </w:r>
      <w:r>
        <w:rPr>
          <w:rFonts w:hint="eastAsia" w:eastAsia="仿宋_GB2312"/>
          <w:sz w:val="32"/>
          <w:szCs w:val="32"/>
        </w:rPr>
        <w:t>人。机构办公地址：湖南省津市市津市大道17号。法人证书统一社会信用代码为11430781758020128W，法定代表人</w:t>
      </w:r>
      <w:r>
        <w:rPr>
          <w:rFonts w:hint="eastAsia" w:eastAsia="仿宋_GB2312"/>
          <w:sz w:val="32"/>
          <w:szCs w:val="32"/>
          <w:lang w:eastAsia="zh-CN"/>
        </w:rPr>
        <w:t>刘丹</w:t>
      </w:r>
      <w:r>
        <w:rPr>
          <w:rFonts w:hint="eastAsia" w:eastAsia="仿宋_GB2312"/>
          <w:sz w:val="32"/>
          <w:szCs w:val="32"/>
        </w:rPr>
        <w:t>。</w:t>
      </w:r>
    </w:p>
    <w:p>
      <w:pPr>
        <w:pStyle w:val="4"/>
        <w:widowControl/>
        <w:spacing w:line="600" w:lineRule="exact"/>
        <w:ind w:left="-55" w:leftChars="-26" w:firstLine="640"/>
        <w:rPr>
          <w:rFonts w:eastAsia="仿宋_GB2312"/>
          <w:sz w:val="32"/>
          <w:szCs w:val="32"/>
        </w:rPr>
      </w:pPr>
      <w:r>
        <w:rPr>
          <w:rFonts w:hint="eastAsia" w:eastAsia="仿宋_GB2312"/>
          <w:sz w:val="32"/>
          <w:szCs w:val="32"/>
        </w:rPr>
        <w:t>（二）单位主要职责</w:t>
      </w:r>
    </w:p>
    <w:p>
      <w:pPr>
        <w:pStyle w:val="4"/>
        <w:widowControl/>
        <w:spacing w:line="600" w:lineRule="exact"/>
        <w:ind w:left="-55" w:leftChars="-26" w:firstLine="640"/>
        <w:rPr>
          <w:rFonts w:ascii="Times New Roman" w:hAnsi="Times New Roman" w:eastAsia="仿宋_GB2312"/>
          <w:sz w:val="32"/>
          <w:szCs w:val="32"/>
        </w:rPr>
      </w:pPr>
      <w:r>
        <w:rPr>
          <w:rFonts w:hint="eastAsia" w:ascii="Times New Roman" w:hAnsi="Times New Roman" w:eastAsia="仿宋_GB2312"/>
          <w:sz w:val="32"/>
          <w:szCs w:val="32"/>
        </w:rPr>
        <w:t>1、拟订全市科技发展、引进国外及国内智力规划和措施并组织实施。</w:t>
      </w:r>
    </w:p>
    <w:p>
      <w:pPr>
        <w:pStyle w:val="4"/>
        <w:widowControl/>
        <w:spacing w:line="600" w:lineRule="exact"/>
        <w:ind w:left="-55" w:leftChars="-26" w:firstLine="640"/>
        <w:rPr>
          <w:rFonts w:ascii="Times New Roman" w:hAnsi="Times New Roman" w:eastAsia="仿宋_GB2312"/>
          <w:sz w:val="32"/>
          <w:szCs w:val="32"/>
        </w:rPr>
      </w:pPr>
      <w:r>
        <w:rPr>
          <w:rFonts w:hint="eastAsia" w:ascii="Times New Roman" w:hAnsi="Times New Roman" w:eastAsia="仿宋_GB2312"/>
          <w:sz w:val="32"/>
          <w:szCs w:val="32"/>
        </w:rPr>
        <w:t>2、统筹推进全市创新体系建设和科技体制改革，会同有关部门健全技术创新激励机制。优化科研体系建设，指导科研机构改革发展，推动企业科技创新能力建设，承担推进科技军民融合发展相关工作，推进全市重大科技决策咨询制度建设。拟订科学普及和科学传播规划、措施。统筹推进创新型城市建设。</w:t>
      </w:r>
    </w:p>
    <w:p>
      <w:pPr>
        <w:pStyle w:val="4"/>
        <w:widowControl/>
        <w:spacing w:line="600" w:lineRule="exact"/>
        <w:ind w:left="-55" w:leftChars="-26" w:firstLine="640"/>
        <w:rPr>
          <w:rFonts w:ascii="Times New Roman" w:hAnsi="Times New Roman" w:eastAsia="仿宋_GB2312"/>
          <w:sz w:val="32"/>
          <w:szCs w:val="32"/>
        </w:rPr>
      </w:pPr>
      <w:r>
        <w:rPr>
          <w:rFonts w:hint="eastAsia" w:ascii="Times New Roman" w:hAnsi="Times New Roman" w:eastAsia="仿宋_GB2312"/>
          <w:sz w:val="32"/>
          <w:szCs w:val="32"/>
        </w:rPr>
        <w:t>3、牵头建立统一的市级科技管理平台和科研项目资金协调、评估、监管机制。会同有关部门提出优化配置科技资源的政策措施建议，推动多元化科技投入体系建设，协调管理市级财政科技计划（专项、资金等）并监督实施。</w:t>
      </w:r>
    </w:p>
    <w:p>
      <w:pPr>
        <w:pStyle w:val="4"/>
        <w:widowControl/>
        <w:spacing w:line="600" w:lineRule="exact"/>
        <w:ind w:left="-55" w:leftChars="-26" w:firstLine="640"/>
        <w:rPr>
          <w:rFonts w:ascii="Times New Roman" w:hAnsi="Times New Roman" w:eastAsia="仿宋_GB2312"/>
          <w:sz w:val="32"/>
          <w:szCs w:val="32"/>
        </w:rPr>
      </w:pPr>
      <w:r>
        <w:rPr>
          <w:rFonts w:hint="eastAsia" w:ascii="Times New Roman" w:hAnsi="Times New Roman" w:eastAsia="仿宋_GB2312"/>
          <w:sz w:val="32"/>
          <w:szCs w:val="32"/>
        </w:rPr>
        <w:t>4、拟订全市基础研究规划和措施办法并组织实施，组织协调市级重大基础研究和应用基础研究。参与编制重大科技基础设施建设规划并监督实施，牵头组织市级重大科技创新基地建设，推动科研条件保障建设和科技资源开放共享。</w:t>
      </w:r>
    </w:p>
    <w:p>
      <w:pPr>
        <w:pStyle w:val="4"/>
        <w:widowControl/>
        <w:spacing w:line="600" w:lineRule="exact"/>
        <w:ind w:left="-55" w:leftChars="-26" w:firstLine="640"/>
        <w:rPr>
          <w:rFonts w:ascii="Times New Roman" w:hAnsi="Times New Roman" w:eastAsia="仿宋_GB2312"/>
          <w:sz w:val="32"/>
          <w:szCs w:val="32"/>
        </w:rPr>
      </w:pPr>
      <w:r>
        <w:rPr>
          <w:rFonts w:hint="eastAsia" w:ascii="Times New Roman" w:hAnsi="Times New Roman" w:eastAsia="仿宋_GB2312"/>
          <w:sz w:val="32"/>
          <w:szCs w:val="32"/>
        </w:rPr>
        <w:t>5、编制市级重大科技项目计划并监督实施，统筹关键共性技术、前沿引领技术、现代工程技术、颠覆性技术研发和创新，牵头组织重大技术攻关和成果应用示范。</w:t>
      </w:r>
    </w:p>
    <w:p>
      <w:pPr>
        <w:pStyle w:val="4"/>
        <w:widowControl/>
        <w:spacing w:line="600" w:lineRule="exact"/>
        <w:ind w:left="-55" w:leftChars="-26" w:firstLine="640"/>
        <w:rPr>
          <w:rFonts w:ascii="Times New Roman" w:hAnsi="Times New Roman" w:eastAsia="仿宋_GB2312"/>
          <w:sz w:val="32"/>
          <w:szCs w:val="32"/>
        </w:rPr>
      </w:pPr>
      <w:r>
        <w:rPr>
          <w:rFonts w:hint="eastAsia" w:ascii="Times New Roman" w:hAnsi="Times New Roman" w:eastAsia="仿宋_GB2312"/>
          <w:sz w:val="32"/>
          <w:szCs w:val="32"/>
        </w:rPr>
        <w:t>6、牵头科技成果转移转化体系建设，拟订科技成果转移转化和促进产学研结合的相关措施并监督实施。指导科技服务业、技术市场、科技金融结合组织发展。</w:t>
      </w:r>
    </w:p>
    <w:p>
      <w:pPr>
        <w:pStyle w:val="4"/>
        <w:widowControl/>
        <w:spacing w:line="600" w:lineRule="exact"/>
        <w:ind w:left="-55" w:leftChars="-26" w:firstLine="640"/>
        <w:rPr>
          <w:rFonts w:ascii="Times New Roman" w:hAnsi="Times New Roman" w:eastAsia="仿宋_GB2312"/>
          <w:sz w:val="32"/>
          <w:szCs w:val="32"/>
        </w:rPr>
      </w:pPr>
      <w:r>
        <w:rPr>
          <w:rFonts w:hint="eastAsia" w:ascii="Times New Roman" w:hAnsi="Times New Roman" w:eastAsia="仿宋_GB2312"/>
          <w:sz w:val="32"/>
          <w:szCs w:val="32"/>
        </w:rPr>
        <w:t>7、统筹全市科技创新体系建设，指导全市创新发展、科技资源合理布局和协同创新能力建设，推动高新技术园区建设。</w:t>
      </w:r>
    </w:p>
    <w:p>
      <w:pPr>
        <w:pStyle w:val="4"/>
        <w:widowControl/>
        <w:spacing w:line="600" w:lineRule="exact"/>
        <w:ind w:left="-55" w:leftChars="-26" w:firstLine="640"/>
        <w:rPr>
          <w:rFonts w:ascii="Times New Roman" w:hAnsi="Times New Roman" w:eastAsia="仿宋_GB2312"/>
          <w:sz w:val="32"/>
          <w:szCs w:val="32"/>
        </w:rPr>
      </w:pPr>
      <w:r>
        <w:rPr>
          <w:rFonts w:hint="eastAsia" w:ascii="Times New Roman" w:hAnsi="Times New Roman" w:eastAsia="仿宋_GB2312"/>
          <w:sz w:val="32"/>
          <w:szCs w:val="32"/>
        </w:rPr>
        <w:t>8、负责科技评价机制改革，统筹科研诚信建设，组织实施全市创新调查和科技报告制度，指导全市科技保密工作。</w:t>
      </w:r>
    </w:p>
    <w:p>
      <w:pPr>
        <w:pStyle w:val="4"/>
        <w:widowControl/>
        <w:spacing w:line="600" w:lineRule="exact"/>
        <w:ind w:left="-55" w:leftChars="-26" w:firstLine="640"/>
        <w:rPr>
          <w:rFonts w:ascii="Times New Roman" w:hAnsi="Times New Roman" w:eastAsia="仿宋_GB2312"/>
          <w:sz w:val="32"/>
          <w:szCs w:val="32"/>
        </w:rPr>
      </w:pPr>
      <w:r>
        <w:rPr>
          <w:rFonts w:hint="eastAsia" w:ascii="Times New Roman" w:hAnsi="Times New Roman" w:eastAsia="仿宋_GB2312"/>
          <w:sz w:val="32"/>
          <w:szCs w:val="32"/>
        </w:rPr>
        <w:t>9、会同有关部门拟订科技人才队伍建设规划和措施，建立健全科技人才评价和激励机制，组织实施科技人才计划，推动高端科技创新人才队伍建设。</w:t>
      </w:r>
    </w:p>
    <w:p>
      <w:pPr>
        <w:pStyle w:val="4"/>
        <w:widowControl/>
        <w:spacing w:line="600" w:lineRule="exact"/>
        <w:ind w:left="-55" w:leftChars="-26" w:firstLine="640"/>
        <w:rPr>
          <w:rFonts w:ascii="Times New Roman" w:hAnsi="Times New Roman" w:eastAsia="仿宋_GB2312"/>
          <w:sz w:val="32"/>
          <w:szCs w:val="32"/>
        </w:rPr>
      </w:pPr>
      <w:r>
        <w:rPr>
          <w:rFonts w:hint="eastAsia" w:ascii="Times New Roman" w:hAnsi="Times New Roman" w:eastAsia="仿宋_GB2312"/>
          <w:sz w:val="32"/>
          <w:szCs w:val="32"/>
        </w:rPr>
        <w:t xml:space="preserve">10、职能转变。围绕贯彻实施科教兴国战略、人才强国战略、创新驱动发展战略和创新引领开放崛起战略，加强、优化、转变政府科技管理和服务职能，完善科技创新制度和组织体系，加强宏观管理和统筹协调，减少微观管理和具体审批事项，加强事中事后监管和科研诚信建设。从研发管理向创新服务转变，深入推进科技计划管理改革，建立公开统一的市级科技管理平台，减少科技计划项目配置中的重复、分散、封闭、低效现象。                                              </w:t>
      </w:r>
    </w:p>
    <w:p>
      <w:pPr>
        <w:pStyle w:val="4"/>
        <w:widowControl/>
        <w:spacing w:line="600" w:lineRule="exact"/>
        <w:ind w:left="-55" w:leftChars="-26" w:firstLine="640"/>
        <w:rPr>
          <w:rFonts w:ascii="Times New Roman" w:hAnsi="Times New Roman" w:eastAsia="仿宋_GB2312"/>
          <w:sz w:val="32"/>
          <w:szCs w:val="32"/>
        </w:rPr>
      </w:pPr>
      <w:r>
        <w:rPr>
          <w:rFonts w:hint="eastAsia" w:ascii="Times New Roman" w:hAnsi="Times New Roman" w:eastAsia="仿宋_GB2312"/>
          <w:sz w:val="32"/>
          <w:szCs w:val="32"/>
        </w:rPr>
        <w:t>进一步改进科技人才评价机制，建立健全以创新能力、质量、贡献、绩效为导向的科技人才评价体系和激励办法，统筹市内科技人才队伍建设和引进国外智力工作。</w:t>
      </w:r>
    </w:p>
    <w:p>
      <w:pPr>
        <w:pStyle w:val="4"/>
        <w:widowControl/>
        <w:spacing w:line="600" w:lineRule="exact"/>
        <w:ind w:firstLine="960" w:firstLineChars="30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4"/>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仿宋_GB2312" w:cs="Times New Roman"/>
          <w:kern w:val="2"/>
          <w:sz w:val="32"/>
          <w:szCs w:val="32"/>
          <w:lang w:val="en-US" w:eastAsia="zh-CN" w:bidi="ar-SA"/>
        </w:rPr>
        <w:t>（一）基本支出情况</w:t>
      </w:r>
    </w:p>
    <w:p>
      <w:pPr>
        <w:widowControl/>
        <w:spacing w:line="480" w:lineRule="atLeast"/>
        <w:ind w:firstLine="48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本年基本支出</w:t>
      </w:r>
      <w:r>
        <w:rPr>
          <w:rFonts w:hint="eastAsia" w:eastAsia="仿宋_GB2312" w:cs="Times New Roman"/>
          <w:kern w:val="2"/>
          <w:sz w:val="32"/>
          <w:szCs w:val="32"/>
          <w:lang w:val="en-US" w:eastAsia="zh-CN" w:bidi="ar-SA"/>
        </w:rPr>
        <w:t>163.6</w:t>
      </w:r>
      <w:r>
        <w:rPr>
          <w:rFonts w:hint="eastAsia" w:ascii="Times New Roman" w:hAnsi="Times New Roman" w:eastAsia="仿宋_GB2312" w:cs="Times New Roman"/>
          <w:kern w:val="2"/>
          <w:sz w:val="32"/>
          <w:szCs w:val="32"/>
          <w:lang w:val="en-US" w:eastAsia="zh-CN" w:bidi="ar-SA"/>
        </w:rPr>
        <w:t>万元，占本年一般公共预算财政拨款总支出的</w:t>
      </w:r>
      <w:r>
        <w:rPr>
          <w:rFonts w:hint="eastAsia" w:eastAsia="仿宋_GB2312" w:cs="Times New Roman"/>
          <w:kern w:val="2"/>
          <w:sz w:val="32"/>
          <w:szCs w:val="32"/>
          <w:lang w:val="en-US" w:eastAsia="zh-CN" w:bidi="ar-SA"/>
        </w:rPr>
        <w:t>11.28</w:t>
      </w:r>
      <w:r>
        <w:rPr>
          <w:rFonts w:hint="eastAsia" w:ascii="Times New Roman" w:hAnsi="Times New Roman" w:eastAsia="仿宋_GB2312" w:cs="Times New Roman"/>
          <w:kern w:val="2"/>
          <w:sz w:val="32"/>
          <w:szCs w:val="32"/>
          <w:lang w:val="en-US" w:eastAsia="zh-CN" w:bidi="ar-SA"/>
        </w:rPr>
        <w:t>%。其中人员经费1</w:t>
      </w:r>
      <w:r>
        <w:rPr>
          <w:rFonts w:hint="eastAsia" w:eastAsia="仿宋_GB2312" w:cs="Times New Roman"/>
          <w:kern w:val="2"/>
          <w:sz w:val="32"/>
          <w:szCs w:val="32"/>
          <w:lang w:val="en-US" w:eastAsia="zh-CN" w:bidi="ar-SA"/>
        </w:rPr>
        <w:t>47.7</w:t>
      </w:r>
      <w:r>
        <w:rPr>
          <w:rFonts w:hint="eastAsia" w:ascii="Times New Roman" w:hAnsi="Times New Roman" w:eastAsia="仿宋_GB2312" w:cs="Times New Roman"/>
          <w:kern w:val="2"/>
          <w:sz w:val="32"/>
          <w:szCs w:val="32"/>
          <w:lang w:val="en-US" w:eastAsia="zh-CN" w:bidi="ar-SA"/>
        </w:rPr>
        <w:t>万元，占基本支出的</w:t>
      </w:r>
      <w:r>
        <w:rPr>
          <w:rFonts w:hint="eastAsia" w:eastAsia="仿宋_GB2312" w:cs="Times New Roman"/>
          <w:kern w:val="2"/>
          <w:sz w:val="32"/>
          <w:szCs w:val="32"/>
          <w:lang w:val="en-US" w:eastAsia="zh-CN" w:bidi="ar-SA"/>
        </w:rPr>
        <w:t>90.28</w:t>
      </w:r>
      <w:r>
        <w:rPr>
          <w:rFonts w:hint="eastAsia" w:ascii="Times New Roman" w:hAnsi="Times New Roman" w:eastAsia="仿宋_GB2312" w:cs="Times New Roman"/>
          <w:kern w:val="2"/>
          <w:sz w:val="32"/>
          <w:szCs w:val="32"/>
          <w:lang w:val="en-US" w:eastAsia="zh-CN" w:bidi="ar-SA"/>
        </w:rPr>
        <w:t>%；日常公用经费15</w:t>
      </w:r>
      <w:r>
        <w:rPr>
          <w:rFonts w:hint="eastAsia" w:eastAsia="仿宋_GB2312" w:cs="Times New Roman"/>
          <w:kern w:val="2"/>
          <w:sz w:val="32"/>
          <w:szCs w:val="32"/>
          <w:lang w:val="en-US" w:eastAsia="zh-CN" w:bidi="ar-SA"/>
        </w:rPr>
        <w:t>.9</w:t>
      </w:r>
      <w:r>
        <w:rPr>
          <w:rFonts w:hint="eastAsia" w:ascii="Times New Roman" w:hAnsi="Times New Roman" w:eastAsia="仿宋_GB2312" w:cs="Times New Roman"/>
          <w:kern w:val="2"/>
          <w:sz w:val="32"/>
          <w:szCs w:val="32"/>
          <w:lang w:val="en-US" w:eastAsia="zh-CN" w:bidi="ar-SA"/>
        </w:rPr>
        <w:t>万元，占基本支出的</w:t>
      </w:r>
      <w:r>
        <w:rPr>
          <w:rFonts w:hint="eastAsia" w:eastAsia="仿宋_GB2312" w:cs="Times New Roman"/>
          <w:kern w:val="2"/>
          <w:sz w:val="32"/>
          <w:szCs w:val="32"/>
          <w:lang w:val="en-US" w:eastAsia="zh-CN" w:bidi="ar-SA"/>
        </w:rPr>
        <w:t>9.72</w:t>
      </w:r>
      <w:r>
        <w:rPr>
          <w:rFonts w:hint="eastAsia" w:ascii="Times New Roman" w:hAnsi="Times New Roman" w:eastAsia="仿宋_GB2312" w:cs="Times New Roman"/>
          <w:kern w:val="2"/>
          <w:sz w:val="32"/>
          <w:szCs w:val="32"/>
          <w:lang w:val="en-US" w:eastAsia="zh-CN" w:bidi="ar-SA"/>
        </w:rPr>
        <w:t>%。</w:t>
      </w:r>
    </w:p>
    <w:p>
      <w:pPr>
        <w:pStyle w:val="4"/>
        <w:widowControl/>
        <w:numPr>
          <w:ilvl w:val="0"/>
          <w:numId w:val="2"/>
        </w:numPr>
        <w:spacing w:line="600" w:lineRule="exact"/>
        <w:ind w:left="1720" w:leftChars="0" w:hanging="1080" w:firstLineChars="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项目支出情况</w:t>
      </w:r>
    </w:p>
    <w:p>
      <w:pPr>
        <w:widowControl/>
        <w:spacing w:line="480" w:lineRule="atLeast"/>
        <w:ind w:left="640"/>
        <w:jc w:val="left"/>
        <w:rPr>
          <w:rFonts w:hint="default" w:ascii="宋体" w:hAnsi="宋体" w:eastAsia="宋体" w:cs="宋体"/>
          <w:color w:val="3D3D3D"/>
          <w:kern w:val="0"/>
          <w:sz w:val="28"/>
          <w:szCs w:val="28"/>
          <w:lang w:val="en-US" w:eastAsia="zh-CN"/>
        </w:rPr>
      </w:pPr>
      <w:r>
        <w:rPr>
          <w:rFonts w:hint="eastAsia" w:ascii="Times New Roman" w:hAnsi="Times New Roman" w:eastAsia="仿宋_GB2312" w:cs="Times New Roman"/>
          <w:kern w:val="2"/>
          <w:sz w:val="32"/>
          <w:szCs w:val="32"/>
          <w:lang w:val="en-US" w:eastAsia="zh-CN" w:bidi="ar-SA"/>
        </w:rPr>
        <w:t>项目支出1287</w:t>
      </w:r>
      <w:r>
        <w:rPr>
          <w:rFonts w:hint="eastAsia" w:eastAsia="仿宋_GB2312" w:cs="Times New Roman"/>
          <w:kern w:val="2"/>
          <w:sz w:val="32"/>
          <w:szCs w:val="32"/>
          <w:lang w:val="en-US" w:eastAsia="zh-CN" w:bidi="ar-SA"/>
        </w:rPr>
        <w:t>.2</w:t>
      </w:r>
      <w:r>
        <w:rPr>
          <w:rFonts w:hint="eastAsia" w:ascii="Times New Roman" w:hAnsi="Times New Roman" w:eastAsia="仿宋_GB2312" w:cs="Times New Roman"/>
          <w:kern w:val="2"/>
          <w:sz w:val="32"/>
          <w:szCs w:val="32"/>
          <w:lang w:val="en-US" w:eastAsia="zh-CN" w:bidi="ar-SA"/>
        </w:rPr>
        <w:t>万元，和年初预算持平。</w:t>
      </w:r>
      <w:r>
        <w:rPr>
          <w:rFonts w:hint="eastAsia" w:ascii="宋体" w:hAnsi="宋体" w:cs="宋体"/>
          <w:color w:val="3D3D3D"/>
          <w:kern w:val="0"/>
          <w:sz w:val="28"/>
          <w:szCs w:val="28"/>
          <w:lang w:val="en-US" w:eastAsia="zh-CN"/>
        </w:rPr>
        <w:t xml:space="preserve">  </w:t>
      </w:r>
    </w:p>
    <w:p>
      <w:pPr>
        <w:pStyle w:val="4"/>
        <w:widowControl/>
        <w:numPr>
          <w:numId w:val="0"/>
        </w:numPr>
        <w:spacing w:line="600" w:lineRule="exact"/>
        <w:ind w:firstLine="640" w:firstLineChars="200"/>
        <w:jc w:val="left"/>
        <w:rPr>
          <w:rFonts w:ascii="Times New Roman" w:hAnsi="Times New Roman" w:eastAsia="黑体"/>
          <w:sz w:val="32"/>
          <w:szCs w:val="32"/>
        </w:rPr>
      </w:pPr>
      <w:r>
        <w:rPr>
          <w:rFonts w:hint="eastAsia" w:ascii="Times New Roman" w:hAnsi="Times New Roman" w:eastAsia="黑体"/>
          <w:sz w:val="32"/>
          <w:szCs w:val="32"/>
          <w:lang w:eastAsia="zh-CN"/>
        </w:rPr>
        <w:t>三、</w:t>
      </w:r>
      <w:r>
        <w:rPr>
          <w:rFonts w:ascii="Times New Roman" w:hAnsi="Times New Roman" w:eastAsia="黑体"/>
          <w:sz w:val="32"/>
          <w:szCs w:val="32"/>
        </w:rPr>
        <w:t>政府性基金预算支出情况</w:t>
      </w:r>
    </w:p>
    <w:p>
      <w:pPr>
        <w:pStyle w:val="4"/>
        <w:widowControl/>
        <w:spacing w:line="600" w:lineRule="exact"/>
        <w:ind w:left="-55" w:leftChars="-26" w:firstLine="640"/>
        <w:rPr>
          <w:rFonts w:hint="eastAsia" w:ascii="Times New Roman" w:hAnsi="Times New Roman" w:eastAsia="仿宋_GB2312"/>
          <w:sz w:val="32"/>
          <w:szCs w:val="32"/>
          <w:lang w:eastAsia="zh-CN"/>
        </w:rPr>
      </w:pPr>
      <w:r>
        <w:rPr>
          <w:rFonts w:hint="eastAsia" w:ascii="Times New Roman" w:hAnsi="Times New Roman" w:eastAsia="仿宋_GB2312"/>
          <w:sz w:val="32"/>
          <w:szCs w:val="32"/>
          <w:lang w:eastAsia="zh-CN"/>
        </w:rPr>
        <w:t>本单位无政府性基金预算支出。</w:t>
      </w:r>
    </w:p>
    <w:p>
      <w:pPr>
        <w:widowControl/>
        <w:numPr>
          <w:numId w:val="0"/>
        </w:numPr>
        <w:spacing w:line="600" w:lineRule="exact"/>
        <w:ind w:left="640" w:leftChars="0"/>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widowControl/>
        <w:spacing w:line="480" w:lineRule="atLeast"/>
        <w:ind w:firstLine="320" w:firstLineChars="100"/>
        <w:jc w:val="left"/>
        <w:rPr>
          <w:rFonts w:hint="default" w:eastAsia="黑体"/>
          <w:sz w:val="32"/>
          <w:szCs w:val="32"/>
          <w:lang w:val="en-US" w:eastAsia="zh-CN"/>
        </w:rPr>
      </w:pPr>
      <w:r>
        <w:rPr>
          <w:rFonts w:hint="eastAsia" w:ascii="Times New Roman" w:hAnsi="Times New Roman" w:eastAsia="仿宋_GB2312" w:cs="Times New Roman"/>
          <w:kern w:val="2"/>
          <w:sz w:val="32"/>
          <w:szCs w:val="32"/>
          <w:lang w:val="en-US" w:eastAsia="zh-CN" w:bidi="ar-SA"/>
        </w:rPr>
        <w:t xml:space="preserve"> 202</w:t>
      </w:r>
      <w:r>
        <w:rPr>
          <w:rFonts w:hint="eastAsia" w:eastAsia="仿宋_GB2312" w:cs="Times New Roman"/>
          <w:kern w:val="2"/>
          <w:sz w:val="32"/>
          <w:szCs w:val="32"/>
          <w:lang w:val="en-US" w:eastAsia="zh-CN" w:bidi="ar-SA"/>
        </w:rPr>
        <w:t>1</w:t>
      </w:r>
      <w:r>
        <w:rPr>
          <w:rFonts w:hint="eastAsia" w:ascii="Times New Roman" w:hAnsi="Times New Roman" w:eastAsia="仿宋_GB2312" w:cs="Times New Roman"/>
          <w:kern w:val="2"/>
          <w:sz w:val="32"/>
          <w:szCs w:val="32"/>
          <w:lang w:val="en-US" w:eastAsia="zh-CN" w:bidi="ar-SA"/>
        </w:rPr>
        <w:t>年本年支出</w:t>
      </w:r>
      <w:r>
        <w:rPr>
          <w:rFonts w:hint="eastAsia" w:eastAsia="仿宋_GB2312" w:cs="Times New Roman"/>
          <w:kern w:val="2"/>
          <w:sz w:val="32"/>
          <w:szCs w:val="32"/>
          <w:lang w:val="en-US" w:eastAsia="zh-CN" w:bidi="ar-SA"/>
        </w:rPr>
        <w:t>1450.8</w:t>
      </w:r>
      <w:r>
        <w:rPr>
          <w:rFonts w:hint="eastAsia" w:ascii="Times New Roman" w:hAnsi="Times New Roman" w:eastAsia="仿宋_GB2312" w:cs="Times New Roman"/>
          <w:kern w:val="2"/>
          <w:sz w:val="32"/>
          <w:szCs w:val="32"/>
          <w:lang w:val="en-US" w:eastAsia="zh-CN" w:bidi="ar-SA"/>
        </w:rPr>
        <w:t>万元。一般公共预算财政拨款支出</w:t>
      </w:r>
      <w:r>
        <w:rPr>
          <w:rFonts w:hint="eastAsia" w:eastAsia="仿宋_GB2312" w:cs="Times New Roman"/>
          <w:kern w:val="2"/>
          <w:sz w:val="32"/>
          <w:szCs w:val="32"/>
          <w:lang w:val="en-US" w:eastAsia="zh-CN" w:bidi="ar-SA"/>
        </w:rPr>
        <w:t>1450.8</w:t>
      </w:r>
      <w:r>
        <w:rPr>
          <w:rFonts w:hint="eastAsia" w:ascii="Times New Roman" w:hAnsi="Times New Roman" w:eastAsia="仿宋_GB2312" w:cs="Times New Roman"/>
          <w:kern w:val="2"/>
          <w:sz w:val="32"/>
          <w:szCs w:val="32"/>
          <w:lang w:val="en-US" w:eastAsia="zh-CN" w:bidi="ar-SA"/>
        </w:rPr>
        <w:t>万元，占本年总支出的100%；其他收入支出0万元，占本年支出的0%。</w:t>
      </w:r>
      <w:bookmarkStart w:id="0" w:name="_GoBack"/>
      <w:bookmarkEnd w:id="0"/>
    </w:p>
    <w:p>
      <w:pPr>
        <w:pStyle w:val="4"/>
        <w:widowControl/>
        <w:numPr>
          <w:ilvl w:val="0"/>
          <w:numId w:val="3"/>
        </w:numPr>
        <w:spacing w:line="600" w:lineRule="exact"/>
        <w:ind w:left="640" w:firstLine="0" w:firstLineChars="0"/>
        <w:jc w:val="left"/>
        <w:rPr>
          <w:rFonts w:ascii="Times New Roman" w:hAnsi="Times New Roman" w:eastAsia="黑体"/>
          <w:sz w:val="32"/>
          <w:szCs w:val="32"/>
        </w:rPr>
      </w:pPr>
      <w:r>
        <w:rPr>
          <w:rFonts w:ascii="Times New Roman" w:hAnsi="Times New Roman" w:eastAsia="黑体"/>
          <w:sz w:val="32"/>
          <w:szCs w:val="32"/>
        </w:rPr>
        <w:t>存在的问题及原因分析</w:t>
      </w:r>
    </w:p>
    <w:p>
      <w:pPr>
        <w:widowControl/>
        <w:numPr>
          <w:ilvl w:val="0"/>
          <w:numId w:val="0"/>
        </w:numPr>
        <w:spacing w:line="600" w:lineRule="exact"/>
        <w:ind w:left="640" w:leftChars="0"/>
        <w:jc w:val="left"/>
        <w:rPr>
          <w:rFonts w:hint="default" w:eastAsia="黑体"/>
          <w:sz w:val="32"/>
          <w:szCs w:val="32"/>
          <w:lang w:val="en-US" w:eastAsia="zh-CN"/>
        </w:rPr>
      </w:pPr>
      <w:r>
        <w:rPr>
          <w:rFonts w:hint="eastAsia" w:eastAsia="黑体"/>
          <w:sz w:val="32"/>
          <w:szCs w:val="32"/>
          <w:lang w:val="en-US" w:eastAsia="zh-CN"/>
        </w:rPr>
        <w:t>无</w:t>
      </w:r>
    </w:p>
    <w:p>
      <w:pPr>
        <w:widowControl/>
        <w:numPr>
          <w:ilvl w:val="0"/>
          <w:numId w:val="3"/>
        </w:numPr>
        <w:spacing w:line="600" w:lineRule="exact"/>
        <w:ind w:left="640" w:leftChars="0" w:firstLine="0" w:firstLineChars="0"/>
        <w:jc w:val="left"/>
        <w:rPr>
          <w:rFonts w:eastAsia="黑体"/>
          <w:sz w:val="32"/>
          <w:szCs w:val="32"/>
        </w:rPr>
      </w:pPr>
      <w:r>
        <w:rPr>
          <w:rFonts w:eastAsia="黑体"/>
          <w:sz w:val="32"/>
          <w:szCs w:val="32"/>
        </w:rPr>
        <w:t>下一步改进措施</w:t>
      </w:r>
    </w:p>
    <w:p>
      <w:pPr>
        <w:widowControl/>
        <w:numPr>
          <w:ilvl w:val="0"/>
          <w:numId w:val="0"/>
        </w:numPr>
        <w:spacing w:line="600" w:lineRule="exact"/>
        <w:ind w:left="640" w:leftChars="0"/>
        <w:jc w:val="left"/>
        <w:rPr>
          <w:rFonts w:hint="eastAsia" w:eastAsia="黑体"/>
          <w:sz w:val="32"/>
          <w:szCs w:val="32"/>
          <w:lang w:eastAsia="zh-CN"/>
        </w:rPr>
      </w:pPr>
      <w:r>
        <w:rPr>
          <w:rFonts w:hint="eastAsia" w:eastAsia="黑体"/>
          <w:sz w:val="32"/>
          <w:szCs w:val="32"/>
          <w:lang w:eastAsia="zh-CN"/>
        </w:rPr>
        <w:t>无</w:t>
      </w:r>
    </w:p>
    <w:p>
      <w:pPr>
        <w:widowControl/>
        <w:numPr>
          <w:ilvl w:val="0"/>
          <w:numId w:val="3"/>
        </w:numPr>
        <w:spacing w:line="600" w:lineRule="exact"/>
        <w:ind w:left="640" w:leftChars="0" w:firstLine="0" w:firstLineChars="0"/>
        <w:jc w:val="left"/>
        <w:rPr>
          <w:rFonts w:eastAsia="黑体"/>
          <w:sz w:val="32"/>
          <w:szCs w:val="32"/>
        </w:rPr>
      </w:pPr>
      <w:r>
        <w:rPr>
          <w:rFonts w:eastAsia="黑体"/>
          <w:sz w:val="32"/>
          <w:szCs w:val="32"/>
        </w:rPr>
        <w:t>其他需要说明的情况</w:t>
      </w:r>
    </w:p>
    <w:p>
      <w:pPr>
        <w:widowControl/>
        <w:numPr>
          <w:ilvl w:val="0"/>
          <w:numId w:val="0"/>
        </w:numPr>
        <w:spacing w:line="600" w:lineRule="exact"/>
        <w:ind w:left="640" w:leftChars="0"/>
        <w:jc w:val="left"/>
        <w:rPr>
          <w:rFonts w:hint="eastAsia" w:eastAsia="黑体"/>
          <w:sz w:val="32"/>
          <w:szCs w:val="32"/>
          <w:lang w:eastAsia="zh-CN"/>
        </w:rPr>
      </w:pPr>
      <w:r>
        <w:rPr>
          <w:rFonts w:hint="eastAsia" w:eastAsia="黑体"/>
          <w:sz w:val="32"/>
          <w:szCs w:val="32"/>
          <w:lang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FCA232"/>
    <w:multiLevelType w:val="singleLevel"/>
    <w:tmpl w:val="BEFCA232"/>
    <w:lvl w:ilvl="0" w:tentative="0">
      <w:start w:val="5"/>
      <w:numFmt w:val="chineseCounting"/>
      <w:suff w:val="nothing"/>
      <w:lvlText w:val="%1、"/>
      <w:lvlJc w:val="left"/>
      <w:rPr>
        <w:rFonts w:hint="eastAsia"/>
      </w:rPr>
    </w:lvl>
  </w:abstractNum>
  <w:abstractNum w:abstractNumId="1">
    <w:nsid w:val="1F7B2B3A"/>
    <w:multiLevelType w:val="singleLevel"/>
    <w:tmpl w:val="1F7B2B3A"/>
    <w:lvl w:ilvl="0" w:tentative="0">
      <w:start w:val="1"/>
      <w:numFmt w:val="chineseCounting"/>
      <w:suff w:val="nothing"/>
      <w:lvlText w:val="%1、"/>
      <w:lvlJc w:val="left"/>
      <w:rPr>
        <w:rFonts w:hint="eastAsia"/>
      </w:rPr>
    </w:lvl>
  </w:abstractNum>
  <w:abstractNum w:abstractNumId="2">
    <w:nsid w:val="2C7702A7"/>
    <w:multiLevelType w:val="multilevel"/>
    <w:tmpl w:val="2C7702A7"/>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01F21475"/>
    <w:rsid w:val="0E172FBE"/>
    <w:rsid w:val="1AD52214"/>
    <w:rsid w:val="24E5774A"/>
    <w:rsid w:val="36D320AB"/>
    <w:rsid w:val="3A076E09"/>
    <w:rsid w:val="3B8F3226"/>
    <w:rsid w:val="4E4F71F6"/>
    <w:rsid w:val="4F195E35"/>
    <w:rsid w:val="52C727E1"/>
    <w:rsid w:val="55B46ED0"/>
    <w:rsid w:val="5A9D5D9B"/>
    <w:rsid w:val="7F3639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2022-04-13T01:31:57Z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7D43B314F7C24157BF42E5D065D8A65F</vt:lpwstr>
  </property>
</Properties>
</file>