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2"/>
          <w:szCs w:val="32"/>
        </w:rPr>
      </w:pPr>
      <w:r>
        <w:rPr>
          <w:rFonts w:hint="eastAsia" w:eastAsia="方正小标宋_GBK"/>
          <w:sz w:val="44"/>
          <w:szCs w:val="44"/>
          <w:lang w:val="en-US" w:eastAsia="zh-CN"/>
        </w:rPr>
        <w:t>津市高新技术产业开发区管理委员会2021年度</w:t>
      </w:r>
      <w:r>
        <w:rPr>
          <w:rFonts w:eastAsia="方正小标宋_GBK"/>
          <w:sz w:val="44"/>
          <w:szCs w:val="44"/>
        </w:rPr>
        <w:t>部门整体支出绩效报告</w:t>
      </w:r>
    </w:p>
    <w:p>
      <w:pPr>
        <w:spacing w:line="600" w:lineRule="exact"/>
        <w:jc w:val="center"/>
        <w:rPr>
          <w:rFonts w:eastAsia="方正小标宋_GBK"/>
          <w:sz w:val="32"/>
          <w:szCs w:val="32"/>
        </w:rPr>
      </w:pP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p>
    <w:p>
      <w:pPr>
        <w:pStyle w:val="7"/>
        <w:widowControl/>
        <w:spacing w:line="600" w:lineRule="exact"/>
        <w:rPr>
          <w:rFonts w:hint="eastAsia" w:ascii="仿宋_GB2312" w:hAnsi="仿宋_GB2312" w:eastAsia="仿宋_GB2312" w:cs="仿宋_GB2312"/>
          <w:sz w:val="32"/>
          <w:szCs w:val="32"/>
          <w:lang w:val="en-US" w:eastAsia="zh-CN"/>
        </w:rPr>
      </w:pPr>
      <w:r>
        <w:rPr>
          <w:rFonts w:hint="eastAsia" w:ascii="楷体" w:hAnsi="楷体" w:eastAsia="楷体" w:cs="楷体"/>
          <w:sz w:val="32"/>
          <w:szCs w:val="32"/>
        </w:rPr>
        <w:t>1</w:t>
      </w:r>
      <w:r>
        <w:rPr>
          <w:rFonts w:hint="eastAsia" w:ascii="楷体" w:hAnsi="楷体" w:eastAsia="楷体" w:cs="楷体"/>
          <w:sz w:val="32"/>
          <w:szCs w:val="32"/>
          <w:lang w:eastAsia="zh-CN"/>
        </w:rPr>
        <w:t>.</w:t>
      </w:r>
      <w:r>
        <w:rPr>
          <w:rFonts w:hint="eastAsia" w:ascii="楷体" w:hAnsi="楷体" w:eastAsia="楷体" w:cs="楷体"/>
          <w:sz w:val="32"/>
          <w:szCs w:val="32"/>
        </w:rPr>
        <w:t>主要职能</w:t>
      </w:r>
      <w:r>
        <w:rPr>
          <w:rFonts w:hint="eastAsia" w:ascii="楷体" w:hAnsi="楷体" w:eastAsia="楷体" w:cs="楷体"/>
          <w:sz w:val="32"/>
          <w:szCs w:val="32"/>
          <w:lang w:eastAsia="zh-CN"/>
        </w:rPr>
        <w:t>：</w:t>
      </w:r>
      <w:r>
        <w:rPr>
          <w:rFonts w:hint="eastAsia" w:ascii="仿宋_GB2312" w:hAnsi="仿宋_GB2312" w:eastAsia="仿宋_GB2312" w:cs="仿宋_GB2312"/>
          <w:sz w:val="32"/>
          <w:szCs w:val="32"/>
          <w:lang w:val="en-US" w:eastAsia="zh-CN"/>
        </w:rPr>
        <w:t>津市高新区管委会负责编制高新区总体规划和经济社会发展计划，经批准后组织实施。负责制定高新区的行政管理规定。负责审核高新区的投资项目，并按规定权限审批或报批。负责高新区内土地开发利用管理。负责管理高新区各项基础设施和公共设施。负责按规定管理高新区的财政、建设规划、人事和国有资产等工作。负责高新区的进出口业务和对外经济技术合作，按照规定处理高新区内的涉外事务。负责对高新区内的企业进行协调管理。负责协调有关部门在高新区设立的机构的工作。负责履行津市市委、市政府授予的其他职权。负责承办津市市委、市政府交办的其他工作任务。</w:t>
      </w:r>
    </w:p>
    <w:p>
      <w:pPr>
        <w:pStyle w:val="7"/>
        <w:widowControl/>
        <w:spacing w:line="600" w:lineRule="exact"/>
        <w:ind w:left="640" w:firstLine="0" w:firstLineChars="0"/>
        <w:rPr>
          <w:rFonts w:hint="eastAsia" w:ascii="仿宋_GB2312" w:hAnsi="仿宋_GB2312" w:eastAsia="仿宋_GB2312" w:cs="仿宋_GB2312"/>
          <w:sz w:val="32"/>
          <w:szCs w:val="32"/>
          <w:lang w:val="en-US" w:eastAsia="zh-CN"/>
        </w:rPr>
      </w:pPr>
      <w:r>
        <w:rPr>
          <w:rFonts w:hint="eastAsia" w:ascii="楷体" w:hAnsi="楷体" w:eastAsia="楷体" w:cs="楷体"/>
          <w:sz w:val="32"/>
          <w:szCs w:val="32"/>
        </w:rPr>
        <w:t>2</w:t>
      </w:r>
      <w:r>
        <w:rPr>
          <w:rFonts w:hint="eastAsia" w:ascii="楷体" w:hAnsi="楷体" w:eastAsia="楷体" w:cs="楷体"/>
          <w:sz w:val="32"/>
          <w:szCs w:val="32"/>
          <w:lang w:eastAsia="zh-CN"/>
        </w:rPr>
        <w:t>.</w:t>
      </w:r>
      <w:r>
        <w:rPr>
          <w:rFonts w:hint="eastAsia" w:ascii="楷体" w:hAnsi="楷体" w:eastAsia="楷体" w:cs="楷体"/>
          <w:sz w:val="32"/>
          <w:szCs w:val="32"/>
        </w:rPr>
        <w:t>机构情况</w:t>
      </w:r>
      <w:r>
        <w:rPr>
          <w:rFonts w:hint="eastAsia" w:ascii="楷体" w:hAnsi="楷体" w:eastAsia="楷体" w:cs="楷体"/>
          <w:sz w:val="32"/>
          <w:szCs w:val="32"/>
          <w:lang w:val="en-US" w:eastAsia="zh-CN"/>
        </w:rPr>
        <w:t>：</w:t>
      </w:r>
      <w:r>
        <w:rPr>
          <w:rFonts w:hint="eastAsia" w:ascii="仿宋_GB2312" w:hAnsi="仿宋_GB2312" w:eastAsia="仿宋_GB2312" w:cs="仿宋_GB2312"/>
          <w:sz w:val="32"/>
          <w:szCs w:val="32"/>
          <w:lang w:val="en-US" w:eastAsia="zh-CN"/>
        </w:rPr>
        <w:t>津市高新区管委会为独立核算的行政单位，</w:t>
      </w:r>
    </w:p>
    <w:p>
      <w:pPr>
        <w:pStyle w:val="7"/>
        <w:widowControl/>
        <w:spacing w:line="600" w:lineRule="exact"/>
        <w:ind w:left="0" w:leftChars="0" w:firstLine="0" w:firstLineChars="0"/>
        <w:rPr>
          <w:rFonts w:hint="eastAsia" w:ascii="Times New Roman" w:hAnsi="Times New Roman" w:eastAsia="黑体"/>
          <w:sz w:val="32"/>
          <w:szCs w:val="32"/>
        </w:rPr>
      </w:pPr>
      <w:r>
        <w:rPr>
          <w:rFonts w:hint="eastAsia" w:ascii="仿宋_GB2312" w:hAnsi="仿宋_GB2312" w:eastAsia="仿宋_GB2312" w:cs="仿宋_GB2312"/>
          <w:sz w:val="32"/>
          <w:szCs w:val="32"/>
          <w:lang w:val="en-US" w:eastAsia="zh-CN"/>
        </w:rPr>
        <w:t>属一级预算单位。根据编委核定，本单位下辖内设机构：办公室、组织工作局、产业发展局、经济合作局、开发建设局、企业服务中心、投资促进与项目推进中心。</w:t>
      </w:r>
    </w:p>
    <w:p>
      <w:pPr>
        <w:keepNext w:val="0"/>
        <w:keepLines w:val="0"/>
        <w:pageBreakBefore w:val="0"/>
        <w:widowControl/>
        <w:shd w:val="clear" w:color="auto" w:fill="FFFFFF"/>
        <w:kinsoku/>
        <w:wordWrap/>
        <w:overflowPunct/>
        <w:topLinePunct w:val="0"/>
        <w:autoSpaceDE/>
        <w:autoSpaceDN/>
        <w:bidi w:val="0"/>
        <w:adjustRightInd/>
        <w:spacing w:beforeAutospacing="0" w:afterAutospacing="0" w:line="580" w:lineRule="exact"/>
        <w:ind w:left="0" w:leftChars="0" w:firstLine="66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3.</w:t>
      </w:r>
      <w:r>
        <w:rPr>
          <w:rFonts w:hint="eastAsia" w:ascii="楷体" w:hAnsi="楷体" w:eastAsia="楷体" w:cs="楷体"/>
          <w:sz w:val="32"/>
          <w:szCs w:val="32"/>
        </w:rPr>
        <w:t>人员构成</w:t>
      </w:r>
      <w:r>
        <w:rPr>
          <w:rFonts w:hint="eastAsia" w:ascii="楷体" w:hAnsi="楷体" w:eastAsia="楷体" w:cs="楷体"/>
          <w:sz w:val="32"/>
          <w:szCs w:val="32"/>
          <w:lang w:eastAsia="zh-CN"/>
        </w:rPr>
        <w:t>情况：</w:t>
      </w:r>
      <w:bookmarkStart w:id="0" w:name="_Hlk44192558"/>
      <w:r>
        <w:rPr>
          <w:rFonts w:hint="eastAsia" w:ascii="仿宋_GB2312" w:hAnsi="仿宋_GB2312" w:eastAsia="仿宋_GB2312" w:cs="仿宋_GB2312"/>
          <w:sz w:val="32"/>
          <w:szCs w:val="32"/>
          <w:lang w:val="en-US" w:eastAsia="zh-CN"/>
        </w:rPr>
        <w:t>2021年人员编制数35人，其中行政编制14人、事业编制21人；实有在职人数25人，其中行政编制6人、事业编制19人</w:t>
      </w:r>
      <w:bookmarkEnd w:id="0"/>
      <w:r>
        <w:rPr>
          <w:rFonts w:hint="eastAsia" w:ascii="仿宋_GB2312" w:hAnsi="仿宋_GB2312" w:eastAsia="仿宋_GB2312" w:cs="仿宋_GB2312"/>
          <w:sz w:val="32"/>
          <w:szCs w:val="32"/>
          <w:lang w:val="en-US" w:eastAsia="zh-CN"/>
        </w:rPr>
        <w:t>。</w:t>
      </w:r>
    </w:p>
    <w:p>
      <w:pPr>
        <w:pStyle w:val="7"/>
        <w:widowControl/>
        <w:spacing w:line="600" w:lineRule="exact"/>
        <w:ind w:left="640" w:firstLine="0" w:firstLineChars="0"/>
        <w:rPr>
          <w:rFonts w:hint="eastAsia" w:ascii="Times New Roman" w:hAnsi="Times New Roman" w:eastAsia="黑体"/>
          <w:sz w:val="32"/>
          <w:szCs w:val="32"/>
        </w:rPr>
      </w:pP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cs="Times New Roman"/>
          <w:bCs/>
          <w:color w:val="000000"/>
          <w:kern w:val="0"/>
          <w:sz w:val="32"/>
          <w:szCs w:val="32"/>
        </w:rPr>
        <w:t>202</w:t>
      </w:r>
      <w:r>
        <w:rPr>
          <w:rFonts w:hint="eastAsia" w:ascii="Times New Roman" w:hAnsi="Times New Roman" w:eastAsia="仿宋_GB2312" w:cs="Times New Roman"/>
          <w:bCs/>
          <w:color w:val="000000"/>
          <w:kern w:val="0"/>
          <w:sz w:val="32"/>
          <w:szCs w:val="32"/>
          <w:lang w:val="en-US" w:eastAsia="zh-CN"/>
        </w:rPr>
        <w:t>1</w:t>
      </w:r>
      <w:r>
        <w:rPr>
          <w:rFonts w:hint="eastAsia" w:ascii="Times New Roman" w:hAnsi="Times New Roman" w:eastAsia="仿宋_GB2312" w:cs="Times New Roman"/>
          <w:bCs/>
          <w:color w:val="000000"/>
          <w:kern w:val="0"/>
          <w:sz w:val="32"/>
          <w:szCs w:val="32"/>
        </w:rPr>
        <w:t>年</w:t>
      </w:r>
      <w:r>
        <w:rPr>
          <w:rFonts w:hint="eastAsia" w:eastAsia="仿宋_GB2312" w:cs="Times New Roman"/>
          <w:bCs/>
          <w:color w:val="000000"/>
          <w:kern w:val="0"/>
          <w:sz w:val="32"/>
          <w:szCs w:val="32"/>
          <w:lang w:eastAsia="zh-CN"/>
        </w:rPr>
        <w:t>基本支出</w:t>
      </w:r>
      <w:r>
        <w:rPr>
          <w:rFonts w:hint="eastAsia" w:ascii="Times New Roman" w:hAnsi="Times New Roman" w:eastAsia="仿宋_GB2312" w:cs="Times New Roman"/>
          <w:bCs/>
          <w:color w:val="000000"/>
          <w:kern w:val="0"/>
          <w:sz w:val="32"/>
          <w:szCs w:val="32"/>
        </w:rPr>
        <w:t>数为</w:t>
      </w:r>
      <w:r>
        <w:rPr>
          <w:rFonts w:hint="eastAsia" w:ascii="Times New Roman" w:hAnsi="Times New Roman" w:eastAsia="仿宋_GB2312" w:cs="Times New Roman"/>
          <w:bCs/>
          <w:color w:val="000000"/>
          <w:kern w:val="0"/>
          <w:sz w:val="32"/>
          <w:szCs w:val="32"/>
          <w:lang w:val="en-US" w:eastAsia="zh-CN"/>
        </w:rPr>
        <w:t>777.1</w:t>
      </w:r>
      <w:r>
        <w:rPr>
          <w:rFonts w:hint="eastAsia" w:ascii="Times New Roman" w:hAnsi="Times New Roman" w:eastAsia="仿宋_GB2312" w:cs="Times New Roman"/>
          <w:bCs/>
          <w:color w:val="000000"/>
          <w:kern w:val="0"/>
          <w:sz w:val="32"/>
          <w:szCs w:val="32"/>
        </w:rPr>
        <w:t>万元，其中：工资福利支出</w:t>
      </w:r>
      <w:r>
        <w:rPr>
          <w:rFonts w:hint="eastAsia" w:ascii="Times New Roman" w:hAnsi="Times New Roman" w:eastAsia="仿宋_GB2312" w:cs="Times New Roman"/>
          <w:bCs/>
          <w:color w:val="000000"/>
          <w:kern w:val="0"/>
          <w:sz w:val="32"/>
          <w:szCs w:val="32"/>
          <w:lang w:val="en-US" w:eastAsia="zh-CN"/>
        </w:rPr>
        <w:t>217.7</w:t>
      </w:r>
      <w:r>
        <w:rPr>
          <w:rFonts w:hint="eastAsia" w:ascii="Times New Roman" w:hAnsi="Times New Roman" w:eastAsia="仿宋_GB2312" w:cs="Times New Roman"/>
          <w:bCs/>
          <w:color w:val="000000"/>
          <w:kern w:val="0"/>
          <w:sz w:val="32"/>
          <w:szCs w:val="32"/>
        </w:rPr>
        <w:t>万元，主要包括用于基本工资、津贴补贴、</w:t>
      </w:r>
      <w:r>
        <w:rPr>
          <w:rFonts w:hint="eastAsia" w:ascii="Times New Roman" w:hAnsi="Times New Roman" w:eastAsia="仿宋_GB2312" w:cs="Times New Roman"/>
          <w:bCs/>
          <w:color w:val="000000"/>
          <w:kern w:val="0"/>
          <w:sz w:val="32"/>
          <w:szCs w:val="32"/>
          <w:lang w:eastAsia="zh-CN"/>
        </w:rPr>
        <w:t>其他</w:t>
      </w:r>
      <w:r>
        <w:rPr>
          <w:rFonts w:hint="eastAsia" w:ascii="Times New Roman" w:hAnsi="Times New Roman" w:eastAsia="仿宋_GB2312" w:cs="Times New Roman"/>
          <w:bCs/>
          <w:color w:val="000000"/>
          <w:kern w:val="0"/>
          <w:sz w:val="32"/>
          <w:szCs w:val="32"/>
        </w:rPr>
        <w:t>社会保障</w:t>
      </w:r>
      <w:r>
        <w:rPr>
          <w:rFonts w:hint="eastAsia" w:ascii="Times New Roman" w:hAnsi="Times New Roman" w:eastAsia="仿宋_GB2312" w:cs="Times New Roman"/>
          <w:bCs/>
          <w:color w:val="000000"/>
          <w:kern w:val="0"/>
          <w:sz w:val="32"/>
          <w:szCs w:val="32"/>
          <w:lang w:eastAsia="zh-CN"/>
        </w:rPr>
        <w:t>缴</w:t>
      </w:r>
      <w:r>
        <w:rPr>
          <w:rFonts w:hint="eastAsia" w:ascii="Times New Roman" w:hAnsi="Times New Roman" w:eastAsia="仿宋_GB2312" w:cs="Times New Roman"/>
          <w:bCs/>
          <w:color w:val="000000"/>
          <w:kern w:val="0"/>
          <w:sz w:val="32"/>
          <w:szCs w:val="32"/>
        </w:rPr>
        <w:t>费</w:t>
      </w:r>
      <w:r>
        <w:rPr>
          <w:rFonts w:hint="eastAsia" w:ascii="Times New Roman" w:hAnsi="Times New Roman" w:eastAsia="仿宋_GB2312" w:cs="Times New Roman"/>
          <w:bCs/>
          <w:color w:val="000000"/>
          <w:kern w:val="0"/>
          <w:sz w:val="32"/>
          <w:szCs w:val="32"/>
          <w:lang w:eastAsia="zh-CN"/>
        </w:rPr>
        <w:t>、机关事业单位基本养老保险缴费、住房公积金和其他工资福利支出等</w:t>
      </w:r>
      <w:r>
        <w:rPr>
          <w:rFonts w:hint="eastAsia" w:ascii="Times New Roman" w:hAnsi="Times New Roman" w:eastAsia="仿宋_GB2312" w:cs="Times New Roman"/>
          <w:bCs/>
          <w:color w:val="000000"/>
          <w:kern w:val="0"/>
          <w:sz w:val="32"/>
          <w:szCs w:val="32"/>
        </w:rPr>
        <w:t>；</w:t>
      </w:r>
      <w:r>
        <w:rPr>
          <w:rFonts w:hint="eastAsia" w:ascii="Times New Roman" w:hAnsi="Times New Roman" w:eastAsia="仿宋_GB2312" w:cs="Times New Roman"/>
          <w:bCs/>
          <w:color w:val="000000"/>
          <w:kern w:val="0"/>
          <w:sz w:val="32"/>
          <w:szCs w:val="32"/>
          <w:lang w:eastAsia="zh-CN"/>
        </w:rPr>
        <w:t>商品服务支出</w:t>
      </w:r>
      <w:r>
        <w:rPr>
          <w:rFonts w:hint="eastAsia" w:ascii="Times New Roman" w:hAnsi="Times New Roman" w:eastAsia="仿宋_GB2312" w:cs="Times New Roman"/>
          <w:bCs/>
          <w:color w:val="000000"/>
          <w:kern w:val="0"/>
          <w:sz w:val="32"/>
          <w:szCs w:val="32"/>
          <w:lang w:val="en-US" w:eastAsia="zh-CN"/>
        </w:rPr>
        <w:t>559.4</w:t>
      </w:r>
      <w:r>
        <w:rPr>
          <w:rFonts w:hint="eastAsia" w:ascii="Times New Roman" w:hAnsi="Times New Roman" w:eastAsia="仿宋_GB2312" w:cs="Times New Roman"/>
          <w:bCs/>
          <w:color w:val="000000"/>
          <w:kern w:val="0"/>
          <w:sz w:val="32"/>
          <w:szCs w:val="32"/>
        </w:rPr>
        <w:t>万元是指为保障单位机构正常运转、完成日常工作任务而发生的各项支出，包括办公费、印刷费、水电费、</w:t>
      </w:r>
      <w:r>
        <w:rPr>
          <w:rFonts w:hint="eastAsia" w:ascii="Times New Roman" w:hAnsi="Times New Roman" w:eastAsia="仿宋_GB2312" w:cs="Times New Roman"/>
          <w:bCs/>
          <w:color w:val="000000"/>
          <w:kern w:val="0"/>
          <w:sz w:val="32"/>
          <w:szCs w:val="32"/>
          <w:lang w:eastAsia="zh-CN"/>
        </w:rPr>
        <w:t>邮电费、</w:t>
      </w:r>
      <w:r>
        <w:rPr>
          <w:rFonts w:hint="eastAsia" w:ascii="Times New Roman" w:hAnsi="Times New Roman" w:eastAsia="仿宋_GB2312" w:cs="Times New Roman"/>
          <w:bCs/>
          <w:color w:val="000000"/>
          <w:kern w:val="0"/>
          <w:sz w:val="32"/>
          <w:szCs w:val="32"/>
        </w:rPr>
        <w:t>办公设备购置等日常公用经费等</w:t>
      </w:r>
      <w:r>
        <w:rPr>
          <w:rFonts w:hint="eastAsia" w:ascii="Times New Roman" w:hAnsi="Times New Roman" w:eastAsia="仿宋_GB2312" w:cs="Times New Roman"/>
          <w:bCs/>
          <w:color w:val="000000"/>
          <w:kern w:val="0"/>
          <w:sz w:val="32"/>
          <w:szCs w:val="32"/>
          <w:lang w:eastAsia="zh-CN"/>
        </w:rPr>
        <w:t>。</w:t>
      </w:r>
    </w:p>
    <w:p>
      <w:pPr>
        <w:pStyle w:val="7"/>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7"/>
        <w:widowControl/>
        <w:spacing w:line="600" w:lineRule="exact"/>
        <w:ind w:left="640" w:firstLine="0" w:firstLineChars="0"/>
        <w:jc w:val="left"/>
        <w:rPr>
          <w:rFonts w:hint="eastAsia" w:ascii="Times New Roman" w:hAnsi="Times New Roman" w:eastAsia="仿宋_GB2312" w:cs="Times New Roman"/>
          <w:bCs/>
          <w:color w:val="000000"/>
          <w:kern w:val="0"/>
          <w:sz w:val="32"/>
          <w:szCs w:val="32"/>
          <w:lang w:val="en-US" w:eastAsia="zh-CN"/>
        </w:rPr>
      </w:pPr>
      <w:r>
        <w:rPr>
          <w:rFonts w:hint="eastAsia" w:ascii="Times New Roman" w:hAnsi="Times New Roman" w:eastAsia="仿宋_GB2312" w:cs="Times New Roman"/>
          <w:bCs/>
          <w:color w:val="000000"/>
          <w:kern w:val="0"/>
          <w:sz w:val="32"/>
          <w:szCs w:val="32"/>
        </w:rPr>
        <w:t>2021年本部门项目支出</w:t>
      </w:r>
      <w:r>
        <w:rPr>
          <w:rFonts w:hint="eastAsia" w:ascii="Times New Roman" w:hAnsi="Times New Roman" w:eastAsia="仿宋_GB2312" w:cs="Times New Roman"/>
          <w:bCs/>
          <w:color w:val="000000"/>
          <w:kern w:val="0"/>
          <w:sz w:val="32"/>
          <w:szCs w:val="32"/>
          <w:lang w:val="en-US" w:eastAsia="zh-CN"/>
        </w:rPr>
        <w:t>2906万元，主要用于园区基</w:t>
      </w:r>
    </w:p>
    <w:p>
      <w:pPr>
        <w:pStyle w:val="7"/>
        <w:widowControl/>
        <w:spacing w:line="600" w:lineRule="exact"/>
        <w:ind w:left="0" w:leftChars="0" w:firstLine="0" w:firstLineChars="0"/>
        <w:jc w:val="left"/>
        <w:rPr>
          <w:rFonts w:hint="default" w:ascii="Times New Roman" w:hAnsi="Times New Roman" w:eastAsia="仿宋_GB2312" w:cs="Times New Roman"/>
          <w:bCs/>
          <w:color w:val="000000"/>
          <w:kern w:val="0"/>
          <w:sz w:val="32"/>
          <w:szCs w:val="32"/>
          <w:lang w:val="en-US" w:eastAsia="zh-CN"/>
        </w:rPr>
      </w:pPr>
      <w:r>
        <w:rPr>
          <w:rFonts w:hint="eastAsia" w:ascii="Times New Roman" w:hAnsi="Times New Roman" w:eastAsia="仿宋_GB2312" w:cs="Times New Roman"/>
          <w:bCs/>
          <w:color w:val="000000"/>
          <w:kern w:val="0"/>
          <w:sz w:val="32"/>
          <w:szCs w:val="32"/>
          <w:lang w:val="en-US" w:eastAsia="zh-CN"/>
        </w:rPr>
        <w:t>础设施建设及维护，环保整改。</w:t>
      </w:r>
    </w:p>
    <w:p>
      <w:pPr>
        <w:pStyle w:val="7"/>
        <w:widowControl/>
        <w:spacing w:line="600" w:lineRule="exact"/>
        <w:ind w:left="640" w:firstLine="0" w:firstLineChars="0"/>
        <w:jc w:val="left"/>
        <w:rPr>
          <w:rFonts w:eastAsia="仿宋_GB2312"/>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7"/>
        <w:widowControl/>
        <w:spacing w:line="600" w:lineRule="exact"/>
        <w:ind w:left="640" w:firstLine="0" w:firstLineChars="0"/>
        <w:jc w:val="left"/>
        <w:rPr>
          <w:rFonts w:hint="eastAsia" w:ascii="Times New Roman" w:hAnsi="Times New Roman" w:eastAsia="仿宋_GB2312" w:cs="Times New Roman"/>
          <w:bCs/>
          <w:color w:val="000000"/>
          <w:kern w:val="0"/>
          <w:sz w:val="32"/>
          <w:szCs w:val="32"/>
          <w:lang w:val="en-US" w:eastAsia="zh-CN"/>
        </w:rPr>
      </w:pPr>
      <w:r>
        <w:rPr>
          <w:rFonts w:hint="eastAsia" w:ascii="Times New Roman" w:hAnsi="Times New Roman" w:eastAsia="仿宋_GB2312" w:cs="Times New Roman"/>
          <w:bCs/>
          <w:color w:val="000000"/>
          <w:kern w:val="0"/>
          <w:sz w:val="32"/>
          <w:szCs w:val="32"/>
        </w:rPr>
        <w:t>本部门政府性基金预算支出</w:t>
      </w:r>
      <w:r>
        <w:rPr>
          <w:rFonts w:hint="eastAsia" w:ascii="Times New Roman" w:hAnsi="Times New Roman" w:eastAsia="仿宋_GB2312" w:cs="Times New Roman"/>
          <w:bCs/>
          <w:color w:val="000000"/>
          <w:kern w:val="0"/>
          <w:sz w:val="32"/>
          <w:szCs w:val="32"/>
          <w:lang w:val="en-US" w:eastAsia="zh-CN"/>
        </w:rPr>
        <w:t>39035.5万元，主要用于园</w:t>
      </w:r>
    </w:p>
    <w:p>
      <w:pPr>
        <w:pStyle w:val="7"/>
        <w:widowControl/>
        <w:spacing w:line="600" w:lineRule="exact"/>
        <w:ind w:left="0" w:leftChars="0" w:firstLine="0" w:firstLineChars="0"/>
        <w:jc w:val="left"/>
        <w:rPr>
          <w:rFonts w:hint="eastAsia" w:eastAsia="黑体"/>
          <w:sz w:val="32"/>
          <w:szCs w:val="32"/>
          <w:lang w:eastAsia="zh-CN"/>
        </w:rPr>
      </w:pPr>
      <w:r>
        <w:rPr>
          <w:rFonts w:hint="eastAsia" w:ascii="Times New Roman" w:hAnsi="Times New Roman" w:eastAsia="仿宋_GB2312" w:cs="Times New Roman"/>
          <w:bCs/>
          <w:color w:val="000000"/>
          <w:kern w:val="0"/>
          <w:sz w:val="32"/>
          <w:szCs w:val="32"/>
          <w:lang w:val="en-US" w:eastAsia="zh-CN"/>
        </w:rPr>
        <w:t>区基础设施建设和产发资金支出。</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8" w:firstLineChars="200"/>
        <w:textAlignment w:val="auto"/>
        <w:rPr>
          <w:rFonts w:hint="eastAsia" w:ascii="仿宋_GB2312" w:hAnsi="仿宋_GB2312" w:eastAsia="仿宋_GB2312" w:cs="仿宋_GB2312"/>
          <w:color w:val="auto"/>
          <w:spacing w:val="10"/>
          <w:w w:val="95"/>
          <w:sz w:val="32"/>
          <w:szCs w:val="32"/>
          <w:lang w:val="en-US" w:eastAsia="zh-CN"/>
        </w:rPr>
      </w:pPr>
      <w:r>
        <w:rPr>
          <w:rFonts w:hint="eastAsia" w:ascii="Times New Roman" w:hAnsi="Times New Roman" w:eastAsia="楷体_GB2312" w:cs="Times New Roman"/>
          <w:color w:val="auto"/>
          <w:spacing w:val="10"/>
          <w:w w:val="95"/>
          <w:sz w:val="32"/>
          <w:szCs w:val="32"/>
          <w:lang w:val="en-US" w:eastAsia="zh-CN"/>
        </w:rPr>
        <w:t>1.狠抓发展要务。</w:t>
      </w:r>
      <w:r>
        <w:rPr>
          <w:rFonts w:hint="eastAsia" w:ascii="仿宋_GB2312" w:hAnsi="仿宋_GB2312" w:eastAsia="仿宋_GB2312" w:cs="仿宋_GB2312"/>
          <w:color w:val="auto"/>
          <w:spacing w:val="10"/>
          <w:w w:val="95"/>
          <w:sz w:val="32"/>
          <w:szCs w:val="32"/>
          <w:lang w:val="en-US" w:eastAsia="zh-CN"/>
        </w:rPr>
        <w:t>认真践行“三高四新”战略，全力推进“五好”园区暨千亿产业集群建设，各项指标均实现突破。1-11月，园区125家规上企业完成产值291.8亿元，同比增长12.75%；综合税收达3.39亿元，同比增长19.8%。截止目前新增入规企业5家，园区125家规上企业预计全年完成产值315亿元，同比增长7.7%；综合税收预计达3.7亿元，同比增长6.9%。狠抓产业培育，形成了以生物医药为主导、化工为特色的“一主一特”产业格局，培育了植物提取新兴产业，装备制造、健康食品等传统产业不断转型升级。医疗器械注册增幅排名全国第一。深化开放合作，津市港成为澧水流域枢纽港，建成建好湘西北地区唯一县级海关工作站和公用保税仓。打造特色园区，今年5月26日，获批成为省内第一批（10家）拥有专业化工园区的省级高新区，总面积3165亩，已建成495亩。目前已有经世新材料、大新颜料、天盛新材料等6家企业入驻；湖南爱尼新材料签约年产2000吨复合新材料、利尔生物项目落户园区。</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8" w:firstLineChars="200"/>
        <w:textAlignment w:val="auto"/>
        <w:rPr>
          <w:rFonts w:hint="eastAsia" w:ascii="仿宋_GB2312" w:hAnsi="仿宋_GB2312" w:eastAsia="仿宋_GB2312" w:cs="仿宋_GB2312"/>
          <w:color w:val="auto"/>
          <w:spacing w:val="10"/>
          <w:w w:val="95"/>
          <w:sz w:val="32"/>
          <w:szCs w:val="32"/>
          <w:lang w:val="en-US" w:eastAsia="zh-CN"/>
        </w:rPr>
      </w:pPr>
      <w:r>
        <w:rPr>
          <w:rFonts w:hint="eastAsia" w:ascii="Times New Roman" w:hAnsi="Times New Roman" w:eastAsia="楷体_GB2312" w:cs="Times New Roman"/>
          <w:color w:val="auto"/>
          <w:spacing w:val="10"/>
          <w:w w:val="95"/>
          <w:sz w:val="32"/>
          <w:szCs w:val="32"/>
          <w:lang w:val="en-US" w:eastAsia="zh-CN"/>
        </w:rPr>
        <w:t>2.聚力招大引强。</w:t>
      </w:r>
      <w:r>
        <w:rPr>
          <w:rFonts w:hint="eastAsia" w:ascii="仿宋_GB2312" w:hAnsi="仿宋_GB2312" w:eastAsia="仿宋_GB2312" w:cs="仿宋_GB2312"/>
          <w:color w:val="auto"/>
          <w:spacing w:val="10"/>
          <w:w w:val="95"/>
          <w:sz w:val="32"/>
          <w:szCs w:val="32"/>
          <w:lang w:val="en-US" w:eastAsia="zh-CN"/>
        </w:rPr>
        <w:t>坚持以招商引资为引擎，立足于承接大项目，培育大产业，全方位延伸招商触角。立足产业链招商，成立了由班子成员负责的医疗器械产业链、化工产业链两个招商小组，有针对性地开展产业链招商。先后对接103家入驻微生态健康产业园的医疗器械企业，促成3家企业签约入园，9家企业达成合作意向。根据化工园区产业定位，对接15家国内化工产业标杆企业，促成湖南爱尼新材料签约年产2000吨复合新材料、利尔生物项目落户园区，签订了投资50亿元中非合作产业示范项目暨高碳铬铁生产项目框架协议。加速推进项目建设,今年共有建设项目21个，通过上门提前告知、限时办结、线上审批等举措，实行项目工期倒排、挂图作战，全力保障项目快速推进。截止目前，建成投产项目6个，年内建成投产项目14个。</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8" w:firstLineChars="200"/>
        <w:textAlignment w:val="auto"/>
        <w:rPr>
          <w:rFonts w:hint="eastAsia" w:ascii="仿宋_GB2312" w:hAnsi="仿宋_GB2312" w:eastAsia="仿宋_GB2312" w:cs="仿宋_GB2312"/>
          <w:color w:val="auto"/>
          <w:spacing w:val="10"/>
          <w:w w:val="95"/>
          <w:sz w:val="32"/>
          <w:szCs w:val="32"/>
          <w:lang w:val="en-US" w:eastAsia="zh-CN"/>
        </w:rPr>
      </w:pPr>
      <w:r>
        <w:rPr>
          <w:rFonts w:hint="eastAsia" w:ascii="Times New Roman" w:hAnsi="Times New Roman" w:eastAsia="楷体_GB2312" w:cs="Times New Roman"/>
          <w:color w:val="auto"/>
          <w:spacing w:val="10"/>
          <w:w w:val="95"/>
          <w:sz w:val="32"/>
          <w:szCs w:val="32"/>
          <w:lang w:val="en-US" w:eastAsia="zh-CN"/>
        </w:rPr>
        <w:t>3.力促改革攻坚。</w:t>
      </w:r>
      <w:r>
        <w:rPr>
          <w:rFonts w:hint="eastAsia" w:ascii="仿宋_GB2312" w:hAnsi="仿宋_GB2312" w:eastAsia="仿宋_GB2312" w:cs="仿宋_GB2312"/>
          <w:color w:val="auto"/>
          <w:spacing w:val="10"/>
          <w:w w:val="95"/>
          <w:sz w:val="32"/>
          <w:szCs w:val="32"/>
          <w:lang w:val="en-US" w:eastAsia="zh-CN"/>
        </w:rPr>
        <w:t>坚持把深化改革作为释放体制机制活力的重要抓手，坚定不移地推进各项改革。全面落实简政放权，按照“部门赋全权、园区负全责”的思路，搭建“互联网+政务服务”平台，推行审批事项“一窗受理、集成服务”模式，企业申报资料、办事流程、审批时限分别压减70.6%、71.3%、63.1%，施工许可等证照办理，已从200多页精简到4页。成立了“五好”园区暨千亿产业集群指挥部，机构改革方案顺利上报省编办，园区管理、园区开发建设“两个转型”实现稳步开局。</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8" w:firstLineChars="200"/>
        <w:textAlignment w:val="auto"/>
        <w:rPr>
          <w:rFonts w:hint="eastAsia" w:ascii="仿宋_GB2312" w:hAnsi="仿宋_GB2312" w:eastAsia="仿宋_GB2312" w:cs="仿宋_GB2312"/>
          <w:color w:val="auto"/>
          <w:spacing w:val="10"/>
          <w:w w:val="95"/>
          <w:sz w:val="32"/>
          <w:szCs w:val="32"/>
          <w:lang w:val="en-US" w:eastAsia="zh-CN"/>
        </w:rPr>
      </w:pPr>
      <w:r>
        <w:rPr>
          <w:rFonts w:hint="eastAsia" w:ascii="Times New Roman" w:hAnsi="Times New Roman" w:eastAsia="楷体_GB2312" w:cs="Times New Roman"/>
          <w:color w:val="auto"/>
          <w:spacing w:val="10"/>
          <w:w w:val="95"/>
          <w:sz w:val="32"/>
          <w:szCs w:val="32"/>
          <w:lang w:val="en-US" w:eastAsia="zh-CN"/>
        </w:rPr>
        <w:t>4.营造一流环境。</w:t>
      </w:r>
      <w:r>
        <w:rPr>
          <w:rFonts w:hint="eastAsia" w:ascii="仿宋_GB2312" w:hAnsi="仿宋_GB2312" w:eastAsia="仿宋_GB2312" w:cs="仿宋_GB2312"/>
          <w:color w:val="auto"/>
          <w:spacing w:val="10"/>
          <w:w w:val="95"/>
          <w:sz w:val="32"/>
          <w:szCs w:val="32"/>
          <w:lang w:val="en-US" w:eastAsia="zh-CN"/>
        </w:rPr>
        <w:t>坚持以一流营商环境汇聚高质量发展澎湃动能。实施“3+3+1”优化环境闭环模式，建立健全容错免责事项报备制度、容错免罚轻罚制度、涉企行政处罚备案制度，出台解决涉企问题备案制度、解决涉企问题严禁随意“说不”备案制度、涉企处罚备案制度及政府工作责任追究办法，倒逼部门主动跟进服务、助力企业发展，营造规范有序、优质高效的营商环境。去年，优化环境工作获省政府真抓实干奖励。推进“暖企行动”，主动当好企业的“店小二”，为来津客商提供全过程、一站式、无缝化的保姆式服务，兑现惠企政策，为企业减负6000多万元，累计解决企业各类困难问题336个，顺利完成环保问题整改销号。特别是着力解决企业融资难问题，与常德10家金融机构合作，推行政银担贷、知识产权质押试点等，去年为企业融资10.5亿元，增幅超过50%。着力解决企业用工难问题，探索企业用工池制度，加大稳岗补贴力度，帮助企业招工1500多人，营造规范有序、优质高效的营商环境。</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right="0" w:rightChars="0" w:firstLine="648" w:firstLineChars="200"/>
        <w:textAlignment w:val="auto"/>
        <w:rPr>
          <w:rFonts w:hint="eastAsia" w:ascii="仿宋_GB2312" w:hAnsi="仿宋_GB2312" w:eastAsia="仿宋_GB2312" w:cs="仿宋_GB2312"/>
          <w:color w:val="auto"/>
          <w:spacing w:val="10"/>
          <w:w w:val="95"/>
          <w:sz w:val="32"/>
          <w:szCs w:val="32"/>
          <w:lang w:val="en-US" w:eastAsia="zh-CN"/>
        </w:rPr>
      </w:pPr>
      <w:r>
        <w:rPr>
          <w:rFonts w:hint="eastAsia" w:ascii="Times New Roman" w:hAnsi="Times New Roman" w:eastAsia="楷体_GB2312" w:cs="Times New Roman"/>
          <w:color w:val="auto"/>
          <w:spacing w:val="10"/>
          <w:w w:val="95"/>
          <w:sz w:val="32"/>
          <w:szCs w:val="32"/>
          <w:lang w:val="en-US" w:eastAsia="zh-CN"/>
        </w:rPr>
        <w:t>5.守好发展底线。</w:t>
      </w:r>
      <w:bookmarkStart w:id="1" w:name="OLE_LINK15"/>
      <w:bookmarkStart w:id="2" w:name="OLE_LINK16"/>
      <w:r>
        <w:rPr>
          <w:rFonts w:hint="eastAsia" w:ascii="仿宋_GB2312" w:hAnsi="仿宋_GB2312" w:eastAsia="仿宋_GB2312" w:cs="仿宋_GB2312"/>
          <w:color w:val="auto"/>
          <w:spacing w:val="10"/>
          <w:w w:val="95"/>
          <w:sz w:val="32"/>
          <w:szCs w:val="32"/>
          <w:lang w:val="en-US" w:eastAsia="zh-CN"/>
        </w:rPr>
        <w:t>认真践行绿色</w:t>
      </w:r>
      <w:r>
        <w:rPr>
          <w:rFonts w:hint="default" w:ascii="仿宋_GB2312" w:hAnsi="仿宋_GB2312" w:eastAsia="仿宋_GB2312" w:cs="仿宋_GB2312"/>
          <w:color w:val="auto"/>
          <w:spacing w:val="10"/>
          <w:w w:val="95"/>
          <w:sz w:val="32"/>
          <w:szCs w:val="32"/>
          <w:lang w:val="en-US" w:eastAsia="zh-CN"/>
        </w:rPr>
        <w:t>发展理念</w:t>
      </w:r>
      <w:r>
        <w:rPr>
          <w:rFonts w:hint="eastAsia" w:ascii="仿宋_GB2312" w:hAnsi="仿宋_GB2312" w:eastAsia="仿宋_GB2312" w:cs="仿宋_GB2312"/>
          <w:color w:val="auto"/>
          <w:spacing w:val="10"/>
          <w:w w:val="95"/>
          <w:sz w:val="32"/>
          <w:szCs w:val="32"/>
          <w:lang w:val="en-US" w:eastAsia="zh-CN"/>
        </w:rPr>
        <w:t>，</w:t>
      </w:r>
      <w:r>
        <w:rPr>
          <w:rFonts w:hint="default" w:ascii="仿宋_GB2312" w:hAnsi="仿宋_GB2312" w:eastAsia="仿宋_GB2312" w:cs="仿宋_GB2312"/>
          <w:color w:val="auto"/>
          <w:spacing w:val="10"/>
          <w:w w:val="95"/>
          <w:sz w:val="32"/>
          <w:szCs w:val="32"/>
          <w:lang w:val="en-US" w:eastAsia="zh-CN"/>
        </w:rPr>
        <w:t>牢牢守住环保和安全底线推动工业经济高质量发展</w:t>
      </w:r>
      <w:r>
        <w:rPr>
          <w:rFonts w:hint="eastAsia" w:ascii="仿宋_GB2312" w:hAnsi="仿宋_GB2312" w:eastAsia="仿宋_GB2312" w:cs="仿宋_GB2312"/>
          <w:color w:val="auto"/>
          <w:spacing w:val="10"/>
          <w:w w:val="95"/>
          <w:sz w:val="32"/>
          <w:szCs w:val="32"/>
          <w:lang w:val="en-US" w:eastAsia="zh-CN"/>
        </w:rPr>
        <w:t>。强化平台建设，与湖南省环科院专家团队合作，编制园区“十四五”环保规划和绿色园区规划，聘请南京工大开元环保科技有限公司为“环保管家”，为环保工作把脉问诊。全面完成长江经济带生态环境警示片整改工作。聘请湖科大安全技术咨询服务公司和常德清大东方消防两家三方服务公司为“安全管家”，帮助企业进行安全风险分级、隐患排查等。</w:t>
      </w:r>
      <w:bookmarkEnd w:id="1"/>
      <w:bookmarkEnd w:id="2"/>
      <w:r>
        <w:rPr>
          <w:rFonts w:hint="eastAsia" w:ascii="仿宋_GB2312" w:hAnsi="仿宋_GB2312" w:eastAsia="仿宋_GB2312" w:cs="仿宋_GB2312"/>
          <w:color w:val="auto"/>
          <w:spacing w:val="10"/>
          <w:w w:val="95"/>
          <w:sz w:val="32"/>
          <w:szCs w:val="32"/>
          <w:lang w:val="en-US" w:eastAsia="zh-CN"/>
        </w:rPr>
        <w:t>加大基础投入，完成工业污水厂二期项目建设，污水日处理提升至15000吨；对官堰湖、杉堰堰塘等园区堰塘、沟渠水体实施了全面清淤、截污和生态修复，美化园区生态环境。对园区雨水管网、污水管网进行彻底清淤、清洗，对管网、管井渗漏处进行彻底防渗处理；“一企一管”一期工程已建成，二期工程将覆盖园区所有涉废水排放企业，并由环保管家实施24小时在线监控管理。</w:t>
      </w:r>
    </w:p>
    <w:p>
      <w:pPr>
        <w:pStyle w:val="7"/>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keepNext w:val="0"/>
        <w:keepLines w:val="0"/>
        <w:pageBreakBefore w:val="0"/>
        <w:widowControl/>
        <w:shd w:val="clear" w:color="auto" w:fill="FFFFFF"/>
        <w:kinsoku/>
        <w:wordWrap/>
        <w:overflowPunct/>
        <w:topLinePunct w:val="0"/>
        <w:autoSpaceDE/>
        <w:autoSpaceDN/>
        <w:bidi w:val="0"/>
        <w:adjustRightInd/>
        <w:spacing w:beforeAutospacing="0" w:afterAutospacing="0" w:line="580" w:lineRule="exact"/>
        <w:ind w:left="0" w:leftChars="0" w:firstLine="66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绩效目标设置不科学。2021年申报的整体绩效目标，不够细化、量化。未能完全与部门年度的任务数或计划数相对应，目标与部门预算匹配不充分。</w:t>
      </w:r>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keepNext w:val="0"/>
        <w:keepLines w:val="0"/>
        <w:pageBreakBefore w:val="0"/>
        <w:widowControl/>
        <w:kinsoku/>
        <w:wordWrap/>
        <w:overflowPunct/>
        <w:topLinePunct w:val="0"/>
        <w:autoSpaceDE/>
        <w:autoSpaceDN/>
        <w:bidi w:val="0"/>
        <w:adjustRightInd/>
        <w:snapToGrid/>
        <w:spacing w:line="580" w:lineRule="exact"/>
        <w:ind w:firstLine="648" w:firstLineChars="200"/>
        <w:jc w:val="both"/>
        <w:textAlignment w:val="auto"/>
        <w:rPr>
          <w:rFonts w:hint="eastAsia" w:ascii="仿宋_GB2312" w:hAnsi="仿宋_GB2312" w:eastAsia="仿宋_GB2312" w:cs="仿宋_GB2312"/>
          <w:sz w:val="32"/>
          <w:szCs w:val="32"/>
          <w:lang w:val="en-US" w:eastAsia="zh-CN"/>
        </w:rPr>
      </w:pPr>
      <w:r>
        <w:rPr>
          <w:rFonts w:hint="eastAsia" w:ascii="Times New Roman" w:hAnsi="Times New Roman" w:eastAsia="楷体_GB2312" w:cs="Times New Roman"/>
          <w:color w:val="auto"/>
          <w:spacing w:val="10"/>
          <w:w w:val="95"/>
          <w:sz w:val="32"/>
          <w:szCs w:val="32"/>
          <w:lang w:val="en-US" w:eastAsia="zh-CN"/>
        </w:rPr>
        <w:t>1.完善预算编制。</w:t>
      </w:r>
      <w:r>
        <w:rPr>
          <w:rFonts w:ascii="Times New Roman" w:hAnsi="Times New Roman" w:eastAsia="仿宋_GB2312" w:cs="Times New Roman"/>
          <w:sz w:val="32"/>
          <w:szCs w:val="32"/>
        </w:rPr>
        <w:t>单位各项收入支出全面纳入预算管理，统筹安排。根据人员编制和相关标准编制基本支出预算</w:t>
      </w:r>
      <w:r>
        <w:rPr>
          <w:rFonts w:hint="eastAsia" w:ascii="Times New Roman" w:hAnsi="Times New Roman" w:eastAsia="仿宋_GB2312" w:cs="Times New Roman"/>
          <w:sz w:val="32"/>
          <w:szCs w:val="32"/>
        </w:rPr>
        <w:t>；将部门整体的绩效目标细化分解为具体的工作任务；通过清晰、可衡量的指标值予以体现，与部门年度的任务数或计划数相对应；与本年度部门预算资金相匹配；</w:t>
      </w:r>
      <w:r>
        <w:rPr>
          <w:rFonts w:ascii="Times New Roman" w:hAnsi="Times New Roman" w:eastAsia="仿宋_GB2312" w:cs="Times New Roman"/>
          <w:sz w:val="32"/>
          <w:szCs w:val="32"/>
        </w:rPr>
        <w:t>形成科学完整的部门总预算</w:t>
      </w:r>
      <w:r>
        <w:rPr>
          <w:rFonts w:hint="eastAsia" w:ascii="Times New Roman" w:hAnsi="Times New Roman" w:eastAsia="仿宋_GB2312" w:cs="Times New Roman"/>
          <w:sz w:val="32"/>
          <w:szCs w:val="32"/>
        </w:rPr>
        <w:t>。</w:t>
      </w:r>
    </w:p>
    <w:p>
      <w:pPr>
        <w:widowControl/>
        <w:spacing w:line="600" w:lineRule="exact"/>
        <w:ind w:firstLine="645"/>
        <w:jc w:val="left"/>
        <w:rPr>
          <w:rFonts w:hint="eastAsia" w:eastAsia="黑体"/>
          <w:sz w:val="32"/>
          <w:szCs w:val="32"/>
          <w:lang w:eastAsia="zh-CN"/>
        </w:rPr>
      </w:pPr>
      <w:r>
        <w:rPr>
          <w:rFonts w:hint="eastAsia" w:ascii="Times New Roman" w:hAnsi="Times New Roman" w:eastAsia="楷体_GB2312" w:cs="Times New Roman"/>
          <w:color w:val="auto"/>
          <w:spacing w:val="10"/>
          <w:w w:val="95"/>
          <w:sz w:val="32"/>
          <w:szCs w:val="32"/>
          <w:lang w:val="en-US" w:eastAsia="zh-CN"/>
        </w:rPr>
        <w:t>2.加强绩效管理。</w:t>
      </w:r>
      <w:r>
        <w:rPr>
          <w:rFonts w:hint="eastAsia" w:ascii="仿宋_GB2312" w:hAnsi="仿宋_GB2312" w:eastAsia="仿宋_GB2312" w:cs="仿宋_GB2312"/>
          <w:sz w:val="32"/>
          <w:szCs w:val="32"/>
          <w:lang w:val="en-US" w:eastAsia="zh-CN"/>
        </w:rPr>
        <w:t>提高绩效认识，重视绩效目标。细化部门工作计划，根据工作计划合理设置绩效目标。</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pStyle w:val="2"/>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pStyle w:val="2"/>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w:t>
      </w:r>
      <w:bookmarkStart w:id="3" w:name="_GoBack"/>
      <w:bookmarkEnd w:id="3"/>
      <w:r>
        <w:rPr>
          <w:rFonts w:hint="eastAsia" w:ascii="仿宋_GB2312" w:hAnsi="仿宋_GB2312" w:eastAsia="仿宋_GB2312" w:cs="仿宋_GB2312"/>
          <w:kern w:val="2"/>
          <w:sz w:val="32"/>
          <w:szCs w:val="32"/>
          <w:lang w:val="en-US" w:eastAsia="zh-CN" w:bidi="ar-SA"/>
        </w:rPr>
        <w:t xml:space="preserve"> 2022年3月30日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3A044550"/>
    <w:rsid w:val="3A076E09"/>
    <w:rsid w:val="3B8F3226"/>
    <w:rsid w:val="5A9D5D9B"/>
    <w:rsid w:val="7A792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0"/>
      <w:ind w:left="0" w:firstLine="420" w:firstLineChars="200"/>
    </w:pPr>
    <w:rPr>
      <w:rFonts w:ascii="Calibri" w:hAnsi="Calibri"/>
    </w:rPr>
  </w:style>
  <w:style w:type="paragraph" w:styleId="3">
    <w:name w:val="Body Text Indent"/>
    <w:basedOn w:val="1"/>
    <w:qFormat/>
    <w:uiPriority w:val="0"/>
    <w:pPr>
      <w:spacing w:after="120"/>
      <w:ind w:left="420" w:leftChars="200"/>
    </w:pPr>
    <w:rPr>
      <w:rFonts w:ascii="Times New Roman" w:hAnsi="Times New Roman"/>
    </w:rPr>
  </w:style>
  <w:style w:type="paragraph" w:styleId="4">
    <w:name w:val="Body Text"/>
    <w:basedOn w:val="1"/>
    <w:next w:val="1"/>
    <w:qFormat/>
    <w:uiPriority w:val="0"/>
    <w:pPr>
      <w:jc w:val="center"/>
    </w:pPr>
    <w:rPr>
      <w:sz w:val="72"/>
    </w:rPr>
  </w:style>
  <w:style w:type="paragraph" w:styleId="7">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2701</Words>
  <Characters>2841</Characters>
  <Lines>0</Lines>
  <Paragraphs>0</Paragraphs>
  <TotalTime>1</TotalTime>
  <ScaleCrop>false</ScaleCrop>
  <LinksUpToDate>false</LinksUpToDate>
  <CharactersWithSpaces>2841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2022-03-31T10:29:16Z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