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津市市农业农村局2021年度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9"/>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机构及人员情况</w:t>
      </w:r>
    </w:p>
    <w:p>
      <w:pPr>
        <w:autoSpaceDE w:val="0"/>
        <w:spacing w:line="580" w:lineRule="exact"/>
        <w:ind w:firstLine="630"/>
        <w:rPr>
          <w:rFonts w:hint="default" w:ascii="仿宋_GB2312" w:hAnsi="仿宋_GB2312" w:eastAsia="仿宋_GB2312"/>
          <w:sz w:val="32"/>
          <w:lang w:val="en-US" w:eastAsia="zh-CN"/>
        </w:rPr>
      </w:pPr>
      <w:r>
        <w:rPr>
          <w:rFonts w:hint="default" w:ascii="仿宋_GB2312" w:hAnsi="仿宋_GB2312" w:eastAsia="仿宋_GB2312"/>
          <w:sz w:val="32"/>
          <w:lang w:val="en-US" w:eastAsia="zh-CN"/>
        </w:rPr>
        <w:t>津市市农业农村局是财政全额拨款的正科级行政单位，</w:t>
      </w:r>
      <w:r>
        <w:rPr>
          <w:rFonts w:hint="eastAsia" w:ascii="仿宋" w:hAnsi="仿宋" w:eastAsia="仿宋" w:cs="仿宋"/>
          <w:sz w:val="32"/>
          <w:szCs w:val="32"/>
        </w:rPr>
        <w:t>本单位内设科室 14个，所属事业单位6 个，内设股室分别是综调室、办公室、计划规划股、科教组织人事股、农村社会事业促进股、法规股、乡村产业发展股、种植业管理股、农产品质量安全监督管理股、农田建设管理股、农业资源保护与利用股、农业机械化管理股、畜牧渔业股、农村合作经济与改革指导股。</w:t>
      </w:r>
      <w:r>
        <w:rPr>
          <w:rFonts w:hint="eastAsia" w:ascii="仿宋" w:hAnsi="仿宋" w:eastAsia="仿宋" w:cs="仿宋"/>
          <w:sz w:val="32"/>
          <w:szCs w:val="32"/>
          <w:lang w:eastAsia="zh-CN"/>
        </w:rPr>
        <w:t>本单位编制合计</w:t>
      </w:r>
      <w:r>
        <w:rPr>
          <w:rFonts w:hint="eastAsia" w:ascii="仿宋" w:hAnsi="仿宋" w:eastAsia="仿宋" w:cs="仿宋"/>
          <w:sz w:val="32"/>
          <w:szCs w:val="32"/>
          <w:lang w:val="en-US" w:eastAsia="zh-CN"/>
        </w:rPr>
        <w:t>77人，其中</w:t>
      </w:r>
      <w:r>
        <w:rPr>
          <w:rFonts w:hint="default" w:ascii="仿宋_GB2312" w:hAnsi="仿宋_GB2312" w:eastAsia="仿宋_GB2312"/>
          <w:sz w:val="32"/>
          <w:lang w:val="en-US" w:eastAsia="zh-CN"/>
        </w:rPr>
        <w:t>行政</w:t>
      </w:r>
      <w:r>
        <w:rPr>
          <w:rFonts w:hint="eastAsia" w:ascii="仿宋_GB2312" w:hAnsi="仿宋_GB2312" w:eastAsia="仿宋_GB2312"/>
          <w:sz w:val="32"/>
          <w:lang w:val="en-US" w:eastAsia="zh-CN"/>
        </w:rPr>
        <w:t>及参公</w:t>
      </w:r>
      <w:r>
        <w:rPr>
          <w:rFonts w:hint="default" w:ascii="仿宋_GB2312" w:hAnsi="仿宋_GB2312" w:eastAsia="仿宋_GB2312"/>
          <w:sz w:val="32"/>
          <w:lang w:val="en-US" w:eastAsia="zh-CN"/>
        </w:rPr>
        <w:t>编制</w:t>
      </w:r>
      <w:r>
        <w:rPr>
          <w:rFonts w:hint="eastAsia" w:ascii="仿宋_GB2312" w:hAnsi="仿宋_GB2312" w:eastAsia="仿宋_GB2312"/>
          <w:sz w:val="32"/>
          <w:lang w:val="en-US" w:eastAsia="zh-CN"/>
        </w:rPr>
        <w:t>13</w:t>
      </w:r>
      <w:r>
        <w:rPr>
          <w:rFonts w:hint="default" w:ascii="仿宋_GB2312" w:hAnsi="仿宋_GB2312" w:eastAsia="仿宋_GB2312"/>
          <w:sz w:val="32"/>
          <w:lang w:val="en-US" w:eastAsia="zh-CN"/>
        </w:rPr>
        <w:t>人，事业编制</w:t>
      </w:r>
      <w:r>
        <w:rPr>
          <w:rFonts w:hint="eastAsia" w:ascii="仿宋_GB2312" w:hAnsi="仿宋_GB2312" w:eastAsia="仿宋_GB2312"/>
          <w:sz w:val="32"/>
          <w:lang w:val="en-US" w:eastAsia="zh-CN"/>
        </w:rPr>
        <w:t>62</w:t>
      </w:r>
      <w:r>
        <w:rPr>
          <w:rFonts w:hint="default" w:ascii="仿宋_GB2312" w:hAnsi="仿宋_GB2312" w:eastAsia="仿宋_GB2312"/>
          <w:sz w:val="32"/>
          <w:lang w:val="en-US" w:eastAsia="zh-CN"/>
        </w:rPr>
        <w:t>人，</w:t>
      </w:r>
      <w:r>
        <w:rPr>
          <w:rFonts w:hint="eastAsia" w:ascii="仿宋_GB2312" w:hAnsi="仿宋_GB2312" w:eastAsia="仿宋_GB2312"/>
          <w:sz w:val="32"/>
          <w:lang w:val="en-US" w:eastAsia="zh-CN"/>
        </w:rPr>
        <w:t>工勤编制2人；</w:t>
      </w:r>
      <w:r>
        <w:rPr>
          <w:rFonts w:hint="default" w:ascii="仿宋_GB2312" w:hAnsi="仿宋_GB2312" w:eastAsia="仿宋_GB2312"/>
          <w:sz w:val="32"/>
          <w:lang w:val="en-US" w:eastAsia="zh-CN"/>
        </w:rPr>
        <w:t>实有</w:t>
      </w:r>
      <w:r>
        <w:rPr>
          <w:rFonts w:hint="eastAsia" w:ascii="仿宋_GB2312" w:hAnsi="仿宋_GB2312" w:eastAsia="仿宋_GB2312"/>
          <w:sz w:val="32"/>
          <w:lang w:val="en-US" w:eastAsia="zh-CN"/>
        </w:rPr>
        <w:t>编制合计59人，其中</w:t>
      </w:r>
      <w:r>
        <w:rPr>
          <w:rFonts w:hint="default" w:ascii="仿宋_GB2312" w:hAnsi="仿宋_GB2312" w:eastAsia="仿宋_GB2312"/>
          <w:sz w:val="32"/>
          <w:lang w:val="en-US" w:eastAsia="zh-CN"/>
        </w:rPr>
        <w:t>行政</w:t>
      </w:r>
      <w:r>
        <w:rPr>
          <w:rFonts w:hint="eastAsia" w:ascii="仿宋_GB2312" w:hAnsi="仿宋_GB2312" w:eastAsia="仿宋_GB2312"/>
          <w:sz w:val="32"/>
          <w:lang w:val="en-US" w:eastAsia="zh-CN"/>
        </w:rPr>
        <w:t>及参公</w:t>
      </w:r>
      <w:r>
        <w:rPr>
          <w:rFonts w:hint="default" w:ascii="仿宋_GB2312" w:hAnsi="仿宋_GB2312" w:eastAsia="仿宋_GB2312"/>
          <w:sz w:val="32"/>
          <w:lang w:val="en-US" w:eastAsia="zh-CN"/>
        </w:rPr>
        <w:t>编制</w:t>
      </w:r>
      <w:r>
        <w:rPr>
          <w:rFonts w:hint="eastAsia" w:ascii="仿宋_GB2312" w:hAnsi="仿宋_GB2312" w:eastAsia="仿宋_GB2312"/>
          <w:sz w:val="32"/>
          <w:lang w:val="en-US" w:eastAsia="zh-CN"/>
        </w:rPr>
        <w:t>15</w:t>
      </w:r>
      <w:r>
        <w:rPr>
          <w:rFonts w:hint="default" w:ascii="仿宋_GB2312" w:hAnsi="仿宋_GB2312" w:eastAsia="仿宋_GB2312"/>
          <w:sz w:val="32"/>
          <w:lang w:val="en-US" w:eastAsia="zh-CN"/>
        </w:rPr>
        <w:t>人，事业编制</w:t>
      </w:r>
      <w:r>
        <w:rPr>
          <w:rFonts w:hint="eastAsia" w:ascii="仿宋_GB2312" w:hAnsi="仿宋_GB2312" w:eastAsia="仿宋_GB2312"/>
          <w:sz w:val="32"/>
          <w:lang w:val="en-US" w:eastAsia="zh-CN"/>
        </w:rPr>
        <w:t>42</w:t>
      </w:r>
      <w:r>
        <w:rPr>
          <w:rFonts w:hint="default" w:ascii="仿宋_GB2312" w:hAnsi="仿宋_GB2312" w:eastAsia="仿宋_GB2312"/>
          <w:sz w:val="32"/>
          <w:lang w:val="en-US" w:eastAsia="zh-CN"/>
        </w:rPr>
        <w:t>人</w:t>
      </w:r>
      <w:r>
        <w:rPr>
          <w:rFonts w:hint="eastAsia" w:ascii="仿宋_GB2312" w:hAnsi="仿宋_GB2312" w:eastAsia="仿宋_GB2312"/>
          <w:sz w:val="32"/>
          <w:lang w:val="en-US" w:eastAsia="zh-CN"/>
        </w:rPr>
        <w:t>，工勤编制2人</w:t>
      </w:r>
      <w:r>
        <w:rPr>
          <w:rFonts w:hint="default" w:ascii="仿宋_GB2312" w:hAnsi="仿宋_GB2312" w:eastAsia="仿宋_GB2312"/>
          <w:sz w:val="32"/>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单位主要职责</w:t>
      </w:r>
    </w:p>
    <w:p>
      <w:pPr>
        <w:autoSpaceDE w:val="0"/>
        <w:spacing w:line="580" w:lineRule="exact"/>
        <w:ind w:firstLine="630"/>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1、</w:t>
      </w:r>
      <w:r>
        <w:rPr>
          <w:rFonts w:hint="default" w:ascii="仿宋_GB2312" w:hAnsi="仿宋_GB2312" w:eastAsia="仿宋_GB2312"/>
          <w:sz w:val="32"/>
          <w:lang w:val="en-US" w:eastAsia="zh-CN"/>
        </w:rPr>
        <w:t>贯彻执行中央、省、常德市有关农业和农村经济工作的方针政策、法律法规；组织拟定种植业、畜牧业、渔业、农业机械化等农业各产业（以下简称农业）发展战略、中长期发展规划并指导实施，参与研究提出深化农村经济体制改革的政策建议；推进农业依法行政。</w:t>
      </w:r>
    </w:p>
    <w:p>
      <w:pPr>
        <w:autoSpaceDE w:val="0"/>
        <w:spacing w:line="580" w:lineRule="exact"/>
        <w:ind w:firstLine="630"/>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2、</w:t>
      </w:r>
      <w:r>
        <w:rPr>
          <w:rFonts w:hint="default" w:ascii="仿宋_GB2312" w:hAnsi="仿宋_GB2312" w:eastAsia="仿宋_GB2312"/>
          <w:sz w:val="32"/>
          <w:lang w:val="en-US" w:eastAsia="zh-CN"/>
        </w:rPr>
        <w:t>指导粮食等主要农产品生产；引导农业产业结构调整和产品品质改善；会同有关部门指导农业标准化、规模化生产；会同有关部门提出扶持农业农村发展的财政政策和项目建议，参与研究提出农业固定资产投资规模、投资项目和市级财政性资金安排的建议，编报部门预算并组织执行。</w:t>
      </w:r>
    </w:p>
    <w:p>
      <w:pPr>
        <w:autoSpaceDE w:val="0"/>
        <w:spacing w:line="580" w:lineRule="exact"/>
        <w:ind w:firstLine="630"/>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3、</w:t>
      </w:r>
      <w:r>
        <w:rPr>
          <w:rFonts w:hint="default" w:ascii="仿宋_GB2312" w:hAnsi="仿宋_GB2312" w:eastAsia="仿宋_GB2312"/>
          <w:sz w:val="32"/>
          <w:lang w:val="en-US" w:eastAsia="zh-CN"/>
        </w:rPr>
        <w:t>提出农业产业保护政策建议，指导农产品加工结构调整、技术创新和服务体系建设；提出促进大宗农产品流通的政策建议；制定大宗农产品与农业投入品市场体系建设规划并指导实施；培育、保护和发展农产品品牌。</w:t>
      </w:r>
    </w:p>
    <w:p>
      <w:pPr>
        <w:autoSpaceDE w:val="0"/>
        <w:spacing w:line="580" w:lineRule="exact"/>
        <w:ind w:firstLine="630"/>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4、</w:t>
      </w:r>
      <w:r>
        <w:rPr>
          <w:rFonts w:hint="default" w:ascii="仿宋_GB2312" w:hAnsi="仿宋_GB2312" w:eastAsia="仿宋_GB2312"/>
          <w:sz w:val="32"/>
          <w:lang w:val="en-US" w:eastAsia="zh-CN"/>
        </w:rPr>
        <w:t>依法开展农产品质量安全监督管理工作，根据农业生产技术操作规程指导实施农产品生产；制定并组织实施农产品质量安全监测计划，对生产中或者市场上销售的农产品进行监督抽查；组织指导农业检验检测体系建设；在环境保护部门统一监督指导下，对农业环境保护工作实施具体监督管理。</w:t>
      </w:r>
    </w:p>
    <w:p>
      <w:pPr>
        <w:autoSpaceDE w:val="0"/>
        <w:spacing w:line="580" w:lineRule="exact"/>
        <w:ind w:firstLine="630"/>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5、</w:t>
      </w:r>
      <w:r>
        <w:rPr>
          <w:rFonts w:hint="default" w:ascii="仿宋_GB2312" w:hAnsi="仿宋_GB2312" w:eastAsia="仿宋_GB2312"/>
          <w:sz w:val="32"/>
          <w:lang w:val="en-US" w:eastAsia="zh-CN"/>
        </w:rPr>
        <w:t>依法开展农作物种子（种苗）、草种、农药等农业生产资料的行政许可和监督管理；负责有关肥料的监督管理；会同有关部门监督实施农业生产资料国家标准和地方标准。</w:t>
      </w:r>
    </w:p>
    <w:p>
      <w:pPr>
        <w:autoSpaceDE w:val="0"/>
        <w:spacing w:line="580" w:lineRule="exact"/>
        <w:ind w:firstLine="630"/>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6、</w:t>
      </w:r>
      <w:r>
        <w:rPr>
          <w:rFonts w:hint="default" w:ascii="仿宋_GB2312" w:hAnsi="仿宋_GB2312" w:eastAsia="仿宋_GB2312"/>
          <w:sz w:val="32"/>
          <w:lang w:val="en-US" w:eastAsia="zh-CN"/>
        </w:rPr>
        <w:t>负责农作物有害生物防治与植物检疫工作，提出农作物有害生物防治和植物防疫检疫的建议并指导实施；组织指导植保植检体系建设；组织指导农作物有害生物测报防治、植物检疫性有害生物普查防控；依法承担引进农作物种子（种苗）检疫工作。</w:t>
      </w:r>
    </w:p>
    <w:p>
      <w:pPr>
        <w:autoSpaceDE w:val="0"/>
        <w:spacing w:line="580" w:lineRule="exact"/>
        <w:ind w:firstLine="630"/>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7、</w:t>
      </w:r>
      <w:r>
        <w:rPr>
          <w:rFonts w:hint="default" w:ascii="仿宋_GB2312" w:hAnsi="仿宋_GB2312" w:eastAsia="仿宋_GB2312"/>
          <w:sz w:val="32"/>
          <w:lang w:val="en-US" w:eastAsia="zh-CN"/>
        </w:rPr>
        <w:t>承担农业防灾减灾的责任，监测、发布农业灾情；组织种子、化肥等救灾物资的储备和调拨；提出农业生产救灾资金安排建议，指导紧急救灾和灾后生产恢复。</w:t>
      </w:r>
    </w:p>
    <w:p>
      <w:pPr>
        <w:autoSpaceDE w:val="0"/>
        <w:spacing w:line="580" w:lineRule="exact"/>
        <w:ind w:firstLine="630"/>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8、</w:t>
      </w:r>
      <w:r>
        <w:rPr>
          <w:rFonts w:hint="default" w:ascii="仿宋_GB2312" w:hAnsi="仿宋_GB2312" w:eastAsia="仿宋_GB2312"/>
          <w:sz w:val="32"/>
          <w:lang w:val="en-US" w:eastAsia="zh-CN"/>
        </w:rPr>
        <w:t>制定农业科研、农技推广规划、计划和有关政策；会同有关部门组织全市农业科技创新体系和农业产业技术体系建设，实施科教兴农战略；组织重大科研和技术推广项目的遴选。组织实施农业科研、成果转化、科技示范和技术推广；负责农业科技成果管理；指导农技推广体系改革与建设；负责农业植物新品种保护；负责农业转基因生物安全监督管理。</w:t>
      </w:r>
    </w:p>
    <w:p>
      <w:pPr>
        <w:autoSpaceDE w:val="0"/>
        <w:spacing w:line="580" w:lineRule="exact"/>
        <w:ind w:firstLine="630"/>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9、</w:t>
      </w:r>
      <w:r>
        <w:rPr>
          <w:rFonts w:hint="default" w:ascii="仿宋_GB2312" w:hAnsi="仿宋_GB2312" w:eastAsia="仿宋_GB2312"/>
          <w:sz w:val="32"/>
          <w:lang w:val="en-US" w:eastAsia="zh-CN"/>
        </w:rPr>
        <w:t>会同有关部门拟订农业农村人才队伍建设规划并组织实施；指导农业教育和农业职业技能开发工作，参与实施农村实用人才培训工程；承担农村劳动力转移就业培训工作；会同有关部门依法实施农业农村人才专业技术资格和从业资格管理。</w:t>
      </w:r>
    </w:p>
    <w:p>
      <w:pPr>
        <w:autoSpaceDE w:val="0"/>
        <w:spacing w:line="580" w:lineRule="exact"/>
        <w:ind w:firstLine="630"/>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10、</w:t>
      </w:r>
      <w:r>
        <w:rPr>
          <w:rFonts w:hint="default" w:ascii="仿宋_GB2312" w:hAnsi="仿宋_GB2312" w:eastAsia="仿宋_GB2312"/>
          <w:sz w:val="32"/>
          <w:lang w:val="en-US" w:eastAsia="zh-CN"/>
        </w:rPr>
        <w:t>组织农业资源区划工作，指导农用地、宜农滩涂、宜农湿地以及农业生物物种资源的保护和管理；拟订耕地及基本农田质量保护与改良政策并指导实施，依法管理耕地质量；运用工程设施、农艺、农机、生物等措施发展节水农业。</w:t>
      </w:r>
    </w:p>
    <w:p>
      <w:pPr>
        <w:autoSpaceDE w:val="0"/>
        <w:spacing w:line="580" w:lineRule="exact"/>
        <w:ind w:firstLine="630"/>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11、</w:t>
      </w:r>
      <w:r>
        <w:rPr>
          <w:rFonts w:hint="default" w:ascii="仿宋_GB2312" w:hAnsi="仿宋_GB2312" w:eastAsia="仿宋_GB2312"/>
          <w:sz w:val="32"/>
          <w:lang w:val="en-US" w:eastAsia="zh-CN"/>
        </w:rPr>
        <w:t>制订并实施农业生态建设规划；指导农业生物质产业（不含沼气）发展和农业节能减排；承担指导农业面源污染治理有关工作；对农产品产地安全实行分类管理；指导生态农业、循环农业建设；牵头管理外来物种。</w:t>
      </w:r>
    </w:p>
    <w:p>
      <w:pPr>
        <w:autoSpaceDE w:val="0"/>
        <w:spacing w:line="580" w:lineRule="exact"/>
        <w:ind w:firstLine="630"/>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12、</w:t>
      </w:r>
      <w:r>
        <w:rPr>
          <w:rFonts w:hint="default" w:ascii="仿宋_GB2312" w:hAnsi="仿宋_GB2312" w:eastAsia="仿宋_GB2312"/>
          <w:sz w:val="32"/>
          <w:lang w:val="en-US" w:eastAsia="zh-CN"/>
        </w:rPr>
        <w:t>组织拟订全市蔬菜产业发展政策规划并组织实施，指导、协调全市蔬菜生产、销售和科研工作。</w:t>
      </w:r>
    </w:p>
    <w:p>
      <w:pPr>
        <w:autoSpaceDE w:val="0"/>
        <w:spacing w:line="580" w:lineRule="exact"/>
        <w:ind w:firstLine="630"/>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13、</w:t>
      </w:r>
      <w:r>
        <w:rPr>
          <w:rFonts w:hint="default" w:ascii="仿宋_GB2312" w:hAnsi="仿宋_GB2312" w:eastAsia="仿宋_GB2312"/>
          <w:sz w:val="32"/>
          <w:lang w:val="en-US" w:eastAsia="zh-CN"/>
        </w:rPr>
        <w:t>负责重大畜牧渔业和农业机械化投资项目实施的指导监督；负责重大畜牧渔业和农机执法的指导监督。</w:t>
      </w:r>
    </w:p>
    <w:p>
      <w:pPr>
        <w:autoSpaceDE w:val="0"/>
        <w:spacing w:line="580" w:lineRule="exact"/>
        <w:ind w:firstLine="630"/>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14、</w:t>
      </w:r>
      <w:r>
        <w:rPr>
          <w:rFonts w:hint="default" w:ascii="仿宋_GB2312" w:hAnsi="仿宋_GB2312" w:eastAsia="仿宋_GB2312"/>
          <w:sz w:val="32"/>
          <w:lang w:val="en-US" w:eastAsia="zh-CN"/>
        </w:rPr>
        <w:t>组织开展农业贸易促进和有关经济、技术交流与合作；指导农产品出口基地建设。</w:t>
      </w:r>
    </w:p>
    <w:p>
      <w:pPr>
        <w:autoSpaceDE w:val="0"/>
        <w:spacing w:line="580" w:lineRule="exact"/>
        <w:ind w:firstLine="630"/>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15、</w:t>
      </w:r>
      <w:r>
        <w:rPr>
          <w:rFonts w:hint="default" w:ascii="仿宋_GB2312" w:hAnsi="仿宋_GB2312" w:eastAsia="仿宋_GB2312"/>
          <w:sz w:val="32"/>
          <w:lang w:val="en-US" w:eastAsia="zh-CN"/>
        </w:rPr>
        <w:t>管理农业经济信息，监测分析农业经济运行，开展相关农业统计工作；负责农业信息化体系建设，指导农业信息服务。</w:t>
      </w:r>
    </w:p>
    <w:p>
      <w:pPr>
        <w:autoSpaceDE w:val="0"/>
        <w:spacing w:line="580" w:lineRule="exact"/>
        <w:ind w:firstLine="630"/>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16、</w:t>
      </w:r>
      <w:r>
        <w:rPr>
          <w:rFonts w:hint="default" w:ascii="仿宋_GB2312" w:hAnsi="仿宋_GB2312" w:eastAsia="仿宋_GB2312"/>
          <w:sz w:val="32"/>
          <w:lang w:val="en-US" w:eastAsia="zh-CN"/>
        </w:rPr>
        <w:t>承办市委、市政府交办的其他事项。</w:t>
      </w:r>
    </w:p>
    <w:p>
      <w:pPr>
        <w:pStyle w:val="9"/>
        <w:widowControl/>
        <w:spacing w:line="600" w:lineRule="exact"/>
        <w:ind w:left="0" w:leftChars="0" w:firstLine="640" w:firstLineChars="20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9"/>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pStyle w:val="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0</w:t>
      </w:r>
      <w:r>
        <w:rPr>
          <w:rFonts w:hint="eastAsia" w:asciiTheme="minorEastAsia" w:hAnsiTheme="minorEastAsia" w:eastAsiaTheme="minorEastAsia"/>
          <w:sz w:val="32"/>
          <w:szCs w:val="32"/>
          <w:lang w:val="en-US" w:eastAsia="zh-CN"/>
        </w:rPr>
        <w:t>21</w:t>
      </w:r>
      <w:r>
        <w:rPr>
          <w:rFonts w:hint="eastAsia" w:asciiTheme="minorEastAsia" w:hAnsiTheme="minorEastAsia" w:eastAsiaTheme="minorEastAsia"/>
          <w:sz w:val="32"/>
          <w:szCs w:val="32"/>
        </w:rPr>
        <w:t>年度财政拨款基本支出</w:t>
      </w:r>
      <w:r>
        <w:rPr>
          <w:rFonts w:hint="eastAsia" w:ascii="仿宋" w:hAnsi="仿宋" w:eastAsia="仿宋" w:cs="仿宋"/>
          <w:sz w:val="32"/>
          <w:szCs w:val="32"/>
          <w:lang w:val="en-US" w:eastAsia="zh-CN"/>
        </w:rPr>
        <w:t>765.96</w:t>
      </w:r>
      <w:r>
        <w:rPr>
          <w:rFonts w:hint="eastAsia" w:asciiTheme="minorEastAsia" w:hAnsiTheme="minorEastAsia" w:eastAsiaTheme="minorEastAsia"/>
          <w:sz w:val="32"/>
          <w:szCs w:val="32"/>
        </w:rPr>
        <w:t>万元，其中：人员经费</w:t>
      </w:r>
      <w:r>
        <w:rPr>
          <w:rFonts w:hint="eastAsia" w:ascii="宋体" w:hAnsi="宋体" w:eastAsia="宋体"/>
          <w:sz w:val="32"/>
          <w:szCs w:val="32"/>
          <w:lang w:val="en-US" w:eastAsia="zh-CN"/>
        </w:rPr>
        <w:t>707.84</w:t>
      </w:r>
      <w:r>
        <w:rPr>
          <w:rFonts w:hint="eastAsia" w:asciiTheme="minorEastAsia" w:hAnsiTheme="minorEastAsia" w:eastAsiaTheme="minorEastAsia"/>
          <w:sz w:val="32"/>
          <w:szCs w:val="32"/>
        </w:rPr>
        <w:t>万元，占基本支出的</w:t>
      </w:r>
      <w:r>
        <w:rPr>
          <w:rFonts w:hint="eastAsia" w:ascii="仿宋" w:hAnsi="仿宋" w:eastAsia="仿宋" w:cs="仿宋"/>
          <w:sz w:val="32"/>
          <w:szCs w:val="32"/>
          <w:lang w:val="en-US" w:eastAsia="zh-CN"/>
        </w:rPr>
        <w:t>92.41</w:t>
      </w:r>
      <w:r>
        <w:rPr>
          <w:rFonts w:hint="eastAsia" w:asciiTheme="minorEastAsia" w:hAnsiTheme="minorEastAsia" w:eastAsiaTheme="minorEastAsia"/>
          <w:sz w:val="32"/>
          <w:szCs w:val="32"/>
        </w:rPr>
        <w:t>%,主要包括基本工资、津贴补贴、奖金、伙食补助费</w:t>
      </w:r>
      <w:r>
        <w:rPr>
          <w:rFonts w:hint="eastAsia" w:asciiTheme="minorEastAsia" w:hAnsiTheme="minorEastAsia" w:eastAsiaTheme="minorEastAsia"/>
          <w:sz w:val="32"/>
          <w:szCs w:val="32"/>
          <w:lang w:eastAsia="zh-CN"/>
        </w:rPr>
        <w:t>、绩效工资、机关事业单位基本养老保险缴费、职工基本医疗保险缴费、住房公积金、其他工资福利支出、抚恤金、生活补助、助学金、奖励金、其他对个人和家庭的补助支出</w:t>
      </w:r>
      <w:r>
        <w:rPr>
          <w:rFonts w:hint="eastAsia" w:asciiTheme="minorEastAsia" w:hAnsiTheme="minorEastAsia" w:eastAsiaTheme="minorEastAsia"/>
          <w:sz w:val="32"/>
          <w:szCs w:val="32"/>
        </w:rPr>
        <w:t>；公用经费</w:t>
      </w:r>
      <w:r>
        <w:rPr>
          <w:rFonts w:hint="eastAsia" w:ascii="宋体" w:hAnsi="宋体" w:eastAsia="宋体"/>
          <w:sz w:val="32"/>
          <w:szCs w:val="32"/>
          <w:lang w:val="en-US" w:eastAsia="zh-CN"/>
        </w:rPr>
        <w:t>58.12</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7.59</w:t>
      </w:r>
      <w:r>
        <w:rPr>
          <w:rFonts w:hint="eastAsia" w:asciiTheme="minorEastAsia" w:hAnsiTheme="minorEastAsia" w:eastAsiaTheme="minorEastAsia"/>
          <w:sz w:val="32"/>
          <w:szCs w:val="32"/>
        </w:rPr>
        <w:t>%，主要包括</w:t>
      </w:r>
      <w:r>
        <w:rPr>
          <w:rFonts w:hint="eastAsia" w:asciiTheme="minorEastAsia" w:hAnsiTheme="minorEastAsia" w:eastAsiaTheme="minorEastAsia"/>
          <w:sz w:val="32"/>
          <w:szCs w:val="32"/>
          <w:lang w:eastAsia="zh-CN"/>
        </w:rPr>
        <w:t>水费、电费、差旅费、租赁费、培训费、公务接待费、劳务费、工会经费、公务用车运行维护费、</w:t>
      </w:r>
      <w:r>
        <w:rPr>
          <w:rFonts w:hint="eastAsia" w:asciiTheme="minorEastAsia" w:hAnsiTheme="minorEastAsia" w:eastAsiaTheme="minorEastAsia"/>
          <w:sz w:val="32"/>
          <w:szCs w:val="32"/>
        </w:rPr>
        <w:t>其他商品和服务支出。</w:t>
      </w:r>
    </w:p>
    <w:p>
      <w:pPr>
        <w:pStyle w:val="9"/>
        <w:widowControl/>
        <w:spacing w:line="600" w:lineRule="exact"/>
        <w:ind w:left="0" w:leftChars="0" w:firstLine="640" w:firstLineChars="20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spacing w:line="360" w:lineRule="auto"/>
        <w:ind w:firstLine="800" w:firstLineChars="250"/>
        <w:outlineLvl w:val="0"/>
        <w:rPr>
          <w:rFonts w:hint="eastAsia" w:ascii="仿宋_GB2312" w:hAnsi="仿宋_GB2312" w:eastAsia="仿宋_GB2312" w:cs="仿宋_GB2312"/>
          <w:sz w:val="32"/>
          <w:szCs w:val="32"/>
          <w:highlight w:val="none"/>
          <w:lang w:val="en-US" w:eastAsia="zh-CN"/>
        </w:rPr>
      </w:pP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0</w:t>
      </w:r>
      <w:r>
        <w:rPr>
          <w:rFonts w:hint="eastAsia" w:asciiTheme="minorEastAsia" w:hAnsiTheme="minorEastAsia" w:eastAsiaTheme="minorEastAsia"/>
          <w:sz w:val="32"/>
          <w:szCs w:val="32"/>
          <w:lang w:val="en-US" w:eastAsia="zh-CN"/>
        </w:rPr>
        <w:t>21</w:t>
      </w:r>
      <w:r>
        <w:rPr>
          <w:rFonts w:hint="eastAsia" w:asciiTheme="minorEastAsia" w:hAnsiTheme="minorEastAsia" w:eastAsiaTheme="minorEastAsia"/>
          <w:sz w:val="32"/>
          <w:szCs w:val="32"/>
        </w:rPr>
        <w:t>年度财政拨款</w:t>
      </w:r>
      <w:r>
        <w:rPr>
          <w:rFonts w:hint="eastAsia" w:ascii="仿宋" w:hAnsi="仿宋" w:eastAsia="仿宋" w:cs="仿宋"/>
          <w:sz w:val="32"/>
          <w:szCs w:val="32"/>
        </w:rPr>
        <w:t>项目支出</w:t>
      </w:r>
      <w:r>
        <w:rPr>
          <w:rFonts w:hint="eastAsia" w:ascii="仿宋" w:hAnsi="仿宋" w:eastAsia="仿宋" w:cs="仿宋"/>
          <w:sz w:val="32"/>
          <w:szCs w:val="32"/>
          <w:lang w:val="en-US" w:eastAsia="zh-CN"/>
        </w:rPr>
        <w:t>9276.7</w:t>
      </w:r>
      <w:r>
        <w:rPr>
          <w:rFonts w:hint="eastAsia" w:ascii="仿宋" w:hAnsi="仿宋" w:eastAsia="仿宋" w:cs="仿宋"/>
          <w:sz w:val="32"/>
          <w:szCs w:val="32"/>
        </w:rPr>
        <w:t>万元，占总支出的</w:t>
      </w:r>
      <w:r>
        <w:rPr>
          <w:rFonts w:hint="eastAsia" w:ascii="仿宋" w:hAnsi="仿宋" w:eastAsia="仿宋" w:cs="仿宋"/>
          <w:sz w:val="32"/>
          <w:szCs w:val="32"/>
          <w:lang w:val="en-US" w:eastAsia="zh-CN"/>
        </w:rPr>
        <w:t>92.37</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_GB2312" w:hAnsi="仿宋_GB2312" w:eastAsia="仿宋_GB2312" w:cs="仿宋_GB2312"/>
          <w:sz w:val="32"/>
          <w:szCs w:val="32"/>
          <w:lang w:val="en-US" w:eastAsia="zh-CN"/>
        </w:rPr>
        <w:t>2021年度高标准农田专项资金到位3878万元，</w:t>
      </w:r>
      <w:r>
        <w:rPr>
          <w:rFonts w:hint="eastAsia" w:ascii="仿宋_GB2312" w:hAnsi="仿宋_GB2312" w:eastAsia="仿宋_GB2312" w:cs="仿宋_GB2312"/>
          <w:sz w:val="32"/>
          <w:szCs w:val="32"/>
          <w:highlight w:val="none"/>
          <w:lang w:val="en-US" w:eastAsia="zh-CN"/>
        </w:rPr>
        <w:t>资金执行率为100%。</w:t>
      </w:r>
    </w:p>
    <w:p>
      <w:pPr>
        <w:pStyle w:val="3"/>
        <w:numPr>
          <w:ilvl w:val="0"/>
          <w:numId w:val="0"/>
        </w:numPr>
        <w:spacing w:line="360" w:lineRule="auto"/>
        <w:ind w:left="0" w:leftChars="0"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为了提高财政资金使用效率与效益，津市市高标准农田建设项目均在财政投资预算评审后再进行公开招投标，项目完工后，需要进行财政投资结算评审后，再由审计部门进行决算审计。津市市2021年度高标准农田建设专项资金，坚持专账专户管理，严格按照工程项目支付程序付款，做到专款专用。符合国家财经法规和财务管理制度以及有关专项资金管理办法的规定；资金拨付有完整的审批程序和手续；符合预算支出预算批复和合同规定的用途；没有截留、挤占、挪用、虐列支出等情况。</w:t>
      </w:r>
    </w:p>
    <w:p>
      <w:pPr>
        <w:spacing w:line="540" w:lineRule="exact"/>
        <w:ind w:firstLine="640" w:firstLineChars="200"/>
        <w:jc w:val="left"/>
        <w:rPr>
          <w:rFonts w:ascii="仿宋" w:hAnsi="仿宋" w:eastAsia="仿宋" w:cs="Times New Roman"/>
          <w:sz w:val="32"/>
          <w:szCs w:val="32"/>
        </w:rPr>
      </w:pPr>
      <w:r>
        <w:rPr>
          <w:rFonts w:ascii="Times New Roman" w:hAnsi="仿宋" w:eastAsia="仿宋" w:cs="Times New Roman"/>
          <w:color w:val="000000" w:themeColor="text1"/>
          <w:kern w:val="0"/>
          <w:sz w:val="32"/>
          <w:szCs w:val="32"/>
          <w14:textFill>
            <w14:solidFill>
              <w14:schemeClr w14:val="tx1"/>
            </w14:solidFill>
          </w14:textFill>
        </w:rPr>
        <w:t>根据</w:t>
      </w:r>
      <w:r>
        <w:rPr>
          <w:rFonts w:ascii="Times New Roman" w:hAnsi="仿宋" w:eastAsia="仿宋" w:cs="Times New Roman"/>
          <w:kern w:val="0"/>
          <w:sz w:val="32"/>
          <w:szCs w:val="32"/>
        </w:rPr>
        <w:t>湘农联〔</w:t>
      </w:r>
      <w:r>
        <w:rPr>
          <w:rFonts w:ascii="Times New Roman" w:hAnsi="Times New Roman" w:eastAsia="仿宋" w:cs="Times New Roman"/>
          <w:kern w:val="0"/>
          <w:sz w:val="32"/>
          <w:szCs w:val="32"/>
        </w:rPr>
        <w:t>2021</w:t>
      </w:r>
      <w:r>
        <w:rPr>
          <w:rFonts w:ascii="Times New Roman" w:hAnsi="仿宋" w:eastAsia="仿宋" w:cs="Times New Roman"/>
          <w:kern w:val="0"/>
          <w:sz w:val="32"/>
          <w:szCs w:val="32"/>
        </w:rPr>
        <w:t>〕</w:t>
      </w:r>
      <w:r>
        <w:rPr>
          <w:rFonts w:ascii="Times New Roman" w:hAnsi="Times New Roman" w:eastAsia="仿宋" w:cs="Times New Roman"/>
          <w:kern w:val="0"/>
          <w:sz w:val="32"/>
          <w:szCs w:val="32"/>
        </w:rPr>
        <w:t>66</w:t>
      </w:r>
      <w:r>
        <w:rPr>
          <w:rFonts w:ascii="Times New Roman" w:hAnsi="仿宋" w:eastAsia="仿宋" w:cs="Times New Roman"/>
          <w:kern w:val="0"/>
          <w:sz w:val="32"/>
          <w:szCs w:val="32"/>
        </w:rPr>
        <w:t>号</w:t>
      </w:r>
      <w:r>
        <w:rPr>
          <w:rFonts w:ascii="Times New Roman" w:hAnsi="仿宋" w:eastAsia="仿宋" w:cs="Times New Roman"/>
          <w:color w:val="000000" w:themeColor="text1"/>
          <w:kern w:val="0"/>
          <w:sz w:val="32"/>
          <w:szCs w:val="32"/>
          <w14:textFill>
            <w14:solidFill>
              <w14:schemeClr w14:val="tx1"/>
            </w14:solidFill>
          </w14:textFill>
        </w:rPr>
        <w:t>文件要求，农产品产地冷藏保鲜冷链设施建设</w:t>
      </w:r>
      <w:r>
        <w:rPr>
          <w:rFonts w:hint="eastAsia" w:ascii="Times New Roman" w:hAnsi="仿宋" w:eastAsia="仿宋" w:cs="Times New Roman"/>
          <w:color w:val="000000" w:themeColor="text1"/>
          <w:kern w:val="0"/>
          <w:sz w:val="32"/>
          <w:szCs w:val="32"/>
          <w:lang w:eastAsia="zh-CN"/>
          <w14:textFill>
            <w14:solidFill>
              <w14:schemeClr w14:val="tx1"/>
            </w14:solidFill>
          </w14:textFill>
        </w:rPr>
        <w:t>项目</w:t>
      </w:r>
      <w:r>
        <w:rPr>
          <w:rFonts w:hint="eastAsia" w:hAnsi="仿宋" w:eastAsia="仿宋" w:cs="Times New Roman"/>
          <w:color w:val="000000" w:themeColor="text1"/>
          <w:kern w:val="0"/>
          <w:sz w:val="32"/>
          <w:szCs w:val="32"/>
          <w:lang w:eastAsia="zh-CN"/>
          <w14:textFill>
            <w14:solidFill>
              <w14:schemeClr w14:val="tx1"/>
            </w14:solidFill>
          </w14:textFill>
        </w:rPr>
        <w:t>从</w:t>
      </w:r>
      <w:r>
        <w:rPr>
          <w:rFonts w:ascii="Times New Roman" w:hAnsi="仿宋" w:eastAsia="仿宋" w:cs="Times New Roman"/>
          <w:color w:val="000000" w:themeColor="text1"/>
          <w:kern w:val="0"/>
          <w:sz w:val="32"/>
          <w:szCs w:val="32"/>
          <w14:textFill>
            <w14:solidFill>
              <w14:schemeClr w14:val="tx1"/>
            </w14:solidFill>
          </w14:textFill>
        </w:rPr>
        <w:t>中央财政转移支付资金</w:t>
      </w:r>
      <w:r>
        <w:rPr>
          <w:rFonts w:hint="eastAsia" w:ascii="Times New Roman" w:hAnsi="仿宋" w:eastAsia="仿宋" w:cs="Times New Roman"/>
          <w:color w:val="000000" w:themeColor="text1"/>
          <w:kern w:val="0"/>
          <w:sz w:val="32"/>
          <w:szCs w:val="32"/>
          <w:lang w:val="en-US" w:eastAsia="zh-CN"/>
          <w14:textFill>
            <w14:solidFill>
              <w14:schemeClr w14:val="tx1"/>
            </w14:solidFill>
          </w14:textFill>
        </w:rPr>
        <w:t>609</w:t>
      </w:r>
      <w:r>
        <w:rPr>
          <w:rFonts w:hint="eastAsia" w:ascii="Times New Roman" w:hAnsi="仿宋" w:eastAsia="仿宋" w:cs="Times New Roman"/>
          <w:color w:val="000000" w:themeColor="text1"/>
          <w:kern w:val="0"/>
          <w:sz w:val="32"/>
          <w:szCs w:val="32"/>
          <w14:textFill>
            <w14:solidFill>
              <w14:schemeClr w14:val="tx1"/>
            </w14:solidFill>
          </w14:textFill>
        </w:rPr>
        <w:t>万元，</w:t>
      </w:r>
      <w:r>
        <w:rPr>
          <w:rFonts w:hint="eastAsia" w:ascii="Times New Roman" w:hAnsi="仿宋" w:eastAsia="仿宋" w:cs="Times New Roman"/>
          <w:sz w:val="32"/>
          <w:szCs w:val="32"/>
        </w:rPr>
        <w:t>实际发放补贴6</w:t>
      </w:r>
      <w:bookmarkStart w:id="0" w:name="OLE_LINK1"/>
      <w:r>
        <w:rPr>
          <w:rFonts w:hint="eastAsia" w:ascii="Times New Roman" w:hAnsi="仿宋" w:eastAsia="仿宋" w:cs="Times New Roman"/>
          <w:sz w:val="32"/>
          <w:szCs w:val="32"/>
          <w:lang w:val="en-US" w:eastAsia="zh-CN"/>
        </w:rPr>
        <w:t>09.2</w:t>
      </w:r>
      <w:r>
        <w:rPr>
          <w:rFonts w:hint="eastAsia" w:ascii="Times New Roman" w:hAnsi="仿宋" w:eastAsia="仿宋" w:cs="Times New Roman"/>
          <w:sz w:val="32"/>
          <w:szCs w:val="32"/>
        </w:rPr>
        <w:t>万元</w:t>
      </w:r>
      <w:bookmarkEnd w:id="0"/>
      <w:r>
        <w:rPr>
          <w:rFonts w:hint="eastAsia" w:ascii="Times New Roman" w:hAnsi="仿宋" w:eastAsia="仿宋" w:cs="Times New Roman"/>
          <w:sz w:val="32"/>
          <w:szCs w:val="32"/>
        </w:rPr>
        <w:t>，</w:t>
      </w:r>
      <w:r>
        <w:rPr>
          <w:rFonts w:hint="eastAsia" w:ascii="Times New Roman" w:hAnsi="仿宋" w:eastAsia="仿宋" w:cs="Times New Roman"/>
          <w:sz w:val="32"/>
          <w:szCs w:val="32"/>
          <w:lang w:val="en-US" w:eastAsia="zh-CN"/>
        </w:rPr>
        <w:t>0.2万元从2020年农产品仓储保鲜冷链设施建设项目中因补贴库容与实测库容不一致、信息采集系统未执行补贴政策而追缴的项目建设资金21.575万元中支出，</w:t>
      </w:r>
      <w:r>
        <w:rPr>
          <w:rFonts w:hint="eastAsia" w:ascii="Times New Roman" w:hAnsi="仿宋" w:eastAsia="仿宋" w:cs="Times New Roman"/>
          <w:sz w:val="32"/>
          <w:szCs w:val="32"/>
        </w:rPr>
        <w:t>实际发放补贴</w:t>
      </w:r>
      <w:r>
        <w:rPr>
          <w:rFonts w:hint="eastAsia" w:ascii="Times New Roman" w:hAnsi="仿宋" w:eastAsia="仿宋" w:cs="Times New Roman"/>
          <w:color w:val="000000" w:themeColor="text1"/>
          <w:kern w:val="0"/>
          <w:sz w:val="32"/>
          <w:szCs w:val="32"/>
          <w14:textFill>
            <w14:solidFill>
              <w14:schemeClr w14:val="tx1"/>
            </w14:solidFill>
          </w14:textFill>
        </w:rPr>
        <w:t>于2022年1月</w:t>
      </w:r>
      <w:r>
        <w:rPr>
          <w:rFonts w:ascii="Times New Roman" w:hAnsi="仿宋" w:eastAsia="仿宋" w:cs="Times New Roman"/>
          <w:color w:val="000000" w:themeColor="text1"/>
          <w:kern w:val="0"/>
          <w:sz w:val="32"/>
          <w:szCs w:val="32"/>
          <w14:textFill>
            <w14:solidFill>
              <w14:schemeClr w14:val="tx1"/>
            </w14:solidFill>
          </w14:textFill>
        </w:rPr>
        <w:t>全部到位</w:t>
      </w:r>
      <w:r>
        <w:rPr>
          <w:rFonts w:hint="eastAsia" w:ascii="Times New Roman" w:hAnsi="仿宋" w:eastAsia="仿宋" w:cs="Times New Roman"/>
          <w:color w:val="000000" w:themeColor="text1"/>
          <w:kern w:val="0"/>
          <w:sz w:val="32"/>
          <w:szCs w:val="32"/>
          <w14:textFill>
            <w14:solidFill>
              <w14:schemeClr w14:val="tx1"/>
            </w14:solidFill>
          </w14:textFill>
        </w:rPr>
        <w:t>。</w:t>
      </w:r>
      <w:r>
        <w:rPr>
          <w:rFonts w:ascii="Times New Roman" w:hAnsi="仿宋" w:eastAsia="仿宋" w:cs="Times New Roman"/>
          <w:color w:val="000000" w:themeColor="text1"/>
          <w:sz w:val="32"/>
          <w:szCs w:val="32"/>
          <w:shd w:val="clear" w:color="auto" w:fill="FFFFFF"/>
          <w14:textFill>
            <w14:solidFill>
              <w14:schemeClr w14:val="tx1"/>
            </w14:solidFill>
          </w14:textFill>
        </w:rPr>
        <w:t>在资金</w:t>
      </w:r>
      <w:r>
        <w:rPr>
          <w:rFonts w:hint="eastAsia" w:ascii="Times New Roman" w:hAnsi="仿宋" w:eastAsia="仿宋" w:cs="Times New Roman"/>
          <w:color w:val="000000" w:themeColor="text1"/>
          <w:sz w:val="32"/>
          <w:szCs w:val="32"/>
          <w:shd w:val="clear" w:color="auto" w:fill="FFFFFF"/>
          <w14:textFill>
            <w14:solidFill>
              <w14:schemeClr w14:val="tx1"/>
            </w14:solidFill>
          </w14:textFill>
        </w:rPr>
        <w:t>使用和</w:t>
      </w:r>
      <w:r>
        <w:rPr>
          <w:rFonts w:ascii="Times New Roman" w:hAnsi="仿宋" w:eastAsia="仿宋" w:cs="Times New Roman"/>
          <w:color w:val="000000" w:themeColor="text1"/>
          <w:sz w:val="32"/>
          <w:szCs w:val="32"/>
          <w:shd w:val="clear" w:color="auto" w:fill="FFFFFF"/>
          <w14:textFill>
            <w14:solidFill>
              <w14:schemeClr w14:val="tx1"/>
            </w14:solidFill>
          </w14:textFill>
        </w:rPr>
        <w:t>管理上强化责任意识，建立健全管理制度，严格</w:t>
      </w:r>
      <w:r>
        <w:rPr>
          <w:rFonts w:ascii="Times New Roman" w:hAnsi="仿宋" w:eastAsia="仿宋" w:cs="Times New Roman"/>
          <w:color w:val="000000" w:themeColor="text1"/>
          <w:kern w:val="0"/>
          <w:sz w:val="32"/>
          <w:szCs w:val="32"/>
          <w14:textFill>
            <w14:solidFill>
              <w14:schemeClr w14:val="tx1"/>
            </w14:solidFill>
          </w14:textFill>
        </w:rPr>
        <w:t>按照《中央改革发展资金管理使用办法》、《</w:t>
      </w:r>
      <w:r>
        <w:rPr>
          <w:rFonts w:hint="eastAsia" w:ascii="Times New Roman" w:hAnsi="仿宋" w:eastAsia="仿宋" w:cs="Times New Roman"/>
          <w:color w:val="000000" w:themeColor="text1"/>
          <w:kern w:val="0"/>
          <w:sz w:val="32"/>
          <w:szCs w:val="32"/>
          <w:lang w:eastAsia="zh-CN"/>
          <w14:textFill>
            <w14:solidFill>
              <w14:schemeClr w14:val="tx1"/>
            </w14:solidFill>
          </w14:textFill>
        </w:rPr>
        <w:t>津市市</w:t>
      </w:r>
      <w:r>
        <w:rPr>
          <w:rFonts w:ascii="Times New Roman" w:hAnsi="仿宋" w:eastAsia="仿宋" w:cs="Times New Roman"/>
          <w:color w:val="000000" w:themeColor="text1"/>
          <w:kern w:val="0"/>
          <w:sz w:val="32"/>
          <w:szCs w:val="32"/>
          <w14:textFill>
            <w14:solidFill>
              <w14:schemeClr w14:val="tx1"/>
            </w14:solidFill>
          </w14:textFill>
        </w:rPr>
        <w:t>农业农村局项目资金管理办法》，依法实施政府采购，依规进行</w:t>
      </w:r>
      <w:r>
        <w:rPr>
          <w:rFonts w:hint="eastAsia" w:ascii="Times New Roman" w:hAnsi="仿宋" w:eastAsia="仿宋" w:cs="Times New Roman"/>
          <w:color w:val="000000" w:themeColor="text1"/>
          <w:kern w:val="0"/>
          <w:sz w:val="32"/>
          <w:szCs w:val="32"/>
          <w:lang w:eastAsia="zh-CN"/>
          <w14:textFill>
            <w14:solidFill>
              <w14:schemeClr w14:val="tx1"/>
            </w14:solidFill>
          </w14:textFill>
        </w:rPr>
        <w:t>市</w:t>
      </w:r>
      <w:r>
        <w:rPr>
          <w:rFonts w:ascii="Times New Roman" w:hAnsi="仿宋" w:eastAsia="仿宋" w:cs="Times New Roman"/>
          <w:color w:val="000000" w:themeColor="text1"/>
          <w:kern w:val="0"/>
          <w:sz w:val="32"/>
          <w:szCs w:val="32"/>
          <w14:textFill>
            <w14:solidFill>
              <w14:schemeClr w14:val="tx1"/>
            </w14:solidFill>
          </w14:textFill>
        </w:rPr>
        <w:t>财政转移支付、集中支付，实施动态监控，过程跟踪，及时公开资金管理使用情况，接受组织、个人或社会团体监督，</w:t>
      </w:r>
      <w:r>
        <w:rPr>
          <w:rFonts w:ascii="Times New Roman" w:hAnsi="仿宋" w:eastAsia="仿宋" w:cs="Times New Roman"/>
          <w:color w:val="000000" w:themeColor="text1"/>
          <w:sz w:val="32"/>
          <w:szCs w:val="32"/>
          <w:shd w:val="clear" w:color="auto" w:fill="FFFFFF"/>
          <w14:textFill>
            <w14:solidFill>
              <w14:schemeClr w14:val="tx1"/>
            </w14:solidFill>
          </w14:textFill>
        </w:rPr>
        <w:t>确保财政资金使用安全</w:t>
      </w:r>
      <w:r>
        <w:rPr>
          <w:rFonts w:hint="eastAsia" w:ascii="Times New Roman" w:hAnsi="仿宋" w:eastAsia="仿宋" w:cs="Times New Roman"/>
          <w:color w:val="000000" w:themeColor="text1"/>
          <w:sz w:val="32"/>
          <w:szCs w:val="32"/>
          <w:shd w:val="clear" w:color="auto" w:fill="FFFFFF"/>
          <w14:textFill>
            <w14:solidFill>
              <w14:schemeClr w14:val="tx1"/>
            </w14:solidFill>
          </w14:textFill>
        </w:rPr>
        <w:t>；在项目组织和管理上，</w:t>
      </w:r>
      <w:r>
        <w:rPr>
          <w:rFonts w:hint="eastAsia" w:ascii="仿宋" w:hAnsi="仿宋" w:eastAsia="仿宋" w:cs="Times New Roman"/>
          <w:sz w:val="32"/>
          <w:szCs w:val="32"/>
        </w:rPr>
        <w:t>严格按照省市要求，</w:t>
      </w:r>
      <w:r>
        <w:rPr>
          <w:rFonts w:ascii="仿宋" w:hAnsi="仿宋" w:eastAsia="仿宋" w:cs="Times New Roman"/>
          <w:sz w:val="32"/>
          <w:szCs w:val="32"/>
        </w:rPr>
        <w:t>成立农产品产地冷藏保鲜冷链设施建设工作领导小组，抽调专门工作人员，安排专项工作经费，明确以政府整合涉农资金、建设主体自筹资金和申请省级专项建设资金等多渠道筹资，从服务好“三农”工作入手，加强宣传、抓好摸底，把好审核验收关</w:t>
      </w:r>
      <w:r>
        <w:rPr>
          <w:rFonts w:hint="eastAsia" w:ascii="仿宋" w:hAnsi="仿宋" w:eastAsia="仿宋" w:cs="Times New Roman"/>
          <w:sz w:val="32"/>
          <w:szCs w:val="32"/>
        </w:rPr>
        <w:t>等方面</w:t>
      </w:r>
      <w:r>
        <w:rPr>
          <w:rFonts w:ascii="仿宋" w:hAnsi="仿宋" w:eastAsia="仿宋" w:cs="Times New Roman"/>
          <w:sz w:val="32"/>
          <w:szCs w:val="32"/>
        </w:rPr>
        <w:t>，高质量、高标准、严要求推进</w:t>
      </w:r>
      <w:r>
        <w:rPr>
          <w:rFonts w:ascii="仿宋" w:hAnsi="仿宋" w:eastAsia="仿宋" w:cs="Times New Roman"/>
          <w:kern w:val="0"/>
          <w:sz w:val="32"/>
          <w:szCs w:val="32"/>
        </w:rPr>
        <w:t>农产品产地冷藏保鲜冷链设施建设</w:t>
      </w:r>
      <w:r>
        <w:rPr>
          <w:rFonts w:ascii="仿宋" w:hAnsi="仿宋" w:eastAsia="仿宋" w:cs="Times New Roman"/>
          <w:sz w:val="32"/>
          <w:szCs w:val="32"/>
        </w:rPr>
        <w:t>工作。</w:t>
      </w:r>
    </w:p>
    <w:p>
      <w:pPr>
        <w:spacing w:beforeLines="0" w:afterLines="0"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2021年津市市农业农村局根据《湖南省农业农村厅、湖南省乡村振兴局关于做好2021年省巩固拓展产业扶贫成果重点项目工作的通知》（湘农联</w:t>
      </w:r>
      <w:r>
        <w:rPr>
          <w:rFonts w:hint="eastAsia" w:ascii="仿宋_GB2312" w:hAnsi="仿宋_GB2312" w:eastAsia="仿宋_GB2312" w:cs="仿宋_GB2312"/>
          <w:sz w:val="32"/>
          <w:szCs w:val="32"/>
        </w:rPr>
        <w:t>〔2021〕84号</w:t>
      </w:r>
      <w:r>
        <w:rPr>
          <w:rFonts w:hint="eastAsia" w:ascii="仿宋" w:hAnsi="仿宋" w:eastAsia="仿宋" w:cs="仿宋"/>
          <w:sz w:val="32"/>
          <w:szCs w:val="32"/>
        </w:rPr>
        <w:t>）文件精神，</w:t>
      </w:r>
    </w:p>
    <w:p>
      <w:pPr>
        <w:spacing w:beforeLines="0" w:afterLines="0" w:line="600" w:lineRule="exact"/>
        <w:jc w:val="left"/>
        <w:rPr>
          <w:rFonts w:hint="eastAsia"/>
          <w:sz w:val="32"/>
          <w:szCs w:val="32"/>
        </w:rPr>
      </w:pPr>
      <w:r>
        <w:rPr>
          <w:rFonts w:hint="eastAsia" w:ascii="仿宋" w:hAnsi="仿宋" w:eastAsia="仿宋" w:cs="仿宋"/>
          <w:sz w:val="32"/>
          <w:szCs w:val="32"/>
        </w:rPr>
        <w:t>通过主体自主申报、遴选、评审、公示等程序，最终确定向省农业农村厅推荐了湖南和平生物科技有限公司中药材标准化生产基地和津市市白衣镇荣贵藠果专业合作社藠果标准化生产基地2个项目。省农业农村厅拨付津市2021年巩固产业扶贫成果重点项目资金230万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2021年全市共有户厕改造任务3349户（其中新洲镇775户、毛里湖镇875户、白衣镇601户、药山镇1000户、金鱼岭街道66户、嘉山街道32户），农村公厕建设10座（其中新洲镇1座、毛里湖镇3座、白衣镇1座、药山镇4座、嘉山街道1座）。截至2021年底完成农村户厕改造2386户（验收合格2017户），公厕建设任务全部完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pPr>
      <w:r>
        <w:rPr>
          <w:rFonts w:hint="eastAsia" w:ascii="Times New Roman" w:hAnsi="Times New Roman" w:eastAsia="仿宋_GB2312" w:cs="Times New Roman"/>
          <w:sz w:val="32"/>
          <w:szCs w:val="32"/>
          <w:lang w:val="en-US" w:eastAsia="zh-CN"/>
        </w:rPr>
        <w:t>农村改厕作为“省重点民生实事”，市委市政府高度重视，多次召开专题会议调度改厕工作，相关部门、各镇街主要负责人亲自调度，充分凝聚市、镇、村三级力量，严格把关，确保从农户申报、厕具采购、“首厕过关”、安装工艺、逐级验收、系统录入、网格化管理各个环节有序推进，不断提升改厕效果，农村人居环境不断改善。</w:t>
      </w:r>
    </w:p>
    <w:p>
      <w:pPr>
        <w:pStyle w:val="3"/>
        <w:numPr>
          <w:ilvl w:val="0"/>
          <w:numId w:val="0"/>
        </w:numPr>
        <w:spacing w:line="360" w:lineRule="auto"/>
        <w:ind w:left="0" w:leftChars="0" w:firstLine="640" w:firstLineChars="200"/>
        <w:jc w:val="left"/>
        <w:rPr>
          <w:rFonts w:hint="eastAsia" w:ascii="仿宋_GB2312" w:hAnsi="仿宋_GB2312" w:eastAsia="仿宋" w:cs="仿宋_GB2312"/>
          <w:kern w:val="2"/>
          <w:sz w:val="32"/>
          <w:szCs w:val="32"/>
          <w:lang w:val="en-US" w:eastAsia="zh-CN" w:bidi="ar-SA"/>
        </w:rPr>
      </w:pPr>
    </w:p>
    <w:p>
      <w:pPr>
        <w:pStyle w:val="3"/>
        <w:numPr>
          <w:ilvl w:val="0"/>
          <w:numId w:val="0"/>
        </w:numPr>
        <w:spacing w:line="360" w:lineRule="auto"/>
        <w:ind w:left="0" w:leftChars="0" w:firstLine="640" w:firstLineChars="200"/>
        <w:jc w:val="left"/>
        <w:rPr>
          <w:rFonts w:hint="eastAsia" w:ascii="仿宋_GB2312" w:hAnsi="仿宋_GB2312" w:eastAsia="仿宋_GB2312" w:cs="仿宋_GB2312"/>
          <w:kern w:val="2"/>
          <w:sz w:val="32"/>
          <w:szCs w:val="32"/>
          <w:lang w:val="en-US" w:eastAsia="zh-CN" w:bidi="ar-SA"/>
        </w:rPr>
      </w:pPr>
    </w:p>
    <w:p>
      <w:pPr>
        <w:pStyle w:val="9"/>
        <w:widowControl/>
        <w:numPr>
          <w:ilvl w:val="0"/>
          <w:numId w:val="0"/>
        </w:numPr>
        <w:spacing w:line="600" w:lineRule="exact"/>
        <w:ind w:firstLine="640" w:firstLineChars="200"/>
        <w:jc w:val="left"/>
        <w:rPr>
          <w:rFonts w:ascii="Times New Roman" w:hAnsi="Times New Roman" w:eastAsia="黑体"/>
          <w:sz w:val="32"/>
          <w:szCs w:val="32"/>
        </w:rPr>
      </w:pPr>
      <w:r>
        <w:rPr>
          <w:rFonts w:hint="eastAsia" w:ascii="Times New Roman" w:hAnsi="Times New Roman" w:eastAsia="黑体"/>
          <w:sz w:val="32"/>
          <w:szCs w:val="32"/>
          <w:lang w:eastAsia="zh-CN"/>
        </w:rPr>
        <w:t>三</w:t>
      </w:r>
      <w:r>
        <w:rPr>
          <w:rFonts w:hint="eastAsia" w:ascii="Times New Roman" w:hAnsi="Times New Roman" w:eastAsia="黑体"/>
          <w:sz w:val="32"/>
          <w:szCs w:val="32"/>
        </w:rPr>
        <w:t>、</w:t>
      </w:r>
      <w:r>
        <w:rPr>
          <w:rFonts w:ascii="Times New Roman" w:hAnsi="Times New Roman" w:eastAsia="黑体"/>
          <w:sz w:val="32"/>
          <w:szCs w:val="32"/>
        </w:rPr>
        <w:t>政府性基金预算支出情况</w:t>
      </w:r>
    </w:p>
    <w:p>
      <w:pPr>
        <w:pStyle w:val="9"/>
        <w:widowControl/>
        <w:numPr>
          <w:ilvl w:val="0"/>
          <w:numId w:val="0"/>
        </w:numPr>
        <w:spacing w:line="600" w:lineRule="exact"/>
        <w:ind w:left="640" w:leftChars="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本单位无政府性基金预算支出</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spacing w:line="580" w:lineRule="exact"/>
        <w:ind w:firstLine="640" w:firstLineChars="200"/>
        <w:rPr>
          <w:rFonts w:hint="eastAsia" w:ascii="Times New Roman" w:hAnsi="Times New Roman" w:eastAsia="仿宋_GB2312" w:cs="Times New Roman"/>
          <w:sz w:val="32"/>
          <w:szCs w:val="32"/>
          <w:lang w:eastAsia="zh-CN"/>
        </w:rPr>
      </w:pPr>
      <w:r>
        <w:rPr>
          <w:rFonts w:hint="eastAsia" w:eastAsia="仿宋_GB2312"/>
          <w:sz w:val="32"/>
          <w:szCs w:val="32"/>
          <w:lang w:val="en-US" w:eastAsia="zh-CN"/>
        </w:rPr>
        <w:t>2021年</w:t>
      </w:r>
      <w:r>
        <w:rPr>
          <w:rFonts w:hint="eastAsia" w:ascii="Times New Roman" w:hAnsi="Times New Roman" w:eastAsia="仿宋_GB2312" w:cs="Times New Roman"/>
          <w:sz w:val="32"/>
          <w:szCs w:val="32"/>
          <w:lang w:eastAsia="zh-CN"/>
        </w:rPr>
        <w:t>农业农村工作</w:t>
      </w:r>
      <w:r>
        <w:rPr>
          <w:rFonts w:hint="eastAsia" w:ascii="Times New Roman" w:hAnsi="Times New Roman" w:eastAsia="仿宋_GB2312" w:cs="Times New Roman"/>
          <w:sz w:val="32"/>
          <w:szCs w:val="32"/>
          <w:lang w:val="en-US" w:eastAsia="zh-CN"/>
        </w:rPr>
        <w:t>在市委、市政府的领导下，紧扣</w:t>
      </w:r>
      <w:r>
        <w:rPr>
          <w:rFonts w:hint="eastAsia" w:ascii="Times New Roman" w:hAnsi="Times New Roman" w:eastAsia="仿宋_GB2312" w:cs="Times New Roman"/>
          <w:sz w:val="32"/>
          <w:szCs w:val="32"/>
          <w:lang w:eastAsia="zh-CN"/>
        </w:rPr>
        <w:t>全面推进乡村振兴</w:t>
      </w:r>
      <w:r>
        <w:rPr>
          <w:rFonts w:hint="eastAsia" w:ascii="Times New Roman" w:hAnsi="Times New Roman" w:eastAsia="仿宋_GB2312" w:cs="Times New Roman"/>
          <w:sz w:val="32"/>
          <w:szCs w:val="32"/>
          <w:lang w:val="en-US" w:eastAsia="zh-CN"/>
        </w:rPr>
        <w:t>主线</w:t>
      </w:r>
      <w:r>
        <w:rPr>
          <w:rFonts w:hint="eastAsia" w:ascii="Times New Roman" w:hAnsi="Times New Roman" w:eastAsia="仿宋_GB2312" w:cs="Times New Roman"/>
          <w:sz w:val="32"/>
          <w:szCs w:val="32"/>
          <w:lang w:eastAsia="zh-CN"/>
        </w:rPr>
        <w:t>，锚定加快农业农村现代化目标，通过探索构建农业高质高效、乡村宜居宜业、农民富裕富足的有效实现形式，按照“一二三”的发展路线，重点抓了三个方面的工作。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sz w:val="32"/>
          <w:szCs w:val="32"/>
          <w:lang w:eastAsia="zh-CN"/>
        </w:rPr>
      </w:pPr>
      <w:r>
        <w:rPr>
          <w:rFonts w:hint="eastAsia" w:ascii="楷体_GB2312" w:hAnsi="楷体_GB2312" w:eastAsia="楷体_GB2312" w:cs="楷体_GB2312"/>
          <w:b w:val="0"/>
          <w:bCs/>
          <w:sz w:val="32"/>
          <w:szCs w:val="32"/>
          <w:lang w:eastAsia="zh-CN"/>
        </w:rPr>
        <w:t>（一）紧盯一件大事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精准对标市委、市政府“南北双环”乡村振兴示范带建设的顶层设计，按照“项目跟着市场主体走，资金跟着项目建设走”的原则，共向“南北双环”安排预算资金3550万元，实施了三大板块17个子项目建设。其中：金鱼岭街道文旅项目主体框架已基本成型，毛里湖镇七彩油菜花海项目完成了1500亩土地流转，药山镇文化旅游建设项目相关道路建设正在施工，其他子项目也抓紧启动之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b w:val="0"/>
          <w:bCs/>
          <w:sz w:val="32"/>
          <w:szCs w:val="32"/>
          <w:lang w:val="en-US" w:eastAsia="zh-CN"/>
        </w:rPr>
        <w:t>（二）筑牢二项底板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bCs/>
          <w:color w:val="000000"/>
          <w:spacing w:val="0"/>
          <w:w w:val="100"/>
          <w:position w:val="0"/>
          <w:sz w:val="32"/>
          <w:szCs w:val="32"/>
          <w:lang w:val="en-US" w:eastAsia="zh-CN"/>
        </w:rPr>
      </w:pPr>
      <w:r>
        <w:rPr>
          <w:rFonts w:hint="default" w:ascii="Times New Roman" w:hAnsi="Times New Roman" w:eastAsia="楷体" w:cs="Times New Roman"/>
          <w:b w:val="0"/>
          <w:bCs/>
          <w:sz w:val="32"/>
          <w:szCs w:val="32"/>
          <w:lang w:val="en-US" w:eastAsia="zh-CN"/>
        </w:rPr>
        <w:t>1.</w:t>
      </w:r>
      <w:r>
        <w:rPr>
          <w:rFonts w:hint="default" w:ascii="Times New Roman" w:hAnsi="Times New Roman" w:eastAsia="楷体" w:cs="Times New Roman"/>
          <w:b w:val="0"/>
          <w:bCs/>
          <w:color w:val="000000"/>
          <w:spacing w:val="0"/>
          <w:w w:val="100"/>
          <w:position w:val="0"/>
          <w:sz w:val="32"/>
          <w:szCs w:val="32"/>
          <w:lang w:val="en-US" w:eastAsia="zh-CN"/>
        </w:rPr>
        <w:t>粮食生产</w:t>
      </w:r>
      <w:r>
        <w:rPr>
          <w:rFonts w:hint="eastAsia" w:ascii="Times New Roman" w:hAnsi="Times New Roman" w:eastAsia="楷体" w:cs="Times New Roman"/>
          <w:b w:val="0"/>
          <w:bCs/>
          <w:color w:val="000000"/>
          <w:spacing w:val="0"/>
          <w:w w:val="100"/>
          <w:position w:val="0"/>
          <w:sz w:val="32"/>
          <w:szCs w:val="32"/>
          <w:lang w:val="en-US" w:eastAsia="zh-CN"/>
        </w:rPr>
        <w:t>安全底板</w:t>
      </w:r>
      <w:r>
        <w:rPr>
          <w:rFonts w:hint="default" w:ascii="Times New Roman" w:hAnsi="Times New Roman" w:eastAsia="楷体" w:cs="Times New Roman"/>
          <w:b w:val="0"/>
          <w:bCs/>
          <w:color w:val="000000"/>
          <w:spacing w:val="0"/>
          <w:w w:val="100"/>
          <w:position w:val="0"/>
          <w:sz w:val="32"/>
          <w:szCs w:val="32"/>
          <w:lang w:val="en-US" w:eastAsia="zh-CN"/>
        </w:rPr>
        <w:t>。</w:t>
      </w:r>
      <w:r>
        <w:rPr>
          <w:rFonts w:hint="default" w:ascii="Times New Roman" w:hAnsi="Times New Roman" w:eastAsia="仿宋_GB2312" w:cs="Times New Roman"/>
          <w:b/>
          <w:bCs w:val="0"/>
          <w:color w:val="000000"/>
          <w:spacing w:val="0"/>
          <w:w w:val="100"/>
          <w:position w:val="0"/>
          <w:sz w:val="32"/>
          <w:szCs w:val="32"/>
          <w:lang w:val="en-US" w:eastAsia="zh-CN"/>
        </w:rPr>
        <w:t>一是</w:t>
      </w:r>
      <w:r>
        <w:rPr>
          <w:rFonts w:hint="default" w:ascii="Times New Roman" w:hAnsi="Times New Roman" w:eastAsia="仿宋_GB2312" w:cs="Times New Roman"/>
          <w:b/>
          <w:bCs w:val="0"/>
          <w:sz w:val="32"/>
          <w:szCs w:val="32"/>
          <w:lang w:eastAsia="zh-CN"/>
        </w:rPr>
        <w:t>粮食生产任务全面完成。</w:t>
      </w:r>
      <w:r>
        <w:rPr>
          <w:rFonts w:hint="default" w:ascii="Times New Roman" w:hAnsi="Times New Roman" w:eastAsia="仿宋_GB2312" w:cs="Times New Roman"/>
          <w:sz w:val="32"/>
          <w:szCs w:val="32"/>
          <w:lang w:val="en-US" w:eastAsia="zh-CN"/>
        </w:rPr>
        <w:t>34万亩粮食生产面积任务、13.7万吨产量任务及2.2万亩早稻专业化集中育秧任务全面完成</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bCs/>
          <w:sz w:val="32"/>
          <w:szCs w:val="32"/>
          <w:lang w:eastAsia="zh-CN"/>
        </w:rPr>
        <w:t>二是</w:t>
      </w:r>
      <w:r>
        <w:rPr>
          <w:rFonts w:hint="default" w:ascii="Times New Roman" w:hAnsi="Times New Roman" w:eastAsia="仿宋_GB2312" w:cs="Times New Roman"/>
          <w:b/>
          <w:bCs/>
          <w:color w:val="000000"/>
          <w:spacing w:val="0"/>
          <w:w w:val="100"/>
          <w:position w:val="0"/>
          <w:sz w:val="32"/>
          <w:szCs w:val="32"/>
          <w:lang w:val="en-US" w:eastAsia="zh-CN"/>
        </w:rPr>
        <w:t>耕地抛荒有效遏制。</w:t>
      </w:r>
      <w:r>
        <w:rPr>
          <w:rFonts w:hint="default" w:ascii="Times New Roman" w:hAnsi="Times New Roman" w:eastAsia="仿宋_GB2312" w:cs="Times New Roman"/>
          <w:sz w:val="32"/>
          <w:szCs w:val="32"/>
          <w:lang w:val="en-US" w:eastAsia="zh-CN"/>
        </w:rPr>
        <w:t>完成抛荒耕地复耕面</w:t>
      </w:r>
      <w:r>
        <w:rPr>
          <w:rFonts w:hint="default" w:ascii="Times New Roman" w:hAnsi="Times New Roman" w:eastAsia="仿宋_GB2312" w:cs="Times New Roman"/>
          <w:color w:val="000000"/>
          <w:spacing w:val="0"/>
          <w:w w:val="100"/>
          <w:position w:val="0"/>
          <w:sz w:val="32"/>
          <w:szCs w:val="32"/>
          <w:lang w:val="en-US" w:eastAsia="zh-CN"/>
        </w:rPr>
        <w:t>积4837.59亩，其中复种4186.61亩，超额完成今年4000亩治理任务。</w:t>
      </w:r>
      <w:r>
        <w:rPr>
          <w:rFonts w:hint="default" w:ascii="Times New Roman" w:hAnsi="Times New Roman" w:eastAsia="仿宋_GB2312" w:cs="Times New Roman"/>
          <w:b/>
          <w:bCs/>
          <w:color w:val="000000"/>
          <w:spacing w:val="0"/>
          <w:w w:val="100"/>
          <w:position w:val="0"/>
          <w:sz w:val="32"/>
          <w:szCs w:val="32"/>
          <w:lang w:val="en-US" w:eastAsia="zh-CN"/>
        </w:rPr>
        <w:t>三是高标准农田建设有序推进。</w:t>
      </w:r>
      <w:r>
        <w:rPr>
          <w:rFonts w:hint="default" w:ascii="Times New Roman" w:hAnsi="Times New Roman" w:eastAsia="仿宋_GB2312" w:cs="Times New Roman"/>
          <w:color w:val="000000"/>
          <w:spacing w:val="0"/>
          <w:w w:val="100"/>
          <w:position w:val="0"/>
          <w:sz w:val="32"/>
          <w:szCs w:val="32"/>
          <w:lang w:val="en-US" w:eastAsia="zh-CN"/>
        </w:rPr>
        <w:t>完成2020年2.16万亩高标准农田建设；2021年2.5万亩建设任务已全面开工建设，12月底</w:t>
      </w:r>
      <w:r>
        <w:rPr>
          <w:rFonts w:hint="eastAsia" w:ascii="Times New Roman" w:hAnsi="Times New Roman" w:eastAsia="仿宋_GB2312" w:cs="Times New Roman"/>
          <w:color w:val="000000"/>
          <w:spacing w:val="0"/>
          <w:w w:val="100"/>
          <w:position w:val="0"/>
          <w:sz w:val="32"/>
          <w:szCs w:val="32"/>
          <w:lang w:val="en-US" w:eastAsia="zh-CN"/>
        </w:rPr>
        <w:t>可</w:t>
      </w:r>
      <w:r>
        <w:rPr>
          <w:rFonts w:hint="default" w:ascii="Times New Roman" w:hAnsi="Times New Roman" w:eastAsia="仿宋_GB2312" w:cs="Times New Roman"/>
          <w:color w:val="000000"/>
          <w:spacing w:val="0"/>
          <w:w w:val="100"/>
          <w:position w:val="0"/>
          <w:sz w:val="32"/>
          <w:szCs w:val="32"/>
          <w:lang w:val="en-US" w:eastAsia="zh-CN"/>
        </w:rPr>
        <w:t>完成70%工程量。</w:t>
      </w:r>
      <w:r>
        <w:rPr>
          <w:rFonts w:hint="eastAsia" w:ascii="Times New Roman" w:hAnsi="Times New Roman" w:eastAsia="仿宋_GB2312" w:cs="Times New Roman"/>
          <w:b/>
          <w:bCs/>
          <w:color w:val="000000"/>
          <w:spacing w:val="0"/>
          <w:w w:val="100"/>
          <w:position w:val="0"/>
          <w:sz w:val="32"/>
          <w:szCs w:val="32"/>
          <w:lang w:val="en-US" w:eastAsia="zh-CN"/>
        </w:rPr>
        <w:t>四是“大棚房”问题监管到位。</w:t>
      </w:r>
      <w:r>
        <w:rPr>
          <w:rFonts w:hint="eastAsia" w:ascii="Times New Roman" w:hAnsi="Times New Roman" w:eastAsia="仿宋_GB2312" w:cs="Times New Roman"/>
          <w:color w:val="000000"/>
          <w:spacing w:val="0"/>
          <w:w w:val="100"/>
          <w:position w:val="0"/>
          <w:sz w:val="32"/>
          <w:szCs w:val="32"/>
          <w:lang w:val="en-US" w:eastAsia="zh-CN"/>
        </w:rPr>
        <w:t>5-8月，全面完成“大棚房”问题回头看工作，未发现新增“大棚房”问题，建立了长效监管制度。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eastAsia="楷体" w:cs="Times New Roman"/>
          <w:b w:val="0"/>
          <w:bCs/>
          <w:color w:val="000000"/>
          <w:spacing w:val="0"/>
          <w:w w:val="100"/>
          <w:kern w:val="2"/>
          <w:position w:val="0"/>
          <w:sz w:val="32"/>
          <w:szCs w:val="32"/>
          <w:u w:val="none"/>
          <w:shd w:val="clear"/>
          <w:lang w:val="en-US" w:eastAsia="zh-CN" w:bidi="ar-SA"/>
        </w:rPr>
        <w:t>2.农产品质量安全底板。</w:t>
      </w:r>
      <w:r>
        <w:rPr>
          <w:rFonts w:hint="eastAsia" w:ascii="Times New Roman" w:hAnsi="Times New Roman" w:eastAsia="仿宋_GB2312" w:cs="Times New Roman"/>
          <w:b/>
          <w:bCs/>
          <w:color w:val="000000"/>
          <w:spacing w:val="0"/>
          <w:w w:val="100"/>
          <w:position w:val="0"/>
          <w:sz w:val="32"/>
          <w:szCs w:val="32"/>
          <w:lang w:val="en-US" w:eastAsia="zh-CN"/>
        </w:rPr>
        <w:t>一是严格监管执法。</w:t>
      </w:r>
      <w:r>
        <w:rPr>
          <w:rFonts w:hint="eastAsia" w:ascii="Times New Roman" w:hAnsi="Times New Roman" w:eastAsia="仿宋_GB2312" w:cs="Times New Roman"/>
          <w:sz w:val="32"/>
          <w:szCs w:val="32"/>
          <w:lang w:val="en-US" w:eastAsia="zh-CN"/>
        </w:rPr>
        <w:t>联合市监、公安、商务等单位，共出动执法人员500多人次，检查相关主体近600家次，处理消费者申诉和举报11件，对12家门店提出整改要求，立案3起。</w:t>
      </w:r>
      <w:r>
        <w:rPr>
          <w:rFonts w:hint="eastAsia" w:ascii="Times New Roman" w:hAnsi="Times New Roman" w:eastAsia="仿宋_GB2312" w:cs="Times New Roman"/>
          <w:b/>
          <w:bCs/>
          <w:sz w:val="32"/>
          <w:szCs w:val="32"/>
          <w:lang w:val="en-US" w:eastAsia="zh-CN"/>
        </w:rPr>
        <w:t>二是推进合格证制度。</w:t>
      </w:r>
      <w:r>
        <w:rPr>
          <w:rFonts w:hint="eastAsia" w:ascii="Times New Roman" w:hAnsi="Times New Roman" w:eastAsia="仿宋_GB2312" w:cs="Times New Roman"/>
          <w:sz w:val="32"/>
          <w:szCs w:val="32"/>
          <w:lang w:val="en-US" w:eastAsia="zh-CN"/>
        </w:rPr>
        <w:t>全年累计开具合格证16862张，附带合格证上市的农产品7150.743吨。农产品质量安全追溯监管平台新增畜禽、水产2家，米粉追溯体系平台新增信息网点6个，全市农产品质量安全追溯网点29个。</w:t>
      </w:r>
      <w:r>
        <w:rPr>
          <w:rFonts w:hint="eastAsia" w:ascii="Times New Roman" w:hAnsi="Times New Roman" w:eastAsia="仿宋_GB2312" w:cs="Times New Roman"/>
          <w:b/>
          <w:bCs/>
          <w:sz w:val="32"/>
          <w:szCs w:val="32"/>
          <w:lang w:val="en-US" w:eastAsia="zh-CN"/>
        </w:rPr>
        <w:t>三是加强风险监测。</w:t>
      </w:r>
      <w:r>
        <w:rPr>
          <w:rFonts w:hint="eastAsia" w:ascii="Times New Roman" w:hAnsi="Times New Roman" w:eastAsia="仿宋_GB2312" w:cs="Times New Roman"/>
          <w:sz w:val="32"/>
          <w:szCs w:val="32"/>
          <w:lang w:val="en-US" w:eastAsia="zh-CN"/>
        </w:rPr>
        <w:t>全市共开展农产品质量安全监管巡查436次，共抽样检测样品42754批次，其中定量检测500批次。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b w:val="0"/>
          <w:bCs/>
          <w:sz w:val="32"/>
          <w:szCs w:val="32"/>
          <w:lang w:val="en-US" w:eastAsia="zh-CN"/>
        </w:rPr>
        <w:t>（三）抓好三个重点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楷体" w:hAnsi="楷体" w:eastAsia="楷体" w:cs="楷体"/>
          <w:b w:val="0"/>
          <w:bCs w:val="0"/>
          <w:sz w:val="32"/>
          <w:szCs w:val="32"/>
          <w:lang w:val="en-US" w:eastAsia="zh-CN"/>
        </w:rPr>
        <w:t>1.抓乡村产业发展。</w:t>
      </w:r>
      <w:r>
        <w:rPr>
          <w:rFonts w:hint="eastAsia" w:ascii="Times New Roman" w:hAnsi="Times New Roman" w:eastAsia="仿宋_GB2312" w:cs="Times New Roman"/>
          <w:b/>
          <w:bCs/>
          <w:sz w:val="32"/>
          <w:szCs w:val="32"/>
          <w:lang w:val="en-US" w:eastAsia="zh-CN"/>
        </w:rPr>
        <w:t>一是加大农业市场主体扶持力度。</w:t>
      </w:r>
      <w:r>
        <w:rPr>
          <w:rFonts w:hint="eastAsia" w:ascii="Times New Roman" w:hAnsi="Times New Roman" w:eastAsia="仿宋_GB2312" w:cs="Times New Roman"/>
          <w:sz w:val="32"/>
          <w:szCs w:val="32"/>
          <w:lang w:val="en-US" w:eastAsia="zh-CN"/>
        </w:rPr>
        <w:t>指导全市12家农业龙头企业开展了贷款贴息申报，总申报贷款金额3.5亿元，预计贴息600万元以上。新培育了省级农业产业化联合体1个、常德市级龙头企业1家、津市市级现代农业特色产业园4家、规模农产品加工企业3家。</w:t>
      </w:r>
      <w:r>
        <w:rPr>
          <w:rFonts w:hint="eastAsia" w:ascii="Times New Roman" w:hAnsi="Times New Roman" w:eastAsia="仿宋_GB2312" w:cs="Times New Roman"/>
          <w:b/>
          <w:bCs/>
          <w:sz w:val="32"/>
          <w:szCs w:val="32"/>
          <w:lang w:val="en-US" w:eastAsia="zh-CN"/>
        </w:rPr>
        <w:t>二是加强农业品牌建设力度。</w:t>
      </w:r>
      <w:r>
        <w:rPr>
          <w:rFonts w:hint="eastAsia" w:ascii="Times New Roman" w:hAnsi="Times New Roman" w:eastAsia="仿宋_GB2312" w:cs="Times New Roman"/>
          <w:sz w:val="32"/>
          <w:szCs w:val="32"/>
          <w:lang w:val="en-US" w:eastAsia="zh-CN"/>
        </w:rPr>
        <w:t>新认定“两品一标”农产品品牌4家，</w:t>
      </w:r>
      <w:r>
        <w:rPr>
          <w:rFonts w:hint="eastAsia" w:ascii="Times New Roman" w:hAnsi="Times New Roman" w:eastAsia="仿宋_GB2312" w:cs="仿宋_GB2312"/>
          <w:sz w:val="32"/>
          <w:szCs w:val="32"/>
          <w:lang w:val="en-US" w:eastAsia="zh-CN"/>
        </w:rPr>
        <w:t>全市共有“两品一标”27个；</w:t>
      </w:r>
      <w:r>
        <w:rPr>
          <w:rFonts w:hint="default" w:ascii="Times New Roman" w:hAnsi="Times New Roman" w:eastAsia="仿宋_GB2312" w:cs="Times New Roman"/>
          <w:color w:val="000000"/>
          <w:spacing w:val="0"/>
          <w:w w:val="100"/>
          <w:kern w:val="2"/>
          <w:position w:val="0"/>
          <w:sz w:val="32"/>
          <w:szCs w:val="32"/>
          <w:u w:val="none"/>
          <w:shd w:val="clear"/>
          <w:lang w:val="en-US" w:eastAsia="zh-CN" w:bidi="ar-SA"/>
        </w:rPr>
        <w:t>润农生态茶油</w:t>
      </w:r>
      <w:r>
        <w:rPr>
          <w:rFonts w:hint="eastAsia" w:ascii="Times New Roman" w:hAnsi="Times New Roman" w:eastAsia="仿宋_GB2312" w:cs="Times New Roman"/>
          <w:color w:val="000000"/>
          <w:spacing w:val="0"/>
          <w:w w:val="100"/>
          <w:kern w:val="2"/>
          <w:position w:val="0"/>
          <w:sz w:val="32"/>
          <w:szCs w:val="32"/>
          <w:u w:val="none"/>
          <w:shd w:val="clear"/>
          <w:lang w:val="en-US" w:eastAsia="zh-CN" w:bidi="ar-SA"/>
        </w:rPr>
        <w:t>公司</w:t>
      </w:r>
      <w:r>
        <w:rPr>
          <w:rFonts w:hint="default" w:ascii="Times New Roman" w:hAnsi="Times New Roman" w:eastAsia="仿宋_GB2312" w:cs="Times New Roman"/>
          <w:color w:val="000000"/>
          <w:spacing w:val="0"/>
          <w:w w:val="100"/>
          <w:kern w:val="2"/>
          <w:position w:val="0"/>
          <w:sz w:val="32"/>
          <w:szCs w:val="32"/>
          <w:u w:val="none"/>
          <w:shd w:val="clear"/>
          <w:lang w:val="en-US" w:eastAsia="zh-CN" w:bidi="ar-SA"/>
        </w:rPr>
        <w:t>成功创建</w:t>
      </w:r>
      <w:r>
        <w:rPr>
          <w:rFonts w:hint="eastAsia" w:ascii="Times New Roman" w:hAnsi="Times New Roman" w:eastAsia="仿宋_GB2312" w:cs="Times New Roman"/>
          <w:color w:val="000000"/>
          <w:spacing w:val="0"/>
          <w:w w:val="100"/>
          <w:kern w:val="2"/>
          <w:position w:val="0"/>
          <w:sz w:val="32"/>
          <w:szCs w:val="32"/>
          <w:u w:val="none"/>
          <w:shd w:val="clear"/>
          <w:lang w:val="en-US" w:eastAsia="zh-CN" w:bidi="ar-SA"/>
        </w:rPr>
        <w:t>“</w:t>
      </w:r>
      <w:r>
        <w:rPr>
          <w:rFonts w:hint="default" w:ascii="Times New Roman" w:hAnsi="Times New Roman" w:eastAsia="仿宋_GB2312" w:cs="Times New Roman"/>
          <w:color w:val="000000"/>
          <w:spacing w:val="0"/>
          <w:w w:val="100"/>
          <w:kern w:val="2"/>
          <w:position w:val="0"/>
          <w:sz w:val="32"/>
          <w:szCs w:val="32"/>
          <w:u w:val="none"/>
          <w:shd w:val="clear"/>
          <w:lang w:val="en-US" w:eastAsia="zh-CN" w:bidi="ar-SA"/>
        </w:rPr>
        <w:t>全国绿色食品一二三产业融合发展园区</w:t>
      </w:r>
      <w:r>
        <w:rPr>
          <w:rFonts w:hint="eastAsia" w:ascii="Times New Roman" w:hAnsi="Times New Roman" w:eastAsia="仿宋_GB2312" w:cs="Times New Roman"/>
          <w:color w:val="000000"/>
          <w:spacing w:val="0"/>
          <w:w w:val="100"/>
          <w:kern w:val="2"/>
          <w:position w:val="0"/>
          <w:sz w:val="32"/>
          <w:szCs w:val="32"/>
          <w:u w:val="none"/>
          <w:shd w:val="clear"/>
          <w:lang w:val="en-US" w:eastAsia="zh-CN" w:bidi="ar-SA"/>
        </w:rPr>
        <w:t>”；完成了省级优质农副产品供应示范基地（米粉示范片）建设项目。</w:t>
      </w:r>
      <w:r>
        <w:rPr>
          <w:rFonts w:hint="eastAsia" w:ascii="Times New Roman" w:hAnsi="Times New Roman" w:eastAsia="仿宋_GB2312" w:cs="Times New Roman"/>
          <w:b/>
          <w:bCs/>
          <w:sz w:val="32"/>
          <w:szCs w:val="32"/>
          <w:lang w:val="en-US" w:eastAsia="zh-CN"/>
        </w:rPr>
        <w:t>三是加快农产品产地冷藏保鲜设施建设进度。</w:t>
      </w:r>
      <w:r>
        <w:rPr>
          <w:rFonts w:hint="eastAsia" w:ascii="Times New Roman" w:hAnsi="Times New Roman" w:eastAsia="仿宋_GB2312" w:cs="Times New Roman"/>
          <w:sz w:val="32"/>
          <w:szCs w:val="32"/>
          <w:lang w:val="en-US" w:eastAsia="zh-CN"/>
        </w:rPr>
        <w:t>今年计划补贴金额630.25万元，建设冷库主体16个，立项总设施数量39个，建设总容量1.8万立方，目前25个已完工，12月可全面完工。</w:t>
      </w:r>
    </w:p>
    <w:p>
      <w:pPr>
        <w:pStyle w:val="1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right="0"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楷体" w:hAnsi="楷体" w:eastAsia="楷体" w:cs="楷体"/>
          <w:b w:val="0"/>
          <w:bCs w:val="0"/>
          <w:kern w:val="2"/>
          <w:sz w:val="32"/>
          <w:szCs w:val="32"/>
          <w:u w:val="none"/>
          <w:shd w:val="clear"/>
          <w:lang w:val="en-US" w:eastAsia="zh-CN" w:bidi="ar-SA"/>
        </w:rPr>
        <w:t>2</w:t>
      </w:r>
      <w:r>
        <w:rPr>
          <w:rFonts w:hint="default" w:ascii="楷体" w:hAnsi="楷体" w:eastAsia="楷体" w:cs="楷体"/>
          <w:b w:val="0"/>
          <w:bCs w:val="0"/>
          <w:kern w:val="2"/>
          <w:sz w:val="32"/>
          <w:szCs w:val="32"/>
          <w:u w:val="none"/>
          <w:shd w:val="clear"/>
          <w:lang w:val="en-US" w:eastAsia="zh-CN" w:bidi="ar-SA"/>
        </w:rPr>
        <w:t>.抓人居环境整治。</w:t>
      </w:r>
      <w:r>
        <w:rPr>
          <w:rFonts w:hint="default" w:ascii="Times New Roman" w:hAnsi="Times New Roman" w:eastAsia="仿宋_GB2312" w:cs="Times New Roman"/>
          <w:bCs/>
          <w:sz w:val="32"/>
          <w:szCs w:val="32"/>
          <w:lang w:eastAsia="zh-CN"/>
        </w:rPr>
        <w:t>一</w:t>
      </w:r>
      <w:r>
        <w:rPr>
          <w:rFonts w:hint="default" w:ascii="Times New Roman" w:hAnsi="Times New Roman" w:eastAsia="仿宋_GB2312" w:cs="Times New Roman"/>
          <w:b/>
          <w:sz w:val="32"/>
          <w:szCs w:val="32"/>
        </w:rPr>
        <w:t>是</w:t>
      </w:r>
      <w:r>
        <w:rPr>
          <w:rFonts w:hint="default" w:ascii="Times New Roman" w:hAnsi="Times New Roman" w:eastAsia="仿宋_GB2312" w:cs="Times New Roman"/>
          <w:b/>
          <w:sz w:val="32"/>
          <w:szCs w:val="32"/>
          <w:lang w:eastAsia="zh-CN"/>
        </w:rPr>
        <w:t>纵深推进村庄清洁行动。</w:t>
      </w:r>
      <w:r>
        <w:rPr>
          <w:rFonts w:hint="default" w:ascii="Times New Roman" w:hAnsi="Times New Roman" w:eastAsia="仿宋_GB2312" w:cs="Times New Roman"/>
          <w:color w:val="000000"/>
          <w:spacing w:val="0"/>
          <w:w w:val="100"/>
          <w:kern w:val="2"/>
          <w:position w:val="0"/>
          <w:sz w:val="32"/>
          <w:szCs w:val="32"/>
          <w:u w:val="none"/>
          <w:shd w:val="clear"/>
          <w:lang w:val="en-US" w:eastAsia="zh-CN" w:bidi="ar-SA"/>
        </w:rPr>
        <w:t>2021年共清理转运处理农村生活垃圾3万</w:t>
      </w:r>
      <w:r>
        <w:rPr>
          <w:rFonts w:hint="eastAsia" w:ascii="Times New Roman" w:hAnsi="Times New Roman" w:eastAsia="仿宋_GB2312" w:cs="Times New Roman"/>
          <w:color w:val="000000"/>
          <w:spacing w:val="0"/>
          <w:w w:val="100"/>
          <w:kern w:val="2"/>
          <w:position w:val="0"/>
          <w:sz w:val="32"/>
          <w:szCs w:val="32"/>
          <w:u w:val="none"/>
          <w:shd w:val="clear"/>
          <w:lang w:val="en-US" w:eastAsia="zh-CN" w:bidi="ar-SA"/>
        </w:rPr>
        <w:t>余</w:t>
      </w:r>
      <w:r>
        <w:rPr>
          <w:rFonts w:hint="default" w:ascii="Times New Roman" w:hAnsi="Times New Roman" w:eastAsia="仿宋_GB2312" w:cs="Times New Roman"/>
          <w:color w:val="000000"/>
          <w:spacing w:val="0"/>
          <w:w w:val="100"/>
          <w:kern w:val="2"/>
          <w:position w:val="0"/>
          <w:sz w:val="32"/>
          <w:szCs w:val="32"/>
          <w:u w:val="none"/>
          <w:shd w:val="clear"/>
          <w:lang w:val="en-US" w:eastAsia="zh-CN" w:bidi="ar-SA"/>
        </w:rPr>
        <w:t>吨、农药包装废弃物10.86吨、育秧软盘等农业生产废弃物40余吨；清理水塘1248口、沟渠642公</w:t>
      </w:r>
      <w:r>
        <w:rPr>
          <w:rFonts w:hint="eastAsia" w:ascii="Times New Roman" w:hAnsi="Times New Roman" w:eastAsia="仿宋_GB2312" w:cs="Times New Roman"/>
          <w:color w:val="000000"/>
          <w:spacing w:val="0"/>
          <w:w w:val="100"/>
          <w:kern w:val="2"/>
          <w:position w:val="0"/>
          <w:sz w:val="32"/>
          <w:szCs w:val="32"/>
          <w:u w:val="none"/>
          <w:shd w:val="clear"/>
          <w:lang w:val="en-US" w:eastAsia="zh-CN" w:bidi="ar-SA"/>
        </w:rPr>
        <w:t>里</w:t>
      </w:r>
      <w:r>
        <w:rPr>
          <w:rFonts w:hint="default" w:ascii="Times New Roman" w:hAnsi="Times New Roman" w:eastAsia="仿宋_GB2312" w:cs="Times New Roman"/>
          <w:color w:val="000000"/>
          <w:spacing w:val="0"/>
          <w:w w:val="100"/>
          <w:kern w:val="2"/>
          <w:position w:val="0"/>
          <w:sz w:val="32"/>
          <w:szCs w:val="32"/>
          <w:u w:val="none"/>
          <w:shd w:val="clear"/>
          <w:lang w:val="en-US" w:eastAsia="zh-CN" w:bidi="ar-SA"/>
        </w:rPr>
        <w:t>。</w:t>
      </w:r>
      <w:r>
        <w:rPr>
          <w:rFonts w:hint="default" w:ascii="Times New Roman" w:hAnsi="Times New Roman" w:eastAsia="仿宋_GB2312" w:cs="Times New Roman"/>
          <w:b/>
          <w:bCs/>
          <w:color w:val="000000"/>
          <w:spacing w:val="0"/>
          <w:w w:val="100"/>
          <w:kern w:val="2"/>
          <w:position w:val="0"/>
          <w:sz w:val="32"/>
          <w:szCs w:val="32"/>
          <w:u w:val="none"/>
          <w:shd w:val="clear"/>
          <w:lang w:val="en-US" w:eastAsia="zh-CN" w:bidi="ar-SA"/>
        </w:rPr>
        <w:t>二是全域推进农村“厕所革命”。</w:t>
      </w:r>
      <w:r>
        <w:rPr>
          <w:rFonts w:hint="eastAsia" w:ascii="Times New Roman" w:hAnsi="Times New Roman" w:eastAsia="仿宋_GB2312" w:cs="Times New Roman"/>
          <w:color w:val="000000"/>
          <w:spacing w:val="0"/>
          <w:w w:val="100"/>
          <w:kern w:val="2"/>
          <w:position w:val="0"/>
          <w:sz w:val="32"/>
          <w:szCs w:val="32"/>
          <w:u w:val="none"/>
          <w:shd w:val="clear"/>
          <w:lang w:val="en-US" w:eastAsia="zh-CN" w:bidi="ar-SA"/>
        </w:rPr>
        <w:t>今年已完成农村</w:t>
      </w:r>
      <w:r>
        <w:rPr>
          <w:rFonts w:hint="default" w:ascii="Times New Roman" w:hAnsi="Times New Roman" w:eastAsia="仿宋_GB2312" w:cs="Times New Roman"/>
          <w:color w:val="000000"/>
          <w:spacing w:val="0"/>
          <w:w w:val="100"/>
          <w:kern w:val="2"/>
          <w:position w:val="0"/>
          <w:sz w:val="32"/>
          <w:szCs w:val="32"/>
          <w:u w:val="none"/>
          <w:shd w:val="clear"/>
          <w:lang w:val="en-US" w:eastAsia="zh-CN" w:bidi="ar-SA"/>
        </w:rPr>
        <w:t>户厕</w:t>
      </w:r>
      <w:r>
        <w:rPr>
          <w:rFonts w:hint="eastAsia" w:ascii="Times New Roman" w:hAnsi="Times New Roman" w:eastAsia="仿宋_GB2312" w:cs="Times New Roman"/>
          <w:color w:val="000000"/>
          <w:spacing w:val="0"/>
          <w:w w:val="100"/>
          <w:kern w:val="2"/>
          <w:position w:val="0"/>
          <w:sz w:val="32"/>
          <w:szCs w:val="32"/>
          <w:u w:val="none"/>
          <w:shd w:val="clear"/>
          <w:lang w:val="en-US" w:eastAsia="zh-CN" w:bidi="ar-SA"/>
        </w:rPr>
        <w:t>无害化</w:t>
      </w:r>
      <w:r>
        <w:rPr>
          <w:rFonts w:hint="default" w:ascii="Times New Roman" w:hAnsi="Times New Roman" w:eastAsia="仿宋_GB2312" w:cs="Times New Roman"/>
          <w:color w:val="000000"/>
          <w:spacing w:val="0"/>
          <w:w w:val="100"/>
          <w:kern w:val="2"/>
          <w:position w:val="0"/>
          <w:sz w:val="32"/>
          <w:szCs w:val="32"/>
          <w:u w:val="none"/>
          <w:shd w:val="clear"/>
          <w:lang w:val="en-US" w:eastAsia="zh-CN" w:bidi="ar-SA"/>
        </w:rPr>
        <w:t>改造</w:t>
      </w:r>
      <w:r>
        <w:rPr>
          <w:rFonts w:hint="eastAsia" w:ascii="Times New Roman" w:hAnsi="Times New Roman" w:eastAsia="仿宋_GB2312" w:cs="Times New Roman"/>
          <w:color w:val="000000"/>
          <w:spacing w:val="0"/>
          <w:w w:val="100"/>
          <w:kern w:val="2"/>
          <w:position w:val="0"/>
          <w:sz w:val="32"/>
          <w:szCs w:val="32"/>
          <w:u w:val="none"/>
          <w:shd w:val="clear"/>
          <w:lang w:val="en-US" w:eastAsia="zh-CN" w:bidi="ar-SA"/>
        </w:rPr>
        <w:t>2386</w:t>
      </w:r>
      <w:r>
        <w:rPr>
          <w:rFonts w:hint="default" w:ascii="Times New Roman" w:hAnsi="Times New Roman" w:eastAsia="仿宋_GB2312" w:cs="Times New Roman"/>
          <w:color w:val="000000"/>
          <w:spacing w:val="0"/>
          <w:w w:val="100"/>
          <w:kern w:val="2"/>
          <w:position w:val="0"/>
          <w:sz w:val="32"/>
          <w:szCs w:val="32"/>
          <w:u w:val="none"/>
          <w:shd w:val="clear"/>
          <w:lang w:val="en-US" w:eastAsia="zh-CN" w:bidi="ar-SA"/>
        </w:rPr>
        <w:t>户、公厕新建任务10座</w:t>
      </w:r>
      <w:r>
        <w:rPr>
          <w:rFonts w:hint="eastAsia" w:ascii="Times New Roman" w:hAnsi="Times New Roman" w:eastAsia="仿宋_GB2312" w:cs="Times New Roman"/>
          <w:color w:val="000000"/>
          <w:spacing w:val="0"/>
          <w:w w:val="100"/>
          <w:kern w:val="2"/>
          <w:position w:val="0"/>
          <w:sz w:val="32"/>
          <w:szCs w:val="32"/>
          <w:u w:val="none"/>
          <w:shd w:val="clear"/>
          <w:lang w:val="en-US" w:eastAsia="zh-CN" w:bidi="ar-SA"/>
        </w:rPr>
        <w:t>，全市农村无害化卫生厕所覆盖率达98%以上。</w:t>
      </w:r>
      <w:r>
        <w:rPr>
          <w:rFonts w:hint="default" w:ascii="Times New Roman" w:hAnsi="Times New Roman" w:eastAsia="仿宋_GB2312" w:cs="Times New Roman"/>
          <w:b/>
          <w:bCs/>
          <w:color w:val="000000"/>
          <w:spacing w:val="0"/>
          <w:w w:val="100"/>
          <w:kern w:val="2"/>
          <w:position w:val="0"/>
          <w:sz w:val="32"/>
          <w:szCs w:val="32"/>
          <w:u w:val="none"/>
          <w:shd w:val="clear"/>
          <w:lang w:val="en-US" w:eastAsia="zh-CN" w:bidi="ar-SA"/>
        </w:rPr>
        <w:t>三是全面推进农村问题摸排。</w:t>
      </w:r>
      <w:r>
        <w:rPr>
          <w:rFonts w:hint="default" w:ascii="Times New Roman" w:hAnsi="Times New Roman" w:eastAsia="仿宋_GB2312" w:cs="Times New Roman"/>
          <w:kern w:val="2"/>
          <w:sz w:val="32"/>
          <w:szCs w:val="32"/>
          <w:u w:val="none"/>
          <w:shd w:val="clear"/>
          <w:lang w:val="en-US" w:eastAsia="zh-CN" w:bidi="ar-SA"/>
        </w:rPr>
        <w:t>对2013年以来各级财政资金改造的农村户厕问题进行了全面清理，共摸排改厕户</w:t>
      </w:r>
      <w:r>
        <w:rPr>
          <w:rFonts w:hint="eastAsia" w:ascii="Times New Roman" w:hAnsi="Times New Roman" w:eastAsia="仿宋_GB2312" w:cs="仿宋_GB2312"/>
          <w:color w:val="auto"/>
          <w:sz w:val="32"/>
          <w:szCs w:val="32"/>
          <w:lang w:eastAsia="zh-CN"/>
        </w:rPr>
        <w:t>30689</w:t>
      </w:r>
      <w:r>
        <w:rPr>
          <w:rFonts w:hint="default" w:ascii="Times New Roman" w:hAnsi="Times New Roman" w:eastAsia="仿宋_GB2312" w:cs="Times New Roman"/>
          <w:kern w:val="2"/>
          <w:sz w:val="32"/>
          <w:szCs w:val="32"/>
          <w:u w:val="none"/>
          <w:shd w:val="clear"/>
          <w:lang w:val="en-US" w:eastAsia="zh-CN" w:bidi="ar-SA"/>
        </w:rPr>
        <w:t>户，</w:t>
      </w:r>
      <w:r>
        <w:rPr>
          <w:rFonts w:hint="eastAsia" w:ascii="Times New Roman" w:hAnsi="Times New Roman" w:eastAsia="仿宋_GB2312" w:cs="仿宋_GB2312"/>
          <w:color w:val="auto"/>
          <w:sz w:val="32"/>
          <w:szCs w:val="32"/>
          <w:lang w:eastAsia="zh-CN"/>
        </w:rPr>
        <w:t>发现不能使用的厕所</w:t>
      </w:r>
      <w:r>
        <w:rPr>
          <w:rFonts w:hint="eastAsia" w:ascii="Times New Roman" w:hAnsi="Times New Roman" w:eastAsia="仿宋_GB2312" w:cs="仿宋_GB2312"/>
          <w:color w:val="auto"/>
          <w:sz w:val="32"/>
          <w:szCs w:val="32"/>
          <w:lang w:val="en-US" w:eastAsia="zh-CN"/>
        </w:rPr>
        <w:t>9个、一般性小问题厕所167个，已整改到位</w:t>
      </w:r>
      <w:r>
        <w:rPr>
          <w:rFonts w:hint="default" w:ascii="Times New Roman" w:hAnsi="Times New Roman" w:eastAsia="仿宋_GB2312" w:cs="Times New Roman"/>
          <w:kern w:val="2"/>
          <w:sz w:val="32"/>
          <w:szCs w:val="32"/>
          <w:u w:val="none"/>
          <w:shd w:val="clear"/>
          <w:lang w:val="en-US" w:eastAsia="zh-CN" w:bidi="ar-SA"/>
        </w:rPr>
        <w:t>。</w:t>
      </w:r>
      <w:r>
        <w:rPr>
          <w:rFonts w:hint="eastAsia" w:ascii="Times New Roman" w:hAnsi="Times New Roman" w:eastAsia="仿宋_GB2312" w:cs="Times New Roman"/>
          <w:b/>
          <w:bCs/>
          <w:kern w:val="2"/>
          <w:sz w:val="32"/>
          <w:szCs w:val="32"/>
          <w:u w:val="none"/>
          <w:shd w:val="clear"/>
          <w:lang w:val="en-US" w:eastAsia="zh-CN" w:bidi="ar-SA"/>
        </w:rPr>
        <w:t>四是大力推进</w:t>
      </w:r>
      <w:r>
        <w:rPr>
          <w:rFonts w:hint="default" w:ascii="楷体" w:hAnsi="楷体" w:eastAsia="楷体" w:cs="楷体"/>
          <w:b/>
          <w:bCs/>
          <w:kern w:val="2"/>
          <w:sz w:val="32"/>
          <w:szCs w:val="32"/>
          <w:u w:val="none"/>
          <w:shd w:val="clear" w:color="auto" w:fill="auto"/>
          <w:lang w:val="en-US" w:eastAsia="zh-CN" w:bidi="ar-SA"/>
        </w:rPr>
        <w:t>农业面源污染治理。</w:t>
      </w:r>
      <w:r>
        <w:rPr>
          <w:rFonts w:hint="eastAsia" w:ascii="Times New Roman" w:hAnsi="Times New Roman" w:eastAsia="仿宋_GB2312" w:cs="仿宋_GB2312"/>
          <w:color w:val="auto"/>
          <w:sz w:val="32"/>
          <w:szCs w:val="32"/>
          <w:lang w:val="en-US" w:eastAsia="zh-CN"/>
        </w:rPr>
        <w:t>重点围绕</w:t>
      </w:r>
      <w:r>
        <w:rPr>
          <w:rFonts w:hint="eastAsia" w:ascii="Times New Roman" w:hAnsi="Times New Roman" w:eastAsia="仿宋_GB2312" w:cs="Times New Roman"/>
          <w:sz w:val="32"/>
          <w:szCs w:val="32"/>
          <w:lang w:val="en-US" w:eastAsia="zh-CN"/>
        </w:rPr>
        <w:t>污染防治攻坚战“夏季攻势”涉及我局的3个问题，推进农业面源治理工作，已全部完成销号。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2"/>
          <w:sz w:val="32"/>
          <w:szCs w:val="32"/>
          <w:u w:val="none"/>
          <w:shd w:val="clear" w:color="auto" w:fill="auto"/>
          <w:lang w:val="en-US" w:eastAsia="zh-CN" w:bidi="zh-TW"/>
        </w:rPr>
      </w:pPr>
      <w:r>
        <w:rPr>
          <w:rFonts w:hint="eastAsia" w:ascii="楷体" w:hAnsi="楷体" w:eastAsia="楷体" w:cs="楷体"/>
          <w:b w:val="0"/>
          <w:bCs w:val="0"/>
          <w:kern w:val="2"/>
          <w:sz w:val="32"/>
          <w:szCs w:val="32"/>
          <w:u w:val="none"/>
          <w:shd w:val="clear" w:color="auto" w:fill="auto"/>
          <w:lang w:val="en-US" w:eastAsia="zh-CN" w:bidi="ar-SA"/>
        </w:rPr>
        <w:t>3</w:t>
      </w:r>
      <w:r>
        <w:rPr>
          <w:rFonts w:hint="default" w:ascii="楷体" w:hAnsi="楷体" w:eastAsia="楷体" w:cs="楷体"/>
          <w:b w:val="0"/>
          <w:bCs w:val="0"/>
          <w:kern w:val="2"/>
          <w:sz w:val="32"/>
          <w:szCs w:val="32"/>
          <w:u w:val="none"/>
          <w:shd w:val="clear" w:color="auto" w:fill="auto"/>
          <w:lang w:val="en-US" w:eastAsia="zh-CN" w:bidi="ar-SA"/>
        </w:rPr>
        <w:t>.抓乡村治理体系建设。</w:t>
      </w:r>
      <w:r>
        <w:rPr>
          <w:rFonts w:hint="default" w:ascii="Times New Roman" w:hAnsi="Times New Roman" w:eastAsia="仿宋_GB2312" w:cs="Times New Roman"/>
          <w:kern w:val="2"/>
          <w:sz w:val="32"/>
          <w:szCs w:val="32"/>
          <w:u w:val="none"/>
          <w:shd w:val="clear" w:color="auto" w:fill="auto"/>
          <w:lang w:val="en-US" w:eastAsia="zh-CN" w:bidi="zh-TW"/>
        </w:rPr>
        <w:t>3月，试点工作顺利通过农业农村部中期评估，金鱼岭街道大关山村成功申报全国乡村治理示范村。毛里湖镇青苗社区乡村治理模式</w:t>
      </w:r>
      <w:r>
        <w:rPr>
          <w:rFonts w:hint="eastAsia" w:ascii="Times New Roman" w:hAnsi="Times New Roman" w:eastAsia="仿宋_GB2312" w:cs="Times New Roman"/>
          <w:kern w:val="2"/>
          <w:sz w:val="32"/>
          <w:szCs w:val="32"/>
          <w:u w:val="none"/>
          <w:shd w:val="clear" w:color="auto" w:fill="auto"/>
          <w:lang w:val="en-US" w:eastAsia="zh-CN" w:bidi="zh-TW"/>
        </w:rPr>
        <w:t>在中央电视台进行了报道，</w:t>
      </w:r>
      <w:r>
        <w:rPr>
          <w:rFonts w:hint="default" w:ascii="Times New Roman" w:hAnsi="Times New Roman" w:eastAsia="仿宋_GB2312" w:cs="Times New Roman"/>
          <w:kern w:val="2"/>
          <w:sz w:val="32"/>
          <w:szCs w:val="32"/>
          <w:u w:val="none"/>
          <w:shd w:val="clear" w:color="auto" w:fill="auto"/>
          <w:lang w:val="en-US" w:eastAsia="zh-CN" w:bidi="zh-TW"/>
        </w:rPr>
        <w:t>《全域梳理便民清单 全力推进政务服务下沉》入选第三批全国乡村治理典型案例。</w:t>
      </w:r>
    </w:p>
    <w:p>
      <w:pPr>
        <w:spacing w:line="580" w:lineRule="exact"/>
        <w:ind w:firstLine="640" w:firstLineChars="200"/>
        <w:rPr>
          <w:rFonts w:hint="eastAsia" w:ascii="Times New Roman" w:hAnsi="Times New Roman" w:eastAsia="仿宋_GB2312" w:cs="Times New Roman"/>
          <w:sz w:val="32"/>
          <w:szCs w:val="32"/>
          <w:lang w:eastAsia="zh-CN"/>
        </w:rPr>
      </w:pPr>
    </w:p>
    <w:p>
      <w:pPr>
        <w:pStyle w:val="9"/>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0" w:lineRule="atLeast"/>
        <w:ind w:left="0" w:right="0" w:firstLine="632"/>
        <w:jc w:val="both"/>
        <w:rPr>
          <w:rFonts w:hint="eastAsia" w:ascii="仿宋" w:hAnsi="仿宋" w:eastAsia="仿宋" w:cs="仿宋"/>
          <w:i w:val="0"/>
          <w:caps w:val="0"/>
          <w:color w:val="000000"/>
          <w:spacing w:val="-2"/>
          <w:sz w:val="32"/>
          <w:szCs w:val="32"/>
          <w:shd w:val="clear" w:fill="FFFFFF"/>
        </w:rPr>
      </w:pPr>
      <w:r>
        <w:rPr>
          <w:rFonts w:hint="eastAsia" w:ascii="仿宋" w:hAnsi="仿宋" w:eastAsia="仿宋" w:cs="仿宋"/>
          <w:i w:val="0"/>
          <w:caps w:val="0"/>
          <w:color w:val="000000"/>
          <w:spacing w:val="-2"/>
          <w:sz w:val="32"/>
          <w:szCs w:val="32"/>
          <w:shd w:val="clear" w:fill="FFFFFF"/>
        </w:rPr>
        <w:t>20</w:t>
      </w:r>
      <w:r>
        <w:rPr>
          <w:rFonts w:hint="eastAsia" w:ascii="仿宋" w:hAnsi="仿宋" w:eastAsia="仿宋" w:cs="仿宋"/>
          <w:i w:val="0"/>
          <w:caps w:val="0"/>
          <w:color w:val="000000"/>
          <w:spacing w:val="-2"/>
          <w:sz w:val="32"/>
          <w:szCs w:val="32"/>
          <w:shd w:val="clear" w:fill="FFFFFF"/>
          <w:lang w:val="en-US" w:eastAsia="zh-CN"/>
        </w:rPr>
        <w:t>21</w:t>
      </w:r>
      <w:r>
        <w:rPr>
          <w:rFonts w:hint="eastAsia" w:ascii="仿宋" w:hAnsi="仿宋" w:eastAsia="仿宋" w:cs="仿宋"/>
          <w:i w:val="0"/>
          <w:caps w:val="0"/>
          <w:color w:val="000000"/>
          <w:spacing w:val="-2"/>
          <w:sz w:val="32"/>
          <w:szCs w:val="32"/>
          <w:shd w:val="clear" w:fill="FFFFFF"/>
        </w:rPr>
        <w:t>年工作经费较紧，对项目资金开支分类需要进一步科学化、规范化，费用开支和绩效产出测得结果不够准确，需要进一步量化。预算管理、绩效管理、资金管理需要加强。</w:t>
      </w:r>
    </w:p>
    <w:p>
      <w:pPr>
        <w:widowControl/>
        <w:numPr>
          <w:ilvl w:val="0"/>
          <w:numId w:val="3"/>
        </w:numPr>
        <w:spacing w:line="600" w:lineRule="exact"/>
        <w:ind w:firstLine="640" w:firstLineChars="200"/>
        <w:jc w:val="left"/>
        <w:rPr>
          <w:rFonts w:eastAsia="黑体"/>
          <w:sz w:val="32"/>
          <w:szCs w:val="32"/>
        </w:rPr>
      </w:pPr>
      <w:r>
        <w:rPr>
          <w:rFonts w:eastAsia="黑体"/>
          <w:sz w:val="32"/>
          <w:szCs w:val="32"/>
        </w:rPr>
        <w:t>下一步改进措施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firstLineChars="200"/>
        <w:jc w:val="left"/>
        <w:rPr>
          <w:rFonts w:eastAsia="仿宋_GB2312" w:asciiTheme="minorHAnsi" w:hAnsiTheme="minorHAnsi" w:cstheme="minorBidi"/>
          <w:kern w:val="2"/>
          <w:sz w:val="32"/>
          <w:szCs w:val="32"/>
          <w:lang w:val="en-US" w:eastAsia="zh-CN" w:bidi="ar-SA"/>
        </w:rPr>
      </w:pPr>
      <w:r>
        <w:rPr>
          <w:rFonts w:hint="eastAsia" w:eastAsia="仿宋_GB2312" w:asciiTheme="minorHAnsi" w:hAnsiTheme="minorHAnsi" w:cstheme="minorBidi"/>
          <w:kern w:val="2"/>
          <w:sz w:val="32"/>
          <w:szCs w:val="32"/>
          <w:lang w:val="en-US" w:eastAsia="zh-CN" w:bidi="ar-SA"/>
        </w:rPr>
        <w:t>1、</w:t>
      </w:r>
      <w:r>
        <w:rPr>
          <w:rFonts w:hint="default" w:eastAsia="仿宋_GB2312" w:asciiTheme="minorHAnsi" w:hAnsiTheme="minorHAnsi" w:cstheme="minorBidi"/>
          <w:kern w:val="2"/>
          <w:sz w:val="32"/>
          <w:szCs w:val="32"/>
          <w:lang w:val="en-US" w:eastAsia="zh-CN" w:bidi="ar-SA"/>
        </w:rPr>
        <w:t>细化预算编制工作，认真做好预算的编制。</w:t>
      </w:r>
      <w:r>
        <w:rPr>
          <w:rFonts w:eastAsia="仿宋_GB2312" w:asciiTheme="minorHAnsi" w:hAnsiTheme="minorHAnsi" w:cstheme="minorBidi"/>
          <w:kern w:val="2"/>
          <w:sz w:val="32"/>
          <w:szCs w:val="32"/>
          <w:lang w:val="en-US" w:eastAsia="zh-CN" w:bidi="ar-SA"/>
        </w:rPr>
        <w:t>进一步加强内部机构</w:t>
      </w:r>
      <w:r>
        <w:rPr>
          <w:rFonts w:hint="default" w:eastAsia="仿宋_GB2312" w:asciiTheme="minorHAnsi" w:hAnsiTheme="minorHAnsi" w:cstheme="minorBidi"/>
          <w:kern w:val="2"/>
          <w:sz w:val="32"/>
          <w:szCs w:val="32"/>
          <w:lang w:val="en-US" w:eastAsia="zh-CN" w:bidi="ar-SA"/>
        </w:rPr>
        <w:t>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firstLine="640" w:firstLineChars="200"/>
        <w:jc w:val="left"/>
        <w:rPr>
          <w:rFonts w:eastAsia="黑体"/>
          <w:sz w:val="32"/>
          <w:szCs w:val="32"/>
        </w:rPr>
      </w:pPr>
      <w:r>
        <w:rPr>
          <w:rFonts w:hint="eastAsia" w:eastAsia="仿宋_GB2312" w:asciiTheme="minorHAnsi" w:hAnsiTheme="minorHAnsi" w:cstheme="minorBidi"/>
          <w:kern w:val="2"/>
          <w:sz w:val="32"/>
          <w:szCs w:val="32"/>
          <w:lang w:val="en-US" w:eastAsia="zh-CN" w:bidi="ar-SA"/>
        </w:rPr>
        <w:t>2、</w:t>
      </w:r>
      <w:r>
        <w:rPr>
          <w:rFonts w:hint="default" w:eastAsia="仿宋_GB2312" w:asciiTheme="minorHAnsi" w:hAnsiTheme="minorHAnsi" w:cstheme="minorBidi"/>
          <w:kern w:val="2"/>
          <w:sz w:val="32"/>
          <w:szCs w:val="32"/>
          <w:lang w:val="en-US" w:eastAsia="zh-CN" w:bidi="ar-SA"/>
        </w:rPr>
        <w:t>加强财务管理。在费用报账支付时，按照预算规定的费用项目和用途进行资金使用、列报支付、财务核算，杜绝超支现象的发生。</w:t>
      </w:r>
    </w:p>
    <w:p>
      <w:pPr>
        <w:widowControl/>
        <w:spacing w:line="600" w:lineRule="exact"/>
        <w:ind w:firstLine="645"/>
        <w:jc w:val="left"/>
        <w:rPr>
          <w:rFonts w:eastAsia="黑体"/>
          <w:sz w:val="32"/>
          <w:szCs w:val="32"/>
        </w:rPr>
      </w:pPr>
      <w:r>
        <w:rPr>
          <w:rFonts w:hint="eastAsia" w:eastAsia="黑体"/>
          <w:sz w:val="32"/>
          <w:szCs w:val="32"/>
          <w:lang w:eastAsia="zh-CN"/>
        </w:rPr>
        <w:t>七</w:t>
      </w:r>
      <w:r>
        <w:rPr>
          <w:rFonts w:eastAsia="黑体"/>
          <w:sz w:val="32"/>
          <w:szCs w:val="32"/>
        </w:rPr>
        <w:t>、其他需要说明的情况</w:t>
      </w:r>
    </w:p>
    <w:p>
      <w:pPr>
        <w:widowControl/>
        <w:spacing w:line="600" w:lineRule="exact"/>
        <w:ind w:firstLine="645"/>
        <w:jc w:val="left"/>
        <w:rPr>
          <w:rFonts w:hint="eastAsia" w:eastAsia="黑体"/>
          <w:sz w:val="32"/>
          <w:szCs w:val="32"/>
          <w:lang w:eastAsia="zh-CN"/>
        </w:rPr>
      </w:pPr>
      <w:r>
        <w:rPr>
          <w:rFonts w:hint="eastAsia" w:eastAsia="黑体"/>
          <w:sz w:val="32"/>
          <w:szCs w:val="32"/>
          <w:lang w:eastAsia="zh-CN"/>
        </w:rPr>
        <w:t>无</w:t>
      </w:r>
    </w:p>
    <w:p>
      <w:pPr>
        <w:pStyle w:val="2"/>
        <w:rPr>
          <w:rFonts w:hint="eastAsia"/>
          <w:sz w:val="32"/>
          <w:szCs w:val="32"/>
          <w:lang w:val="en-US" w:eastAsia="zh-CN"/>
        </w:rPr>
      </w:pPr>
      <w:r>
        <w:rPr>
          <w:rFonts w:hint="eastAsia"/>
          <w:sz w:val="32"/>
          <w:szCs w:val="32"/>
          <w:lang w:val="en-US" w:eastAsia="zh-CN"/>
        </w:rPr>
        <w:t xml:space="preserve"> </w:t>
      </w:r>
      <w:bookmarkStart w:id="1" w:name="_GoBack"/>
      <w:bookmarkEnd w:id="1"/>
    </w:p>
    <w:p>
      <w:pPr>
        <w:pStyle w:val="2"/>
        <w:rPr>
          <w:rFonts w:hint="eastAsia"/>
          <w:sz w:val="32"/>
          <w:szCs w:val="32"/>
          <w:lang w:val="en-US" w:eastAsia="zh-CN"/>
        </w:rPr>
      </w:pPr>
    </w:p>
    <w:p>
      <w:pPr>
        <w:pStyle w:val="2"/>
        <w:rPr>
          <w:rFonts w:hint="eastAsia"/>
          <w:b w:val="0"/>
          <w:bCs w:val="0"/>
          <w:sz w:val="32"/>
          <w:szCs w:val="32"/>
          <w:lang w:val="en-US" w:eastAsia="zh-CN"/>
        </w:rPr>
      </w:pPr>
      <w:r>
        <w:rPr>
          <w:rFonts w:hint="eastAsia"/>
          <w:sz w:val="32"/>
          <w:szCs w:val="32"/>
          <w:lang w:val="en-US" w:eastAsia="zh-CN"/>
        </w:rPr>
        <w:t xml:space="preserve">                                </w:t>
      </w:r>
      <w:r>
        <w:rPr>
          <w:rFonts w:hint="eastAsia"/>
          <w:b w:val="0"/>
          <w:bCs w:val="0"/>
          <w:sz w:val="32"/>
          <w:szCs w:val="32"/>
          <w:lang w:val="en-US" w:eastAsia="zh-CN"/>
        </w:rPr>
        <w:t xml:space="preserve"> 津市市农业农村局</w:t>
      </w:r>
    </w:p>
    <w:p>
      <w:pPr>
        <w:pStyle w:val="2"/>
        <w:rPr>
          <w:rFonts w:hint="default"/>
          <w:b w:val="0"/>
          <w:bCs w:val="0"/>
          <w:sz w:val="32"/>
          <w:szCs w:val="32"/>
          <w:lang w:val="en-US" w:eastAsia="zh-CN"/>
        </w:rPr>
      </w:pPr>
      <w:r>
        <w:rPr>
          <w:rFonts w:hint="eastAsia"/>
          <w:b w:val="0"/>
          <w:bCs w:val="0"/>
          <w:sz w:val="32"/>
          <w:szCs w:val="32"/>
          <w:lang w:val="en-US" w:eastAsia="zh-CN"/>
        </w:rPr>
        <w:t xml:space="preserve">                                  2022年03月31日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5409F4"/>
    <w:multiLevelType w:val="singleLevel"/>
    <w:tmpl w:val="F95409F4"/>
    <w:lvl w:ilvl="0" w:tentative="0">
      <w:start w:val="1"/>
      <w:numFmt w:val="chineseCounting"/>
      <w:suff w:val="nothing"/>
      <w:lvlText w:val="%1、"/>
      <w:lvlJc w:val="left"/>
      <w:rPr>
        <w:rFonts w:hint="eastAsia"/>
      </w:rPr>
    </w:lvl>
  </w:abstractNum>
  <w:abstractNum w:abstractNumId="1">
    <w:nsid w:val="57BA6252"/>
    <w:multiLevelType w:val="singleLevel"/>
    <w:tmpl w:val="57BA6252"/>
    <w:lvl w:ilvl="0" w:tentative="0">
      <w:start w:val="1"/>
      <w:numFmt w:val="chineseCounting"/>
      <w:suff w:val="nothing"/>
      <w:lvlText w:val="（%1）"/>
      <w:lvlJc w:val="left"/>
      <w:rPr>
        <w:rFonts w:hint="eastAsia"/>
      </w:rPr>
    </w:lvl>
  </w:abstractNum>
  <w:abstractNum w:abstractNumId="2">
    <w:nsid w:val="66B4D85E"/>
    <w:multiLevelType w:val="singleLevel"/>
    <w:tmpl w:val="66B4D85E"/>
    <w:lvl w:ilvl="0" w:tentative="0">
      <w:start w:val="6"/>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8741C32"/>
    <w:rsid w:val="10991489"/>
    <w:rsid w:val="11FE5828"/>
    <w:rsid w:val="156F4CF5"/>
    <w:rsid w:val="26FE3F9B"/>
    <w:rsid w:val="389E442C"/>
    <w:rsid w:val="3A076E09"/>
    <w:rsid w:val="3CBE59DE"/>
    <w:rsid w:val="41AB1823"/>
    <w:rsid w:val="435F7B0F"/>
    <w:rsid w:val="5125606F"/>
    <w:rsid w:val="54933D86"/>
    <w:rsid w:val="5A9D5D9B"/>
    <w:rsid w:val="5AEB2759"/>
    <w:rsid w:val="5DC82ED1"/>
    <w:rsid w:val="624E1CB7"/>
    <w:rsid w:val="6CDA62E1"/>
    <w:rsid w:val="74EA30BA"/>
    <w:rsid w:val="78AF6CD4"/>
    <w:rsid w:val="79B17F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99"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3">
    <w:name w:val="Body Text"/>
    <w:basedOn w:val="1"/>
    <w:uiPriority w:val="0"/>
    <w:pPr>
      <w:spacing w:line="360" w:lineRule="auto"/>
      <w:ind w:firstLine="200" w:firstLineChars="200"/>
    </w:pPr>
    <w:rPr>
      <w:rFonts w:ascii="等线" w:hAnsi="等线" w:eastAsia="等线" w:cs="Times New Roman"/>
      <w:sz w:val="28"/>
      <w:szCs w:val="28"/>
    </w:rPr>
  </w:style>
  <w:style w:type="paragraph" w:styleId="4">
    <w:name w:val="HTML Address"/>
    <w:basedOn w:val="1"/>
    <w:qFormat/>
    <w:uiPriority w:val="99"/>
    <w:rPr>
      <w:rFonts w:ascii="Times New Roman" w:hAnsi="Times New Roman"/>
    </w:rPr>
  </w:style>
  <w:style w:type="paragraph" w:styleId="5">
    <w:name w:val="Body Text Indent 2"/>
    <w:unhideWhenUsed/>
    <w:qFormat/>
    <w:uiPriority w:val="99"/>
    <w:pPr>
      <w:widowControl w:val="0"/>
      <w:spacing w:before="100" w:beforeAutospacing="1" w:after="120" w:line="480" w:lineRule="auto"/>
      <w:ind w:leftChars="200"/>
      <w:jc w:val="both"/>
    </w:pPr>
    <w:rPr>
      <w:rFonts w:ascii="Calibri" w:hAnsi="Calibri" w:eastAsia="宋体" w:cs="Times New Roman"/>
      <w:kern w:val="2"/>
      <w:sz w:val="21"/>
      <w:szCs w:val="24"/>
      <w:lang w:val="en-US" w:eastAsia="zh-CN" w:bidi="ar-SA"/>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List Paragraph"/>
    <w:basedOn w:val="1"/>
    <w:qFormat/>
    <w:uiPriority w:val="99"/>
    <w:pPr>
      <w:ind w:firstLine="420" w:firstLineChars="200"/>
    </w:pPr>
    <w:rPr>
      <w:rFonts w:ascii="Calibri" w:hAnsi="Calibri" w:eastAsia="宋体" w:cs="Times New Roman"/>
      <w:szCs w:val="22"/>
    </w:rPr>
  </w:style>
  <w:style w:type="paragraph" w:customStyle="1" w:styleId="10">
    <w:name w:val="Body text|1"/>
    <w:basedOn w:val="1"/>
    <w:qFormat/>
    <w:uiPriority w:val="0"/>
    <w:pPr>
      <w:widowControl w:val="0"/>
      <w:shd w:val="clear" w:color="auto" w:fill="auto"/>
      <w:spacing w:line="442" w:lineRule="auto"/>
      <w:ind w:firstLine="400"/>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4880</Words>
  <Characters>5140</Characters>
  <Lines>0</Lines>
  <Paragraphs>0</Paragraphs>
  <TotalTime>2</TotalTime>
  <ScaleCrop>false</ScaleCrop>
  <LinksUpToDate>false</LinksUpToDate>
  <CharactersWithSpaces>5143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cp:lastPrinted>2022-04-06T03:52:00Z</cp:lastPrinted>
  <dcterms:modified xsi:type="dcterms:W3CDTF">2022-04-06T03:54:04Z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C0F1A1C3364A44879512ACC89D8F3350</vt:lpwstr>
  </property>
</Properties>
</file>