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方正小标宋简体"/>
          <w:sz w:val="44"/>
          <w:szCs w:val="44"/>
        </w:rPr>
      </w:pPr>
      <w:r>
        <w:rPr>
          <w:rFonts w:hint="eastAsia" w:ascii="Times New Roman" w:hAnsi="Times New Roman" w:eastAsia="方正小标宋简体"/>
          <w:sz w:val="44"/>
          <w:szCs w:val="44"/>
          <w:lang w:eastAsia="zh-CN"/>
        </w:rPr>
        <w:t>津市市农业生产救灾资金</w:t>
      </w:r>
      <w:r>
        <w:rPr>
          <w:rFonts w:hint="eastAsia" w:ascii="Times New Roman" w:hAnsi="Times New Roman" w:eastAsia="方正小标宋简体"/>
          <w:sz w:val="44"/>
          <w:szCs w:val="44"/>
        </w:rPr>
        <w:t>202</w:t>
      </w:r>
      <w:r>
        <w:rPr>
          <w:rFonts w:hint="eastAsia" w:ascii="Times New Roman" w:hAnsi="Times New Roman" w:eastAsia="方正小标宋简体"/>
          <w:sz w:val="44"/>
          <w:szCs w:val="44"/>
          <w:lang w:val="en-US" w:eastAsia="zh-CN"/>
        </w:rPr>
        <w:t>1</w:t>
      </w:r>
      <w:r>
        <w:rPr>
          <w:rFonts w:hint="eastAsia" w:ascii="Times New Roman" w:hAnsi="Times New Roman" w:eastAsia="方正小标宋简体"/>
          <w:sz w:val="44"/>
          <w:szCs w:val="44"/>
        </w:rPr>
        <w:t>年度</w:t>
      </w:r>
    </w:p>
    <w:p>
      <w:pPr>
        <w:jc w:val="center"/>
        <w:rPr>
          <w:rFonts w:ascii="Times New Roman" w:hAnsi="Times New Roman" w:eastAsia="方正小标宋简体"/>
          <w:sz w:val="44"/>
          <w:szCs w:val="44"/>
        </w:rPr>
      </w:pPr>
      <w:r>
        <w:rPr>
          <w:rFonts w:hint="eastAsia" w:ascii="Times New Roman" w:hAnsi="Times New Roman" w:eastAsia="方正小标宋简体"/>
          <w:sz w:val="44"/>
          <w:szCs w:val="44"/>
        </w:rPr>
        <w:t>绩效自评报告</w:t>
      </w:r>
    </w:p>
    <w:p>
      <w:pPr>
        <w:adjustRightInd w:val="0"/>
        <w:snapToGrid w:val="0"/>
        <w:spacing w:line="58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一、绩效目标分解下达情况</w:t>
      </w:r>
    </w:p>
    <w:p>
      <w:pPr>
        <w:spacing w:line="540" w:lineRule="exact"/>
        <w:ind w:firstLine="6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sz w:val="32"/>
          <w:szCs w:val="32"/>
        </w:rPr>
        <w:t>根据</w:t>
      </w:r>
      <w:r>
        <w:rPr>
          <w:rFonts w:hint="eastAsia" w:ascii="仿宋" w:hAnsi="仿宋" w:eastAsia="仿宋"/>
        </w:rPr>
        <w:t>《2021年中央农业生产救灾（农作物重大病虫害防控）资金》（湘财预〔2021〕37号）</w:t>
      </w:r>
      <w:r>
        <w:rPr>
          <w:rFonts w:hint="eastAsia" w:ascii="仿宋" w:hAnsi="仿宋" w:eastAsia="仿宋"/>
          <w:sz w:val="32"/>
          <w:szCs w:val="32"/>
        </w:rPr>
        <w:t>、</w:t>
      </w:r>
      <w:r>
        <w:rPr>
          <w:rFonts w:hint="eastAsia" w:ascii="仿宋" w:hAnsi="仿宋" w:eastAsia="仿宋"/>
        </w:rPr>
        <w:t>湖南省植保植检站关于印发《</w:t>
      </w:r>
      <w:r>
        <w:rPr>
          <w:rFonts w:ascii="仿宋" w:hAnsi="仿宋" w:eastAsia="仿宋"/>
        </w:rPr>
        <w:t>202</w:t>
      </w:r>
      <w:r>
        <w:rPr>
          <w:rFonts w:hint="eastAsia" w:ascii="仿宋" w:hAnsi="仿宋" w:eastAsia="仿宋"/>
        </w:rPr>
        <w:t>1年中央农业生产救灾（农作物重大病虫害防控）资金实施方案》的通知（湘植保〔</w:t>
      </w:r>
      <w:r>
        <w:rPr>
          <w:rFonts w:ascii="仿宋" w:hAnsi="仿宋" w:eastAsia="仿宋"/>
        </w:rPr>
        <w:t>202</w:t>
      </w:r>
      <w:r>
        <w:rPr>
          <w:rFonts w:hint="eastAsia" w:ascii="仿宋" w:hAnsi="仿宋" w:eastAsia="仿宋"/>
        </w:rPr>
        <w:t>1〕8号）要求以及《中央财政农业生产和水利救灾资金管理办法》（财农〔</w:t>
      </w:r>
      <w:r>
        <w:rPr>
          <w:rFonts w:ascii="仿宋" w:hAnsi="仿宋" w:eastAsia="仿宋"/>
        </w:rPr>
        <w:t>201</w:t>
      </w:r>
      <w:r>
        <w:rPr>
          <w:rFonts w:hint="eastAsia" w:ascii="仿宋" w:hAnsi="仿宋" w:eastAsia="仿宋"/>
        </w:rPr>
        <w:t>9〕117号）相关规定</w:t>
      </w:r>
      <w:r>
        <w:rPr>
          <w:rFonts w:hint="eastAsia" w:ascii="仿宋" w:hAnsi="仿宋" w:eastAsia="仿宋"/>
          <w:sz w:val="32"/>
          <w:szCs w:val="32"/>
        </w:rPr>
        <w:t>，</w:t>
      </w:r>
      <w:r>
        <w:rPr>
          <w:rFonts w:hint="eastAsia" w:ascii="仿宋" w:hAnsi="仿宋" w:eastAsia="仿宋"/>
          <w:sz w:val="32"/>
          <w:szCs w:val="32"/>
          <w:lang w:eastAsia="zh-CN"/>
        </w:rPr>
        <w:t>本资金支持环节和内容为：</w:t>
      </w:r>
      <w:r>
        <w:rPr>
          <w:rFonts w:hint="eastAsia" w:ascii="楷体" w:hAnsi="楷体" w:eastAsia="楷体"/>
        </w:rPr>
        <w:t>开展重大农作</w:t>
      </w:r>
      <w:r>
        <w:rPr>
          <w:rFonts w:hint="eastAsia" w:ascii="仿宋" w:hAnsi="仿宋" w:eastAsia="仿宋"/>
        </w:rPr>
        <w:t>物病虫疫情监测、预警</w:t>
      </w:r>
      <w:r>
        <w:rPr>
          <w:rFonts w:hint="eastAsia" w:ascii="仿宋" w:hAnsi="仿宋" w:eastAsia="仿宋"/>
          <w:lang w:val="en-US" w:eastAsia="zh-CN"/>
        </w:rPr>
        <w:t>;</w:t>
      </w:r>
      <w:r>
        <w:rPr>
          <w:rFonts w:hint="eastAsia" w:ascii="仿宋" w:hAnsi="仿宋" w:eastAsia="仿宋"/>
        </w:rPr>
        <w:t>开展重大农作物病虫疫情大面积防治和统防统治</w:t>
      </w:r>
      <w:r>
        <w:rPr>
          <w:rFonts w:hint="eastAsia" w:ascii="仿宋" w:hAnsi="仿宋" w:eastAsia="仿宋"/>
          <w:lang w:eastAsia="zh-CN"/>
        </w:rPr>
        <w:t>；</w:t>
      </w:r>
      <w:r>
        <w:rPr>
          <w:rFonts w:hint="eastAsia" w:ascii="仿宋" w:hAnsi="仿宋" w:eastAsia="仿宋"/>
        </w:rPr>
        <w:t>开展稻虾综合种养病虫害绿色防控模式创新示范</w:t>
      </w:r>
      <w:r>
        <w:rPr>
          <w:rFonts w:hint="eastAsia" w:ascii="仿宋" w:hAnsi="仿宋" w:eastAsia="仿宋"/>
          <w:lang w:eastAsia="zh-CN"/>
        </w:rPr>
        <w:t>；</w:t>
      </w:r>
      <w:r>
        <w:rPr>
          <w:rFonts w:hint="eastAsia" w:ascii="仿宋" w:hAnsi="仿宋" w:eastAsia="仿宋"/>
        </w:rPr>
        <w:t>开展藠果病虫害绿色防控示范</w:t>
      </w:r>
      <w:r>
        <w:rPr>
          <w:rFonts w:hint="eastAsia" w:ascii="仿宋" w:hAnsi="仿宋" w:eastAsia="仿宋"/>
          <w:lang w:eastAsia="zh-CN"/>
        </w:rPr>
        <w:t>及委托湖南农业大学进行藠国病虫害研究</w:t>
      </w:r>
      <w:r>
        <w:rPr>
          <w:rFonts w:hint="eastAsia" w:ascii="仿宋" w:hAnsi="仿宋" w:eastAsia="仿宋"/>
          <w:lang w:val="en-US" w:eastAsia="zh-CN"/>
        </w:rPr>
        <w:t>,</w:t>
      </w:r>
      <w:r>
        <w:rPr>
          <w:rFonts w:hint="eastAsia" w:ascii="仿宋" w:hAnsi="仿宋" w:eastAsia="仿宋"/>
          <w:sz w:val="32"/>
          <w:szCs w:val="32"/>
        </w:rPr>
        <w:t>结合我市水稻重大病虫疫情发生情况和防控需要，为全面提升我市植保防灾减灾能力，坚决守住</w:t>
      </w:r>
      <w:r>
        <w:rPr>
          <w:rFonts w:ascii="仿宋" w:hAnsi="仿宋" w:eastAsia="仿宋"/>
          <w:sz w:val="32"/>
          <w:szCs w:val="32"/>
        </w:rPr>
        <w:t>“</w:t>
      </w:r>
      <w:r>
        <w:rPr>
          <w:rFonts w:hint="eastAsia" w:ascii="仿宋" w:hAnsi="仿宋" w:eastAsia="仿宋"/>
          <w:sz w:val="32"/>
          <w:szCs w:val="32"/>
        </w:rPr>
        <w:t>农作物重大病虫害不大面积暴发成灾、重大植物疫情不恶性传播蔓延</w:t>
      </w:r>
      <w:r>
        <w:rPr>
          <w:rFonts w:ascii="仿宋" w:hAnsi="仿宋" w:eastAsia="仿宋"/>
          <w:sz w:val="32"/>
          <w:szCs w:val="32"/>
        </w:rPr>
        <w:t>”</w:t>
      </w:r>
      <w:r>
        <w:rPr>
          <w:rFonts w:hint="eastAsia" w:ascii="仿宋" w:hAnsi="仿宋" w:eastAsia="仿宋"/>
          <w:sz w:val="32"/>
          <w:szCs w:val="32"/>
        </w:rPr>
        <w:t>两条底线，特制定</w:t>
      </w:r>
      <w:r>
        <w:rPr>
          <w:rFonts w:hint="eastAsia" w:ascii="仿宋" w:hAnsi="仿宋" w:eastAsia="仿宋"/>
          <w:sz w:val="32"/>
          <w:szCs w:val="32"/>
          <w:lang w:eastAsia="zh-CN"/>
        </w:rPr>
        <w:t>并实施此</w:t>
      </w:r>
      <w:r>
        <w:rPr>
          <w:rFonts w:hint="eastAsia" w:ascii="仿宋" w:hAnsi="仿宋" w:eastAsia="仿宋"/>
          <w:sz w:val="32"/>
          <w:szCs w:val="32"/>
        </w:rPr>
        <w:t>专项资金实施方案。</w:t>
      </w:r>
    </w:p>
    <w:p>
      <w:pPr>
        <w:adjustRightInd w:val="0"/>
        <w:snapToGrid w:val="0"/>
        <w:spacing w:line="580" w:lineRule="exact"/>
        <w:ind w:firstLine="640" w:firstLineChars="200"/>
        <w:rPr>
          <w:rFonts w:hint="eastAsia" w:ascii="Times New Roman" w:hAnsi="Times New Roman" w:eastAsia="黑体"/>
          <w:sz w:val="32"/>
          <w:szCs w:val="32"/>
          <w:lang w:val="en-US" w:eastAsia="zh-CN"/>
        </w:rPr>
      </w:pPr>
      <w:r>
        <w:rPr>
          <w:rFonts w:hint="eastAsia" w:ascii="Times New Roman" w:hAnsi="Times New Roman" w:eastAsia="黑体"/>
          <w:sz w:val="32"/>
          <w:szCs w:val="32"/>
          <w:lang w:val="en-US" w:eastAsia="zh-CN"/>
        </w:rPr>
        <w:t>二、绩效目标完成情况分析</w:t>
      </w:r>
    </w:p>
    <w:p>
      <w:pPr>
        <w:numPr>
          <w:ilvl w:val="0"/>
          <w:numId w:val="0"/>
        </w:numPr>
        <w:spacing w:line="540" w:lineRule="exact"/>
        <w:ind w:firstLine="640" w:firstLineChars="200"/>
        <w:jc w:val="left"/>
        <w:rPr>
          <w:rFonts w:hint="eastAsia" w:ascii="仿宋" w:hAnsi="仿宋" w:eastAsia="仿宋" w:cstheme="minorBidi"/>
          <w:bCs w:val="0"/>
          <w:kern w:val="2"/>
          <w:sz w:val="32"/>
          <w:szCs w:val="32"/>
          <w:lang w:val="en-US" w:eastAsia="zh-CN" w:bidi="ar-SA"/>
        </w:rPr>
      </w:pPr>
      <w:r>
        <w:rPr>
          <w:rFonts w:hint="eastAsia" w:ascii="仿宋" w:hAnsi="仿宋" w:eastAsia="仿宋" w:cstheme="minorBidi"/>
          <w:bCs w:val="0"/>
          <w:kern w:val="2"/>
          <w:sz w:val="32"/>
          <w:szCs w:val="32"/>
          <w:lang w:val="en-US" w:eastAsia="zh-CN" w:bidi="ar-SA"/>
        </w:rPr>
        <w:t>（一）资金投入情况分析。</w:t>
      </w:r>
    </w:p>
    <w:p>
      <w:pPr>
        <w:pStyle w:val="6"/>
        <w:spacing w:line="570" w:lineRule="exact"/>
        <w:ind w:firstLine="640"/>
        <w:rPr>
          <w:rFonts w:hint="eastAsia" w:ascii="仿宋" w:hAnsi="仿宋" w:eastAsia="仿宋" w:cs="仿宋"/>
          <w:sz w:val="32"/>
          <w:szCs w:val="32"/>
        </w:rPr>
      </w:pPr>
      <w:r>
        <w:rPr>
          <w:rFonts w:hint="eastAsia" w:ascii="仿宋" w:hAnsi="仿宋" w:eastAsia="仿宋"/>
          <w:kern w:val="0"/>
          <w:sz w:val="32"/>
          <w:szCs w:val="32"/>
        </w:rPr>
        <w:t>严格遵守</w:t>
      </w:r>
      <w:r>
        <w:rPr>
          <w:rFonts w:hint="eastAsia" w:ascii="仿宋" w:hAnsi="仿宋" w:eastAsia="仿宋"/>
          <w:sz w:val="32"/>
          <w:szCs w:val="32"/>
        </w:rPr>
        <w:t>《中央财政农业生产防灾救灾及特大防汛抗旱补助资金管理办法》（财农［</w:t>
      </w:r>
      <w:r>
        <w:rPr>
          <w:rFonts w:ascii="仿宋" w:hAnsi="仿宋" w:eastAsia="仿宋"/>
          <w:sz w:val="32"/>
          <w:szCs w:val="32"/>
        </w:rPr>
        <w:t>2017</w:t>
      </w:r>
      <w:r>
        <w:rPr>
          <w:rFonts w:hint="eastAsia" w:ascii="仿宋" w:hAnsi="仿宋" w:eastAsia="仿宋"/>
          <w:sz w:val="32"/>
          <w:szCs w:val="32"/>
        </w:rPr>
        <w:t>］</w:t>
      </w:r>
      <w:r>
        <w:rPr>
          <w:rFonts w:ascii="仿宋" w:hAnsi="仿宋" w:eastAsia="仿宋"/>
          <w:sz w:val="32"/>
          <w:szCs w:val="32"/>
        </w:rPr>
        <w:t>91</w:t>
      </w:r>
      <w:r>
        <w:rPr>
          <w:rFonts w:hint="eastAsia" w:ascii="仿宋" w:hAnsi="仿宋" w:eastAsia="仿宋"/>
          <w:sz w:val="32"/>
          <w:szCs w:val="32"/>
        </w:rPr>
        <w:t>号）相关规定，</w:t>
      </w:r>
      <w:r>
        <w:rPr>
          <w:rFonts w:hint="eastAsia" w:ascii="仿宋" w:hAnsi="仿宋" w:eastAsia="仿宋" w:cs="仿宋"/>
          <w:sz w:val="32"/>
          <w:szCs w:val="32"/>
        </w:rPr>
        <w:t>为了确保专项奖励资金落到实处，封闭运行，真正发挥专项资金效益，津市</w:t>
      </w:r>
      <w:r>
        <w:rPr>
          <w:rFonts w:hint="eastAsia" w:ascii="仿宋" w:hAnsi="仿宋" w:eastAsia="仿宋" w:cs="仿宋"/>
          <w:sz w:val="32"/>
          <w:szCs w:val="32"/>
          <w:lang w:eastAsia="zh-CN"/>
        </w:rPr>
        <w:t>植保站</w:t>
      </w:r>
      <w:r>
        <w:rPr>
          <w:rFonts w:hint="eastAsia" w:ascii="仿宋" w:hAnsi="仿宋" w:eastAsia="仿宋" w:cs="仿宋"/>
          <w:sz w:val="32"/>
          <w:szCs w:val="32"/>
        </w:rPr>
        <w:t>成立了项目实施小组，明确专人负责，对项目的实施、资金的使用、进行监督管理，在资金的使用上严格执行国家财政相关规定及专项资金使用有关规定，实行专款专用，封闭运行。</w:t>
      </w:r>
    </w:p>
    <w:p>
      <w:pPr>
        <w:pStyle w:val="6"/>
        <w:spacing w:line="570" w:lineRule="exact"/>
        <w:ind w:firstLine="640"/>
        <w:rPr>
          <w:rFonts w:hint="eastAsia" w:ascii="仿宋" w:hAnsi="仿宋" w:eastAsia="仿宋" w:cstheme="minorBidi"/>
          <w:bCs w:val="0"/>
          <w:kern w:val="2"/>
          <w:sz w:val="32"/>
          <w:szCs w:val="32"/>
          <w:lang w:val="en-US" w:eastAsia="zh-CN" w:bidi="ar-SA"/>
        </w:rPr>
      </w:pPr>
      <w:r>
        <w:rPr>
          <w:rFonts w:hint="eastAsia" w:ascii="仿宋" w:hAnsi="仿宋" w:eastAsia="仿宋" w:cs="仿宋"/>
          <w:sz w:val="32"/>
          <w:szCs w:val="32"/>
          <w:lang w:val="en-US" w:eastAsia="zh-CN"/>
        </w:rPr>
        <w:t>自查2021年到位中央农业生产救灾资金57万元。2021年到位中央农业生产救灾金57万元</w:t>
      </w:r>
      <w:r>
        <w:rPr>
          <w:rFonts w:hint="eastAsia" w:ascii="仿宋" w:hAnsi="仿宋" w:eastAsia="仿宋"/>
        </w:rPr>
        <w:t>（湘财预〔2021〕37号）</w:t>
      </w:r>
      <w:r>
        <w:rPr>
          <w:rFonts w:hint="eastAsia" w:ascii="仿宋" w:hAnsi="仿宋" w:eastAsia="仿宋" w:cs="仿宋"/>
          <w:sz w:val="32"/>
          <w:szCs w:val="32"/>
          <w:lang w:val="en-US" w:eastAsia="zh-CN"/>
        </w:rPr>
        <w:t>。主要用于农作物病虫害统防统治、绿色防控物资采购28.61万元，统防统治服务补助资金6万元，劳务费6.35万元，宣传培训0.98万元，设备安装费0.07万元，藠果病虫害研究委托服务15万元，总计57.01</w:t>
      </w:r>
      <w:bookmarkStart w:id="0" w:name="_GoBack"/>
      <w:bookmarkEnd w:id="0"/>
      <w:r>
        <w:rPr>
          <w:rFonts w:hint="eastAsia" w:ascii="仿宋" w:hAnsi="仿宋" w:eastAsia="仿宋" w:cs="仿宋"/>
          <w:sz w:val="32"/>
          <w:szCs w:val="32"/>
          <w:lang w:val="en-US" w:eastAsia="zh-CN"/>
        </w:rPr>
        <w:t>万元。</w:t>
      </w:r>
    </w:p>
    <w:p>
      <w:pPr>
        <w:spacing w:line="540" w:lineRule="exact"/>
        <w:ind w:left="0" w:leftChars="0" w:firstLine="643" w:firstLineChars="200"/>
        <w:jc w:val="left"/>
        <w:rPr>
          <w:rFonts w:hint="eastAsia" w:ascii="仿宋" w:hAnsi="仿宋" w:eastAsia="仿宋" w:cstheme="minorBidi"/>
          <w:b/>
          <w:bCs/>
          <w:kern w:val="2"/>
          <w:sz w:val="32"/>
          <w:szCs w:val="32"/>
          <w:lang w:val="en-US" w:eastAsia="zh-CN" w:bidi="ar-SA"/>
        </w:rPr>
      </w:pPr>
      <w:r>
        <w:rPr>
          <w:rFonts w:hint="eastAsia" w:ascii="Times New Roman" w:hAnsi="Times New Roman" w:eastAsia="仿宋_GB2312"/>
          <w:b/>
          <w:bCs/>
          <w:sz w:val="32"/>
          <w:szCs w:val="32"/>
        </w:rPr>
        <w:t>（二）总体绩效目标完成情况分析。</w:t>
      </w:r>
    </w:p>
    <w:p>
      <w:pPr>
        <w:spacing w:line="540" w:lineRule="exact"/>
        <w:ind w:firstLine="600"/>
        <w:rPr>
          <w:rFonts w:hint="eastAsia" w:ascii="仿宋" w:hAnsi="仿宋" w:eastAsia="仿宋" w:cs="仿宋"/>
          <w:sz w:val="32"/>
          <w:szCs w:val="32"/>
        </w:rPr>
      </w:pPr>
      <w:r>
        <w:rPr>
          <w:rFonts w:hint="eastAsia" w:ascii="仿宋" w:hAnsi="仿宋" w:eastAsia="仿宋" w:cs="仿宋"/>
          <w:sz w:val="32"/>
          <w:szCs w:val="32"/>
        </w:rPr>
        <w:t>津市市农业局在本市</w:t>
      </w:r>
      <w:r>
        <w:rPr>
          <w:rFonts w:hint="eastAsia" w:ascii="仿宋" w:hAnsi="仿宋" w:eastAsia="仿宋" w:cs="仿宋"/>
          <w:sz w:val="32"/>
          <w:szCs w:val="32"/>
          <w:lang w:eastAsia="zh-CN"/>
        </w:rPr>
        <w:t>新洲镇、药山镇、毛里湖镇、白衣镇</w:t>
      </w:r>
      <w:r>
        <w:rPr>
          <w:rFonts w:hint="eastAsia" w:ascii="仿宋" w:hAnsi="仿宋" w:eastAsia="仿宋" w:cs="仿宋"/>
          <w:sz w:val="32"/>
          <w:szCs w:val="32"/>
        </w:rPr>
        <w:t>实施</w:t>
      </w:r>
      <w:r>
        <w:rPr>
          <w:rFonts w:hint="eastAsia" w:ascii="仿宋" w:hAnsi="仿宋" w:eastAsia="仿宋" w:cs="仿宋"/>
          <w:sz w:val="32"/>
          <w:szCs w:val="32"/>
          <w:lang w:val="en-US" w:eastAsia="zh-CN"/>
        </w:rPr>
        <w:t>中央农业生产救灾资金</w:t>
      </w:r>
      <w:r>
        <w:rPr>
          <w:rFonts w:hint="eastAsia" w:ascii="仿宋" w:hAnsi="仿宋" w:eastAsia="仿宋" w:cs="仿宋"/>
          <w:sz w:val="32"/>
          <w:szCs w:val="32"/>
        </w:rPr>
        <w:t>重点支持环节、主要建设内容：</w:t>
      </w:r>
      <w:r>
        <w:rPr>
          <w:rFonts w:hint="eastAsia" w:ascii="仿宋" w:hAnsi="仿宋" w:eastAsia="仿宋" w:cs="仿宋"/>
          <w:sz w:val="32"/>
          <w:szCs w:val="32"/>
          <w:lang w:val="en-US" w:eastAsia="zh-CN"/>
        </w:rPr>
        <w:t>开展农业生物灾害统防统治和应急防控</w:t>
      </w:r>
      <w:r>
        <w:rPr>
          <w:rFonts w:hint="eastAsia" w:ascii="仿宋" w:hAnsi="仿宋" w:eastAsia="仿宋" w:cs="仿宋"/>
          <w:sz w:val="32"/>
          <w:szCs w:val="32"/>
        </w:rPr>
        <w:t>作业</w:t>
      </w:r>
      <w:r>
        <w:rPr>
          <w:rFonts w:hint="eastAsia" w:ascii="仿宋" w:hAnsi="仿宋" w:eastAsia="仿宋" w:cs="仿宋"/>
          <w:sz w:val="32"/>
          <w:szCs w:val="32"/>
          <w:lang w:val="en-US" w:eastAsia="zh-CN"/>
        </w:rPr>
        <w:t>10000亩次，开展藠果病虫害绿色防控示范500亩，委托湖南农大进行藠果病虫害研究实验，开展</w:t>
      </w:r>
      <w:r>
        <w:rPr>
          <w:rFonts w:hint="eastAsia" w:ascii="仿宋" w:hAnsi="仿宋" w:eastAsia="仿宋" w:cs="仿宋"/>
          <w:sz w:val="32"/>
          <w:szCs w:val="32"/>
        </w:rPr>
        <w:t>稻虾综合种养病虫害绿色防控模式创新</w:t>
      </w:r>
      <w:r>
        <w:rPr>
          <w:rFonts w:hint="eastAsia" w:ascii="仿宋" w:hAnsi="仿宋" w:eastAsia="仿宋" w:cs="仿宋"/>
          <w:sz w:val="32"/>
          <w:szCs w:val="32"/>
          <w:lang w:eastAsia="zh-CN"/>
        </w:rPr>
        <w:t>核心</w:t>
      </w:r>
      <w:r>
        <w:rPr>
          <w:rFonts w:hint="eastAsia" w:ascii="仿宋" w:hAnsi="仿宋" w:eastAsia="仿宋" w:cs="仿宋"/>
          <w:sz w:val="32"/>
          <w:szCs w:val="32"/>
        </w:rPr>
        <w:t>示范</w:t>
      </w:r>
      <w:r>
        <w:rPr>
          <w:rFonts w:hint="eastAsia" w:ascii="仿宋" w:hAnsi="仿宋" w:eastAsia="仿宋" w:cs="仿宋"/>
          <w:sz w:val="32"/>
          <w:szCs w:val="32"/>
          <w:lang w:val="en-US" w:eastAsia="zh-CN"/>
        </w:rPr>
        <w:t>500亩，安装杀虫灯10盏，开展柑橘大实蝇绿色防控700亩</w:t>
      </w:r>
      <w:r>
        <w:rPr>
          <w:rFonts w:hint="eastAsia" w:ascii="仿宋" w:hAnsi="仿宋" w:eastAsia="仿宋" w:cs="仿宋"/>
          <w:sz w:val="32"/>
          <w:szCs w:val="32"/>
        </w:rPr>
        <w:t>。</w:t>
      </w:r>
    </w:p>
    <w:p>
      <w:pPr>
        <w:pStyle w:val="2"/>
        <w:numPr>
          <w:ilvl w:val="0"/>
          <w:numId w:val="1"/>
        </w:numPr>
        <w:rPr>
          <w:rFonts w:hint="eastAsia" w:ascii="Times New Roman" w:hAnsi="Times New Roman" w:eastAsia="仿宋_GB2312"/>
          <w:b/>
          <w:bCs/>
          <w:sz w:val="32"/>
          <w:szCs w:val="32"/>
        </w:rPr>
      </w:pPr>
      <w:r>
        <w:rPr>
          <w:rFonts w:hint="eastAsia" w:ascii="Times New Roman" w:hAnsi="Times New Roman" w:eastAsia="仿宋_GB2312"/>
          <w:b/>
          <w:bCs/>
          <w:sz w:val="32"/>
          <w:szCs w:val="32"/>
        </w:rPr>
        <w:t>绩效指标完成情况分析。</w:t>
      </w:r>
    </w:p>
    <w:p>
      <w:pPr>
        <w:spacing w:line="540" w:lineRule="exact"/>
        <w:ind w:firstLine="600"/>
        <w:rPr>
          <w:rFonts w:hint="eastAsia" w:ascii="Times New Roman" w:hAnsi="Times New Roman" w:eastAsia="仿宋_GB2312"/>
          <w:sz w:val="32"/>
          <w:szCs w:val="32"/>
        </w:rPr>
      </w:pPr>
      <w:r>
        <w:rPr>
          <w:rFonts w:hint="eastAsia" w:ascii="仿宋" w:hAnsi="仿宋" w:eastAsia="仿宋" w:cs="仿宋"/>
          <w:sz w:val="32"/>
          <w:szCs w:val="32"/>
          <w:lang w:val="en-US" w:eastAsia="zh-CN"/>
        </w:rPr>
        <w:t>农业生物灾害统防统治和应急防控</w:t>
      </w:r>
      <w:r>
        <w:rPr>
          <w:rFonts w:hint="eastAsia" w:ascii="仿宋" w:hAnsi="仿宋" w:eastAsia="仿宋" w:cs="仿宋"/>
          <w:sz w:val="32"/>
          <w:szCs w:val="32"/>
        </w:rPr>
        <w:t>作业</w:t>
      </w:r>
      <w:r>
        <w:rPr>
          <w:rFonts w:hint="eastAsia" w:ascii="仿宋" w:hAnsi="仿宋" w:eastAsia="仿宋" w:cs="仿宋"/>
          <w:sz w:val="32"/>
          <w:szCs w:val="32"/>
          <w:lang w:val="en-US" w:eastAsia="zh-CN"/>
        </w:rPr>
        <w:t>10000亩次，开展</w:t>
      </w:r>
      <w:r>
        <w:rPr>
          <w:rFonts w:hint="eastAsia" w:ascii="仿宋" w:hAnsi="仿宋" w:eastAsia="仿宋" w:cs="仿宋"/>
          <w:sz w:val="32"/>
          <w:szCs w:val="32"/>
        </w:rPr>
        <w:t>稻虾综合种养病虫害绿色防控模式创新</w:t>
      </w:r>
      <w:r>
        <w:rPr>
          <w:rFonts w:hint="eastAsia" w:ascii="仿宋" w:hAnsi="仿宋" w:eastAsia="仿宋" w:cs="仿宋"/>
          <w:sz w:val="32"/>
          <w:szCs w:val="32"/>
          <w:lang w:eastAsia="zh-CN"/>
        </w:rPr>
        <w:t>核心</w:t>
      </w:r>
      <w:r>
        <w:rPr>
          <w:rFonts w:hint="eastAsia" w:ascii="仿宋" w:hAnsi="仿宋" w:eastAsia="仿宋" w:cs="仿宋"/>
          <w:sz w:val="32"/>
          <w:szCs w:val="32"/>
        </w:rPr>
        <w:t>示范</w:t>
      </w:r>
      <w:r>
        <w:rPr>
          <w:rFonts w:hint="eastAsia" w:ascii="仿宋" w:hAnsi="仿宋" w:eastAsia="仿宋" w:cs="仿宋"/>
          <w:sz w:val="32"/>
          <w:szCs w:val="32"/>
          <w:lang w:val="en-US" w:eastAsia="zh-CN"/>
        </w:rPr>
        <w:t>500亩，辐射面积3000亩以上；开展柑橘大实蝇绿色防控700亩，辐射面积5000亩以上；开展藠果病虫害绿色防控示范500亩，辐射面积5000亩以上</w:t>
      </w:r>
      <w:r>
        <w:rPr>
          <w:rFonts w:hint="eastAsia" w:ascii="仿宋" w:hAnsi="仿宋" w:eastAsia="仿宋" w:cs="仿宋"/>
          <w:sz w:val="32"/>
          <w:szCs w:val="32"/>
        </w:rPr>
        <w:t>。节约成本，每亩平均节省农药成本25元</w:t>
      </w:r>
      <w:r>
        <w:rPr>
          <w:rFonts w:hint="eastAsia" w:ascii="仿宋" w:hAnsi="仿宋" w:eastAsia="仿宋" w:cs="仿宋"/>
          <w:sz w:val="32"/>
          <w:szCs w:val="32"/>
          <w:lang w:eastAsia="zh-CN"/>
        </w:rPr>
        <w:t>，保证</w:t>
      </w:r>
      <w:r>
        <w:rPr>
          <w:rFonts w:hint="eastAsia" w:ascii="仿宋" w:hAnsi="仿宋" w:eastAsia="仿宋" w:cs="仿宋"/>
          <w:sz w:val="32"/>
          <w:szCs w:val="32"/>
        </w:rPr>
        <w:t>农户</w:t>
      </w:r>
      <w:r>
        <w:rPr>
          <w:rFonts w:hint="eastAsia" w:ascii="仿宋" w:hAnsi="仿宋" w:eastAsia="仿宋" w:cs="仿宋"/>
          <w:sz w:val="32"/>
          <w:szCs w:val="32"/>
          <w:lang w:eastAsia="zh-CN"/>
        </w:rPr>
        <w:t>收入增加</w:t>
      </w:r>
      <w:r>
        <w:rPr>
          <w:rFonts w:hint="eastAsia" w:ascii="仿宋" w:hAnsi="仿宋" w:eastAsia="仿宋" w:cs="仿宋"/>
          <w:sz w:val="32"/>
          <w:szCs w:val="32"/>
        </w:rPr>
        <w:t>，每亩增收</w:t>
      </w:r>
      <w:r>
        <w:rPr>
          <w:rFonts w:hint="eastAsia" w:ascii="仿宋" w:hAnsi="仿宋" w:eastAsia="仿宋" w:cs="仿宋"/>
          <w:sz w:val="32"/>
          <w:szCs w:val="32"/>
          <w:lang w:val="en-US" w:eastAsia="zh-CN"/>
        </w:rPr>
        <w:t>100</w:t>
      </w:r>
      <w:r>
        <w:rPr>
          <w:rFonts w:hint="eastAsia" w:ascii="仿宋" w:hAnsi="仿宋" w:eastAsia="仿宋" w:cs="仿宋"/>
          <w:sz w:val="32"/>
          <w:szCs w:val="32"/>
        </w:rPr>
        <w:t>元；节约劳动力成本；减少农药、农药包装对环境的污染，保护了生态环境。</w:t>
      </w:r>
    </w:p>
    <w:p>
      <w:pPr>
        <w:adjustRightInd w:val="0"/>
        <w:snapToGrid w:val="0"/>
        <w:spacing w:line="580" w:lineRule="exact"/>
        <w:ind w:firstLine="640" w:firstLineChars="200"/>
        <w:rPr>
          <w:rFonts w:hint="eastAsia" w:ascii="仿宋" w:hAnsi="仿宋" w:eastAsia="仿宋" w:cs="仿宋"/>
          <w:sz w:val="32"/>
          <w:szCs w:val="32"/>
        </w:rPr>
      </w:pPr>
      <w:r>
        <w:rPr>
          <w:rFonts w:hint="eastAsia" w:ascii="Times New Roman" w:hAnsi="Times New Roman" w:eastAsia="黑体"/>
          <w:sz w:val="32"/>
          <w:szCs w:val="32"/>
          <w:lang w:eastAsia="zh-CN"/>
        </w:rPr>
        <w:t>三</w:t>
      </w:r>
      <w:r>
        <w:rPr>
          <w:rFonts w:hint="eastAsia" w:ascii="Times New Roman" w:hAnsi="Times New Roman" w:eastAsia="黑体"/>
          <w:sz w:val="32"/>
          <w:szCs w:val="32"/>
        </w:rPr>
        <w:t>、绩效自评结果拟应用和公开情况</w:t>
      </w:r>
    </w:p>
    <w:p>
      <w:pPr>
        <w:pStyle w:val="6"/>
        <w:ind w:left="0" w:leftChars="0"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病虫害防控改变了农民传统的病虫害防治方式，减少了劳动力成本和农药成本的投入，减少了高毒高残农药的使用量，符合现代农业绿色防控的要求，</w:t>
      </w:r>
      <w:r>
        <w:rPr>
          <w:rFonts w:hint="eastAsia" w:ascii="仿宋" w:hAnsi="仿宋" w:eastAsia="仿宋" w:cs="仿宋"/>
          <w:sz w:val="32"/>
          <w:szCs w:val="32"/>
        </w:rPr>
        <w:t>保障农产品质量安全，促进</w:t>
      </w:r>
      <w:r>
        <w:rPr>
          <w:rFonts w:hint="eastAsia" w:ascii="仿宋" w:hAnsi="仿宋" w:eastAsia="仿宋" w:cs="仿宋"/>
          <w:sz w:val="32"/>
          <w:szCs w:val="32"/>
          <w:lang w:eastAsia="zh-CN"/>
        </w:rPr>
        <w:t>了</w:t>
      </w:r>
      <w:r>
        <w:rPr>
          <w:rFonts w:hint="eastAsia" w:ascii="仿宋" w:hAnsi="仿宋" w:eastAsia="仿宋" w:cs="仿宋"/>
          <w:sz w:val="32"/>
          <w:szCs w:val="32"/>
        </w:rPr>
        <w:t>生态平衡，</w:t>
      </w:r>
      <w:r>
        <w:rPr>
          <w:rFonts w:hint="eastAsia" w:ascii="仿宋" w:hAnsi="仿宋" w:eastAsia="仿宋" w:cs="仿宋"/>
          <w:sz w:val="32"/>
          <w:szCs w:val="32"/>
          <w:lang w:eastAsia="zh-CN"/>
        </w:rPr>
        <w:t>增加了农民收入，</w:t>
      </w:r>
      <w:r>
        <w:rPr>
          <w:rFonts w:hint="eastAsia" w:ascii="仿宋" w:hAnsi="仿宋" w:eastAsia="仿宋" w:cs="仿宋"/>
          <w:sz w:val="32"/>
          <w:szCs w:val="32"/>
        </w:rPr>
        <w:t>促进农业可持续发展。</w:t>
      </w:r>
    </w:p>
    <w:p>
      <w:pPr>
        <w:adjustRightInd w:val="0"/>
        <w:snapToGrid w:val="0"/>
        <w:spacing w:line="580" w:lineRule="exact"/>
        <w:ind w:firstLine="640" w:firstLineChars="200"/>
        <w:rPr>
          <w:rFonts w:ascii="Times New Roman" w:hAnsi="Times New Roman" w:eastAsia="黑体"/>
          <w:sz w:val="32"/>
          <w:szCs w:val="32"/>
        </w:rPr>
      </w:pPr>
      <w:r>
        <w:rPr>
          <w:rFonts w:hint="eastAsia" w:ascii="Times New Roman" w:hAnsi="Times New Roman" w:eastAsia="黑体"/>
          <w:sz w:val="32"/>
          <w:szCs w:val="32"/>
          <w:lang w:eastAsia="zh-CN"/>
        </w:rPr>
        <w:t>四</w:t>
      </w:r>
      <w:r>
        <w:rPr>
          <w:rFonts w:hint="eastAsia" w:ascii="Times New Roman" w:hAnsi="Times New Roman" w:eastAsia="黑体"/>
          <w:sz w:val="32"/>
          <w:szCs w:val="32"/>
        </w:rPr>
        <w:t>、其他需要说明的问题</w:t>
      </w:r>
    </w:p>
    <w:p>
      <w:pPr>
        <w:pStyle w:val="6"/>
        <w:ind w:left="0" w:leftChars="0"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由于丘陵地区水稻成片种植较少，病虫害统防统治开展起来难度较大。部分农民认知度不高。</w:t>
      </w:r>
      <w:r>
        <w:rPr>
          <w:rFonts w:hint="eastAsia" w:ascii="仿宋" w:hAnsi="仿宋" w:eastAsia="仿宋" w:cs="仿宋"/>
          <w:sz w:val="32"/>
          <w:szCs w:val="32"/>
          <w:lang w:eastAsia="zh-CN"/>
        </w:rPr>
        <w:t>建议重视病虫害防控工作，增加宣传力度和提高农民的认知度。</w:t>
      </w:r>
    </w:p>
    <w:p>
      <w:pPr>
        <w:rPr>
          <w:rFonts w:hint="eastAsia" w:ascii="仿宋" w:hAnsi="仿宋" w:eastAsia="仿宋" w:cs="仿宋"/>
          <w:sz w:val="32"/>
          <w:szCs w:val="32"/>
          <w:lang w:eastAsia="zh-CN"/>
        </w:rPr>
      </w:pPr>
    </w:p>
    <w:p>
      <w:pPr>
        <w:pStyle w:val="2"/>
        <w:rPr>
          <w:rFonts w:hint="eastAsia" w:ascii="仿宋" w:hAnsi="仿宋" w:eastAsia="仿宋" w:cs="仿宋"/>
          <w:sz w:val="32"/>
          <w:szCs w:val="32"/>
          <w:lang w:eastAsia="zh-CN"/>
        </w:rPr>
      </w:pPr>
    </w:p>
    <w:p>
      <w:pPr>
        <w:pStyle w:val="2"/>
        <w:ind w:left="0" w:leftChars="0" w:firstLine="0" w:firstLineChars="0"/>
        <w:jc w:val="right"/>
        <w:rPr>
          <w:rFonts w:hint="eastAsia" w:ascii="仿宋" w:hAnsi="仿宋" w:eastAsia="仿宋" w:cs="仿宋"/>
          <w:sz w:val="32"/>
          <w:szCs w:val="32"/>
          <w:lang w:eastAsia="zh-CN"/>
        </w:rPr>
      </w:pPr>
      <w:r>
        <w:rPr>
          <w:rFonts w:hint="eastAsia" w:ascii="仿宋" w:hAnsi="仿宋" w:eastAsia="仿宋" w:cs="仿宋"/>
          <w:sz w:val="32"/>
          <w:szCs w:val="32"/>
          <w:lang w:eastAsia="zh-CN"/>
        </w:rPr>
        <w:t>津市市植保植检站</w:t>
      </w:r>
    </w:p>
    <w:p>
      <w:pPr>
        <w:pStyle w:val="2"/>
        <w:ind w:left="0" w:leftChars="0" w:firstLine="0" w:firstLineChars="0"/>
        <w:jc w:val="righ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2022年3月8日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KaiTi_GB2312">
    <w:altName w:val="楷体"/>
    <w:panose1 w:val="02010609060101010101"/>
    <w:charset w:val="00"/>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03F726"/>
    <w:multiLevelType w:val="singleLevel"/>
    <w:tmpl w:val="ED03F72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DC44A4"/>
    <w:rsid w:val="00760969"/>
    <w:rsid w:val="09B90BDA"/>
    <w:rsid w:val="0F144B2B"/>
    <w:rsid w:val="1F392B48"/>
    <w:rsid w:val="23A20D92"/>
    <w:rsid w:val="2A61603F"/>
    <w:rsid w:val="2A952DCF"/>
    <w:rsid w:val="36DC44A4"/>
    <w:rsid w:val="48464777"/>
    <w:rsid w:val="52C926A0"/>
    <w:rsid w:val="5BAF1379"/>
    <w:rsid w:val="5FA66A44"/>
    <w:rsid w:val="608A291D"/>
    <w:rsid w:val="6CAB5912"/>
    <w:rsid w:val="6D8153B8"/>
    <w:rsid w:val="74BF7574"/>
    <w:rsid w:val="7B453BA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79" w:lineRule="atLeast"/>
      <w:ind w:firstLine="200" w:firstLineChars="200"/>
      <w:jc w:val="both"/>
    </w:pPr>
    <w:rPr>
      <w:rFonts w:eastAsia="仿宋_GB2312" w:asciiTheme="minorHAnsi" w:hAnsiTheme="minorHAnsi" w:cstheme="minorBidi"/>
      <w:kern w:val="2"/>
      <w:sz w:val="32"/>
      <w:szCs w:val="24"/>
      <w:lang w:val="en-US" w:eastAsia="zh-CN" w:bidi="ar-SA"/>
    </w:rPr>
  </w:style>
  <w:style w:type="paragraph" w:styleId="3">
    <w:name w:val="heading 1"/>
    <w:basedOn w:val="1"/>
    <w:next w:val="1"/>
    <w:qFormat/>
    <w:uiPriority w:val="0"/>
    <w:pPr>
      <w:keepNext/>
      <w:keepLines/>
      <w:spacing w:line="700" w:lineRule="exact"/>
      <w:ind w:firstLine="0" w:firstLineChars="0"/>
      <w:jc w:val="center"/>
      <w:outlineLvl w:val="0"/>
    </w:pPr>
    <w:rPr>
      <w:rFonts w:eastAsia="方正小标宋简体"/>
      <w:bCs/>
      <w:kern w:val="44"/>
      <w:sz w:val="44"/>
      <w:szCs w:val="44"/>
    </w:rPr>
  </w:style>
  <w:style w:type="paragraph" w:styleId="4">
    <w:name w:val="heading 2"/>
    <w:basedOn w:val="1"/>
    <w:next w:val="1"/>
    <w:semiHidden/>
    <w:unhideWhenUsed/>
    <w:qFormat/>
    <w:uiPriority w:val="0"/>
    <w:pPr>
      <w:keepNext/>
      <w:keepLines/>
      <w:ind w:firstLine="200" w:firstLineChars="200"/>
      <w:outlineLvl w:val="1"/>
    </w:pPr>
    <w:rPr>
      <w:rFonts w:eastAsia="黑体"/>
      <w:bCs/>
      <w:szCs w:val="32"/>
    </w:rPr>
  </w:style>
  <w:style w:type="paragraph" w:styleId="5">
    <w:name w:val="heading 3"/>
    <w:basedOn w:val="1"/>
    <w:next w:val="1"/>
    <w:qFormat/>
    <w:uiPriority w:val="99"/>
    <w:pPr>
      <w:keepNext/>
      <w:keepLines/>
      <w:outlineLvl w:val="2"/>
    </w:pPr>
    <w:rPr>
      <w:rFonts w:eastAsia="KaiTi_GB2312"/>
      <w:b/>
      <w:bCs/>
    </w:rPr>
  </w:style>
  <w:style w:type="paragraph" w:styleId="6">
    <w:name w:val="heading 4"/>
    <w:basedOn w:val="1"/>
    <w:next w:val="1"/>
    <w:semiHidden/>
    <w:unhideWhenUsed/>
    <w:qFormat/>
    <w:uiPriority w:val="0"/>
    <w:pPr>
      <w:outlineLvl w:val="3"/>
    </w:pPr>
    <w:rPr>
      <w:bCs/>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2021-03-17T00:20:00Z</dcterms:created>
  <dc:creator>楊月兮</dc:creator>
  <cp:lastModifiedBy>Administrator</cp:lastModifiedBy>
  <dcterms:modified xsi:type="dcterms:W3CDTF">2022-03-09T01:15:48Z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62566EE8B47F4C10A5622D87CC762290</vt:lpwstr>
  </property>
</Properties>
</file>