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80" w:firstLineChars="350"/>
        <w:rPr>
          <w:sz w:val="28"/>
          <w:szCs w:val="28"/>
        </w:rPr>
      </w:pPr>
      <w:r>
        <w:rPr>
          <w:rFonts w:hint="eastAsia"/>
          <w:sz w:val="28"/>
          <w:szCs w:val="28"/>
        </w:rPr>
        <w:t>津市市20</w:t>
      </w:r>
      <w:r>
        <w:rPr>
          <w:sz w:val="28"/>
          <w:szCs w:val="28"/>
        </w:rPr>
        <w:t>2</w:t>
      </w:r>
      <w:r>
        <w:rPr>
          <w:rFonts w:hint="eastAsia"/>
          <w:sz w:val="28"/>
          <w:szCs w:val="28"/>
          <w:lang w:val="en-US" w:eastAsia="zh-CN"/>
        </w:rPr>
        <w:t>1</w:t>
      </w:r>
      <w:r>
        <w:rPr>
          <w:rFonts w:hint="eastAsia"/>
          <w:sz w:val="28"/>
          <w:szCs w:val="28"/>
        </w:rPr>
        <w:t>年中央农业适度规模经营补助项目</w:t>
      </w:r>
    </w:p>
    <w:p>
      <w:pPr>
        <w:ind w:firstLine="3080" w:firstLineChars="1100"/>
        <w:rPr>
          <w:sz w:val="28"/>
          <w:szCs w:val="28"/>
        </w:rPr>
      </w:pPr>
      <w:r>
        <w:rPr>
          <w:rFonts w:hint="eastAsia"/>
          <w:sz w:val="28"/>
          <w:szCs w:val="28"/>
        </w:rPr>
        <w:t>绩效评价报告</w:t>
      </w:r>
    </w:p>
    <w:p>
      <w:pPr>
        <w:rPr>
          <w:sz w:val="28"/>
          <w:szCs w:val="28"/>
        </w:rPr>
      </w:pPr>
      <w:r>
        <w:rPr>
          <w:sz w:val="28"/>
          <w:szCs w:val="28"/>
        </w:rPr>
        <w:t> </w:t>
      </w:r>
    </w:p>
    <w:p>
      <w:pPr>
        <w:ind w:firstLine="700" w:firstLineChars="250"/>
        <w:rPr>
          <w:sz w:val="28"/>
          <w:szCs w:val="28"/>
        </w:rPr>
      </w:pPr>
      <w:r>
        <w:rPr>
          <w:rFonts w:hint="eastAsia"/>
          <w:sz w:val="28"/>
          <w:szCs w:val="28"/>
        </w:rPr>
        <w:t>根据《湖南省农业“三项补贴”改革试点方案》（湘政办发〔2015〕72</w:t>
      </w:r>
      <w:r>
        <w:rPr>
          <w:rFonts w:hint="eastAsia"/>
          <w:sz w:val="28"/>
          <w:szCs w:val="28"/>
          <w:lang w:val="en-US" w:eastAsia="zh-CN"/>
        </w:rPr>
        <w:t>号</w:t>
      </w:r>
      <w:r>
        <w:rPr>
          <w:rFonts w:hint="eastAsia"/>
          <w:sz w:val="28"/>
          <w:szCs w:val="28"/>
        </w:rPr>
        <w:t>）以及</w:t>
      </w:r>
      <w:bookmarkStart w:id="0" w:name="_Hlk65826208"/>
      <w:r>
        <w:rPr>
          <w:rFonts w:hint="eastAsia"/>
          <w:sz w:val="28"/>
          <w:szCs w:val="28"/>
        </w:rPr>
        <w:t>《</w:t>
      </w:r>
      <w:r>
        <w:rPr>
          <w:rFonts w:hint="eastAsia"/>
          <w:sz w:val="28"/>
          <w:szCs w:val="28"/>
          <w:lang w:val="en-US" w:eastAsia="zh-CN"/>
        </w:rPr>
        <w:t>关于下达2021年中央适度规模经营补助资金的通知</w:t>
      </w:r>
      <w:r>
        <w:rPr>
          <w:rFonts w:hint="eastAsia"/>
          <w:sz w:val="28"/>
          <w:szCs w:val="28"/>
        </w:rPr>
        <w:t>》（</w:t>
      </w:r>
      <w:r>
        <w:rPr>
          <w:rFonts w:hint="eastAsia"/>
          <w:sz w:val="28"/>
          <w:szCs w:val="28"/>
          <w:lang w:val="en-US" w:eastAsia="zh-CN"/>
        </w:rPr>
        <w:t>湘财预</w:t>
      </w:r>
      <w:r>
        <w:rPr>
          <w:rFonts w:hint="eastAsia"/>
          <w:sz w:val="28"/>
          <w:szCs w:val="28"/>
        </w:rPr>
        <w:t>〔20</w:t>
      </w:r>
      <w:r>
        <w:rPr>
          <w:rFonts w:hint="eastAsia"/>
          <w:sz w:val="28"/>
          <w:szCs w:val="28"/>
          <w:lang w:val="en-US" w:eastAsia="zh-CN"/>
        </w:rPr>
        <w:t>21</w:t>
      </w:r>
      <w:r>
        <w:rPr>
          <w:rFonts w:hint="eastAsia"/>
          <w:sz w:val="28"/>
          <w:szCs w:val="28"/>
        </w:rPr>
        <w:t>〕</w:t>
      </w:r>
      <w:r>
        <w:rPr>
          <w:rFonts w:hint="eastAsia"/>
          <w:sz w:val="28"/>
          <w:szCs w:val="28"/>
          <w:lang w:val="en-US" w:eastAsia="zh-CN"/>
        </w:rPr>
        <w:t>204</w:t>
      </w:r>
      <w:r>
        <w:rPr>
          <w:rFonts w:hint="eastAsia"/>
          <w:sz w:val="28"/>
          <w:szCs w:val="28"/>
        </w:rPr>
        <w:t>号）</w:t>
      </w:r>
      <w:bookmarkEnd w:id="0"/>
      <w:r>
        <w:rPr>
          <w:rFonts w:hint="eastAsia"/>
          <w:sz w:val="28"/>
          <w:szCs w:val="28"/>
          <w:lang w:val="en-US" w:eastAsia="zh-CN"/>
        </w:rPr>
        <w:t>文件精神</w:t>
      </w:r>
      <w:r>
        <w:rPr>
          <w:rFonts w:hint="eastAsia"/>
          <w:sz w:val="28"/>
          <w:szCs w:val="28"/>
        </w:rPr>
        <w:t>要求，我局成立了自评工作小组，并组织计划规划办、粮油站和相关股室，对</w:t>
      </w:r>
      <w:r>
        <w:rPr>
          <w:sz w:val="28"/>
          <w:szCs w:val="28"/>
        </w:rPr>
        <w:t>202</w:t>
      </w:r>
      <w:r>
        <w:rPr>
          <w:rFonts w:hint="eastAsia"/>
          <w:sz w:val="28"/>
          <w:szCs w:val="28"/>
          <w:lang w:val="en-US" w:eastAsia="zh-CN"/>
        </w:rPr>
        <w:t>1</w:t>
      </w:r>
      <w:r>
        <w:rPr>
          <w:rFonts w:hint="eastAsia"/>
          <w:sz w:val="28"/>
          <w:szCs w:val="28"/>
        </w:rPr>
        <w:t>年中央农业生产适度规模经营补助项目开展了绩效评价自查工作，现将具体情况汇报如下：</w:t>
      </w:r>
    </w:p>
    <w:p>
      <w:pPr>
        <w:rPr>
          <w:sz w:val="28"/>
          <w:szCs w:val="28"/>
        </w:rPr>
      </w:pPr>
      <w:r>
        <w:rPr>
          <w:rFonts w:hint="eastAsia"/>
          <w:sz w:val="28"/>
          <w:szCs w:val="28"/>
        </w:rPr>
        <w:t>一、项目基本情况</w:t>
      </w:r>
    </w:p>
    <w:p>
      <w:pPr>
        <w:ind w:firstLine="560" w:firstLineChars="200"/>
        <w:rPr>
          <w:sz w:val="28"/>
          <w:szCs w:val="28"/>
        </w:rPr>
      </w:pPr>
      <w:r>
        <w:rPr>
          <w:rFonts w:hint="eastAsia"/>
          <w:sz w:val="28"/>
          <w:szCs w:val="28"/>
        </w:rPr>
        <w:t>（一）项目基本情况简介</w:t>
      </w:r>
    </w:p>
    <w:p>
      <w:pPr>
        <w:ind w:firstLine="560" w:firstLineChars="200"/>
        <w:rPr>
          <w:sz w:val="28"/>
          <w:szCs w:val="28"/>
        </w:rPr>
      </w:pPr>
      <w:r>
        <w:rPr>
          <w:rFonts w:hint="eastAsia"/>
          <w:sz w:val="28"/>
          <w:szCs w:val="28"/>
        </w:rPr>
        <w:t>中央农业生产适度规模经营补助项目由财政部门会同农业部门共同组织实施。财政部门主要负责项目审核、资金拨付和监督考核等工作，农业部门主要负责方案制定、任务落实、项目组织和监督考核等工作。中央适度规模经营补贴资金来源除专项资金外，还可以从稻谷目标价格改革补贴资金切块不超过3</w:t>
      </w:r>
      <w:r>
        <w:rPr>
          <w:sz w:val="28"/>
          <w:szCs w:val="28"/>
        </w:rPr>
        <w:t>0%</w:t>
      </w:r>
      <w:r>
        <w:rPr>
          <w:rFonts w:hint="eastAsia"/>
          <w:sz w:val="28"/>
          <w:szCs w:val="28"/>
        </w:rPr>
        <w:t>的资金用于农业适度规模补助。</w:t>
      </w:r>
    </w:p>
    <w:p>
      <w:pPr>
        <w:ind w:firstLine="560" w:firstLineChars="200"/>
        <w:rPr>
          <w:sz w:val="28"/>
          <w:szCs w:val="28"/>
        </w:rPr>
      </w:pPr>
      <w:r>
        <w:rPr>
          <w:rFonts w:hint="eastAsia"/>
          <w:sz w:val="28"/>
          <w:szCs w:val="28"/>
        </w:rPr>
        <w:t>（二）绩效目标设定及指标完成情况。</w:t>
      </w:r>
    </w:p>
    <w:p>
      <w:pPr>
        <w:ind w:firstLine="560" w:firstLineChars="200"/>
        <w:rPr>
          <w:sz w:val="28"/>
          <w:szCs w:val="28"/>
        </w:rPr>
      </w:pPr>
      <w:r>
        <w:rPr>
          <w:rFonts w:hint="eastAsia"/>
          <w:sz w:val="28"/>
          <w:szCs w:val="28"/>
        </w:rPr>
        <w:t>支持农业适度规模经营项目的实施，是为了支持从事农业生产的适度规模生产经营者，重点向种粮大户、家庭农场、农民合作社和农业社会化服务组织等新型农业经营主体和新型服务主体倾斜。充分发挥财政资金的引导作用，助推粮食生产新型经营主体发展，保障国家粮食安全。通过项目的实施，实现粮食总产稳定，区域布局及品种结构优化，新型经营主体及种植户生产效益提升。</w:t>
      </w:r>
    </w:p>
    <w:p>
      <w:pPr>
        <w:rPr>
          <w:sz w:val="28"/>
          <w:szCs w:val="28"/>
        </w:rPr>
      </w:pPr>
      <w:r>
        <w:rPr>
          <w:rFonts w:hint="eastAsia"/>
          <w:sz w:val="28"/>
          <w:szCs w:val="28"/>
        </w:rPr>
        <w:t>二、绩效评价工作情况</w:t>
      </w:r>
    </w:p>
    <w:p>
      <w:pPr>
        <w:rPr>
          <w:sz w:val="28"/>
          <w:szCs w:val="28"/>
        </w:rPr>
      </w:pPr>
      <w:r>
        <w:rPr>
          <w:rFonts w:hint="eastAsia"/>
          <w:sz w:val="28"/>
          <w:szCs w:val="28"/>
        </w:rPr>
        <w:t>（一）绩效评价目的。</w:t>
      </w:r>
    </w:p>
    <w:p>
      <w:pPr>
        <w:ind w:firstLine="560" w:firstLineChars="200"/>
        <w:rPr>
          <w:sz w:val="28"/>
          <w:szCs w:val="28"/>
        </w:rPr>
      </w:pPr>
      <w:r>
        <w:rPr>
          <w:rFonts w:hint="eastAsia"/>
          <w:sz w:val="28"/>
          <w:szCs w:val="28"/>
        </w:rPr>
        <w:t>通过绩效评价全面分析农业生产适度规模经营补助补贴资金分配、发放、使用和管理以及项目实施效果等情况，切实提高财政资金使用效益。</w:t>
      </w:r>
    </w:p>
    <w:p>
      <w:pPr>
        <w:rPr>
          <w:sz w:val="28"/>
          <w:szCs w:val="28"/>
        </w:rPr>
      </w:pPr>
      <w:r>
        <w:rPr>
          <w:rFonts w:hint="eastAsia"/>
          <w:sz w:val="28"/>
          <w:szCs w:val="28"/>
        </w:rPr>
        <w:t>（二）绩效评价工作过程。</w:t>
      </w:r>
    </w:p>
    <w:p>
      <w:pPr>
        <w:ind w:firstLine="560" w:firstLineChars="200"/>
        <w:rPr>
          <w:sz w:val="28"/>
          <w:szCs w:val="28"/>
        </w:rPr>
      </w:pPr>
      <w:r>
        <w:rPr>
          <w:rFonts w:hint="eastAsia"/>
          <w:sz w:val="28"/>
          <w:szCs w:val="28"/>
        </w:rPr>
        <w:t>津市市农业农村局高度重视该项目的绩效考评，组建了绩效自评领导小组和专班，由专人负责</w:t>
      </w:r>
      <w:r>
        <w:rPr>
          <w:sz w:val="28"/>
          <w:szCs w:val="28"/>
        </w:rPr>
        <w:t>202</w:t>
      </w:r>
      <w:r>
        <w:rPr>
          <w:rFonts w:hint="eastAsia"/>
          <w:sz w:val="28"/>
          <w:szCs w:val="28"/>
          <w:lang w:val="en-US" w:eastAsia="zh-CN"/>
        </w:rPr>
        <w:t>1</w:t>
      </w:r>
      <w:r>
        <w:rPr>
          <w:rFonts w:hint="eastAsia"/>
          <w:sz w:val="28"/>
          <w:szCs w:val="28"/>
        </w:rPr>
        <w:t>年度项目绩效自评工作。要求各股站室认真开展各自承担项目绩效自评工作，如实填报，加强审核，按时报送绩效自评报告和自评表，如发现问题要认真整改。</w:t>
      </w:r>
    </w:p>
    <w:p>
      <w:pPr>
        <w:rPr>
          <w:sz w:val="28"/>
          <w:szCs w:val="28"/>
        </w:rPr>
      </w:pPr>
      <w:r>
        <w:rPr>
          <w:rFonts w:hint="eastAsia"/>
          <w:sz w:val="28"/>
          <w:szCs w:val="28"/>
        </w:rPr>
        <w:t>（三）项目资金情况分析。</w:t>
      </w:r>
    </w:p>
    <w:p>
      <w:pPr>
        <w:ind w:firstLine="560" w:firstLineChars="200"/>
        <w:rPr>
          <w:sz w:val="28"/>
          <w:szCs w:val="28"/>
        </w:rPr>
      </w:pPr>
      <w:r>
        <w:rPr>
          <w:rFonts w:hint="eastAsia"/>
          <w:sz w:val="28"/>
          <w:szCs w:val="28"/>
          <w:lang w:eastAsia="zh-CN"/>
        </w:rPr>
        <w:t>2021</w:t>
      </w:r>
      <w:r>
        <w:rPr>
          <w:rFonts w:hint="eastAsia"/>
          <w:sz w:val="28"/>
          <w:szCs w:val="28"/>
        </w:rPr>
        <w:t>年，我市共发放农业适度规模经营补贴资金</w:t>
      </w:r>
      <w:r>
        <w:rPr>
          <w:rFonts w:hint="eastAsia"/>
          <w:sz w:val="28"/>
          <w:szCs w:val="28"/>
          <w:lang w:val="en-US" w:eastAsia="zh-CN"/>
        </w:rPr>
        <w:t>289</w:t>
      </w:r>
      <w:r>
        <w:rPr>
          <w:rFonts w:hint="eastAsia"/>
          <w:sz w:val="28"/>
          <w:szCs w:val="28"/>
        </w:rPr>
        <w:t>万元，其中省财政下达</w:t>
      </w:r>
      <w:r>
        <w:rPr>
          <w:rFonts w:hint="eastAsia"/>
          <w:sz w:val="28"/>
          <w:szCs w:val="28"/>
          <w:lang w:eastAsia="zh-CN"/>
        </w:rPr>
        <w:t>2021</w:t>
      </w:r>
      <w:r>
        <w:rPr>
          <w:rFonts w:hint="eastAsia"/>
          <w:sz w:val="28"/>
          <w:szCs w:val="28"/>
        </w:rPr>
        <w:t>年中央农业适度规模经营补贴资金专项</w:t>
      </w:r>
      <w:r>
        <w:rPr>
          <w:rFonts w:hint="eastAsia"/>
          <w:sz w:val="28"/>
          <w:szCs w:val="28"/>
          <w:lang w:val="en-US" w:eastAsia="zh-CN"/>
        </w:rPr>
        <w:t>119</w:t>
      </w:r>
      <w:r>
        <w:rPr>
          <w:rFonts w:hint="eastAsia"/>
          <w:sz w:val="28"/>
          <w:szCs w:val="28"/>
        </w:rPr>
        <w:t>万元，</w:t>
      </w:r>
      <w:r>
        <w:rPr>
          <w:rFonts w:hint="eastAsia"/>
          <w:sz w:val="28"/>
          <w:szCs w:val="28"/>
          <w:lang w:val="en-US" w:eastAsia="zh-CN"/>
        </w:rPr>
        <w:t>从耕地地力保护补贴结余资金中统筹170万元</w:t>
      </w:r>
      <w:r>
        <w:rPr>
          <w:rFonts w:hint="eastAsia"/>
          <w:sz w:val="28"/>
          <w:szCs w:val="28"/>
        </w:rPr>
        <w:t>。具体使用情况如下：</w:t>
      </w:r>
    </w:p>
    <w:p>
      <w:pPr>
        <w:rPr>
          <w:rFonts w:hint="default" w:eastAsiaTheme="minorEastAsia"/>
          <w:sz w:val="28"/>
          <w:szCs w:val="28"/>
          <w:lang w:val="en-US" w:eastAsia="zh-CN"/>
        </w:rPr>
      </w:pPr>
      <w:r>
        <w:rPr>
          <w:rFonts w:hint="eastAsia"/>
          <w:sz w:val="28"/>
          <w:szCs w:val="28"/>
        </w:rPr>
        <w:t>1、</w:t>
      </w:r>
      <w:r>
        <w:rPr>
          <w:rFonts w:hint="eastAsia"/>
          <w:sz w:val="28"/>
          <w:szCs w:val="28"/>
          <w:lang w:val="en-US" w:eastAsia="zh-CN"/>
        </w:rPr>
        <w:t>规模</w:t>
      </w:r>
      <w:r>
        <w:rPr>
          <w:rFonts w:hint="eastAsia"/>
          <w:sz w:val="28"/>
          <w:szCs w:val="28"/>
        </w:rPr>
        <w:t>种粮大户补贴</w:t>
      </w:r>
      <w:r>
        <w:rPr>
          <w:rFonts w:hint="eastAsia"/>
          <w:sz w:val="28"/>
          <w:szCs w:val="28"/>
          <w:lang w:eastAsia="zh-CN"/>
        </w:rPr>
        <w:t>（</w:t>
      </w:r>
      <w:r>
        <w:rPr>
          <w:rFonts w:hint="eastAsia"/>
          <w:sz w:val="28"/>
          <w:szCs w:val="28"/>
          <w:lang w:val="en-US" w:eastAsia="zh-CN"/>
        </w:rPr>
        <w:t>30亩以上</w:t>
      </w:r>
      <w:r>
        <w:rPr>
          <w:rFonts w:hint="eastAsia"/>
          <w:sz w:val="28"/>
          <w:szCs w:val="28"/>
          <w:lang w:eastAsia="zh-CN"/>
        </w:rPr>
        <w:t>）</w:t>
      </w:r>
      <w:r>
        <w:rPr>
          <w:rFonts w:hint="eastAsia"/>
          <w:sz w:val="28"/>
          <w:szCs w:val="28"/>
        </w:rPr>
        <w:t>补贴</w:t>
      </w:r>
      <w:r>
        <w:rPr>
          <w:rFonts w:hint="eastAsia"/>
          <w:sz w:val="28"/>
          <w:szCs w:val="28"/>
          <w:lang w:val="en-US" w:eastAsia="zh-CN"/>
        </w:rPr>
        <w:t>资金159万</w:t>
      </w:r>
      <w:r>
        <w:rPr>
          <w:rFonts w:hint="eastAsia"/>
          <w:sz w:val="28"/>
          <w:szCs w:val="28"/>
        </w:rPr>
        <w:t>元。</w:t>
      </w:r>
      <w:r>
        <w:rPr>
          <w:rFonts w:hint="eastAsia"/>
          <w:sz w:val="28"/>
          <w:szCs w:val="28"/>
          <w:lang w:val="en-US" w:eastAsia="zh-CN"/>
        </w:rPr>
        <w:t>为贯彻中央适度规模经营补贴精神，我市今年种植稻谷30至600亩的，按每亩13.2元补贴；600至700亩的，每户补贴8080元；700至1000亩的，每户补贴9100元；1000亩以上的，每户补贴10000元。规模种粮补贴向双季稻倾斜，面积为早稻+中稻+晚稻的总面积。</w:t>
      </w:r>
    </w:p>
    <w:p>
      <w:pPr>
        <w:rPr>
          <w:rFonts w:hint="default" w:eastAsiaTheme="minorEastAsia"/>
          <w:sz w:val="28"/>
          <w:szCs w:val="28"/>
          <w:lang w:val="en-US" w:eastAsia="zh-CN"/>
        </w:rPr>
      </w:pPr>
      <w:r>
        <w:rPr>
          <w:rFonts w:hint="eastAsia"/>
          <w:sz w:val="28"/>
          <w:szCs w:val="28"/>
        </w:rPr>
        <w:t>2、</w:t>
      </w:r>
      <w:r>
        <w:rPr>
          <w:rFonts w:hint="eastAsia"/>
          <w:sz w:val="28"/>
          <w:szCs w:val="28"/>
          <w:lang w:val="en-US" w:eastAsia="zh-CN"/>
        </w:rPr>
        <w:t>农民专业合作社及家庭农场规范化建设、仓储、烘干及贷款贴息补贴30万元。</w:t>
      </w:r>
    </w:p>
    <w:p>
      <w:pPr>
        <w:rPr>
          <w:rFonts w:hint="default" w:eastAsiaTheme="minorEastAsia"/>
          <w:sz w:val="28"/>
          <w:szCs w:val="28"/>
          <w:lang w:val="en-US" w:eastAsia="zh-CN"/>
        </w:rPr>
      </w:pPr>
      <w:r>
        <w:rPr>
          <w:rFonts w:hint="eastAsia"/>
          <w:sz w:val="28"/>
          <w:szCs w:val="28"/>
        </w:rPr>
        <w:t>3、</w:t>
      </w:r>
      <w:r>
        <w:rPr>
          <w:rFonts w:hint="eastAsia"/>
          <w:sz w:val="28"/>
          <w:szCs w:val="28"/>
          <w:lang w:val="en-US" w:eastAsia="zh-CN"/>
        </w:rPr>
        <w:t>农民合作社及家庭农场集中育秧设施、水肥一体化、新品种的引进推广、机耕道及水利设施补贴80万元。</w:t>
      </w:r>
    </w:p>
    <w:p>
      <w:pPr>
        <w:rPr>
          <w:rFonts w:hint="default"/>
          <w:sz w:val="28"/>
          <w:szCs w:val="28"/>
          <w:lang w:val="en-US" w:eastAsia="zh-CN"/>
        </w:rPr>
      </w:pPr>
      <w:r>
        <w:rPr>
          <w:rFonts w:hint="eastAsia"/>
          <w:sz w:val="28"/>
          <w:szCs w:val="28"/>
        </w:rPr>
        <w:t>4、</w:t>
      </w:r>
      <w:r>
        <w:rPr>
          <w:rFonts w:hint="eastAsia"/>
          <w:sz w:val="28"/>
          <w:szCs w:val="28"/>
          <w:lang w:val="en-US" w:eastAsia="zh-CN"/>
        </w:rPr>
        <w:t>现代农机合作社购置新型农机及开发应用补贴20万元。</w:t>
      </w:r>
    </w:p>
    <w:p>
      <w:pPr>
        <w:rPr>
          <w:sz w:val="28"/>
          <w:szCs w:val="28"/>
        </w:rPr>
      </w:pPr>
      <w:r>
        <w:rPr>
          <w:rFonts w:hint="eastAsia"/>
          <w:sz w:val="28"/>
          <w:szCs w:val="28"/>
        </w:rPr>
        <w:t>（四）项目组织情况分析。该项目资金总额较大，受惠农民广，群众关注密切，在项目实施前，一是由村委会对农户、规模经营主体基本情况进行统计、核实后报乡镇农业部门，或规模经营主体向我市农业、财政部门提出实施项目申请；二是乡镇农业部门对相关数据进行抽查、审核后交村委会公示，无异议后上报市财政和农业部门；三是我市财政、农业部门组织相关专家以查看材料、现场走访等形式，对补贴对象开展审查、验收；四是我市财政、农业部门核对相关数据后，通过惠农补贴“一卡通”或报账等行式将补贴资金发放到农民手中，确保补贴资金安全使用。</w:t>
      </w:r>
    </w:p>
    <w:p>
      <w:pPr>
        <w:rPr>
          <w:rFonts w:hint="eastAsia" w:eastAsiaTheme="minorEastAsia"/>
          <w:sz w:val="28"/>
          <w:szCs w:val="28"/>
          <w:lang w:eastAsia="zh-CN"/>
        </w:rPr>
      </w:pPr>
      <w:r>
        <w:rPr>
          <w:rFonts w:hint="eastAsia"/>
          <w:sz w:val="28"/>
          <w:szCs w:val="28"/>
        </w:rPr>
        <w:t>（五）项目管理情况分析。农业、财政等部门负责人召开工作会议，初拟农业生产适度规模经营补助资金分配方案，报分管市长批准后实施。根据实际情况，出台了《</w:t>
      </w:r>
      <w:r>
        <w:rPr>
          <w:rFonts w:hint="eastAsia"/>
          <w:sz w:val="28"/>
          <w:szCs w:val="28"/>
          <w:lang w:val="en-US" w:eastAsia="zh-CN"/>
        </w:rPr>
        <w:t>津市市2021年中央农业适度规模经营补贴资金实施方案</w:t>
      </w:r>
      <w:r>
        <w:rPr>
          <w:rFonts w:hint="eastAsia"/>
          <w:sz w:val="28"/>
          <w:szCs w:val="28"/>
        </w:rPr>
        <w:t>》</w:t>
      </w:r>
      <w:r>
        <w:rPr>
          <w:rFonts w:hint="eastAsia"/>
          <w:sz w:val="28"/>
          <w:szCs w:val="28"/>
          <w:lang w:eastAsia="zh-CN"/>
        </w:rPr>
        <w:t>。</w:t>
      </w:r>
    </w:p>
    <w:p>
      <w:pPr>
        <w:rPr>
          <w:sz w:val="28"/>
          <w:szCs w:val="28"/>
        </w:rPr>
      </w:pPr>
      <w:r>
        <w:rPr>
          <w:rFonts w:hint="eastAsia"/>
          <w:sz w:val="28"/>
          <w:szCs w:val="28"/>
        </w:rPr>
        <w:t>三、主要绩效及评价</w:t>
      </w:r>
    </w:p>
    <w:p>
      <w:pPr>
        <w:rPr>
          <w:sz w:val="28"/>
          <w:szCs w:val="28"/>
        </w:rPr>
      </w:pPr>
      <w:r>
        <w:rPr>
          <w:rFonts w:hint="eastAsia"/>
          <w:sz w:val="28"/>
          <w:szCs w:val="28"/>
        </w:rPr>
        <w:t>1、增加粮食生产总量。</w:t>
      </w:r>
    </w:p>
    <w:p>
      <w:pPr>
        <w:ind w:firstLine="560" w:firstLineChars="200"/>
        <w:rPr>
          <w:sz w:val="28"/>
          <w:szCs w:val="28"/>
        </w:rPr>
      </w:pPr>
      <w:r>
        <w:rPr>
          <w:rFonts w:hint="eastAsia"/>
          <w:sz w:val="28"/>
          <w:szCs w:val="28"/>
        </w:rPr>
        <w:t>多年来，我市农业生产主要依靠化肥、农药、地膜等增产，可挖掘潜力已尽，农业生产适度规模经营补助项目的实施，以绿色生态为导向，减少化肥农药用量、施用有机肥等措施，切实加强农业生态资源保护，不断提升耕地地力。同时针对传统一季稻种植区域，发放双季稻倾斜补助，增加粮食面积和产量，可有效保证耕地不撂荒，当年实现粮食总产比上年提高</w:t>
      </w:r>
      <w:r>
        <w:rPr>
          <w:sz w:val="28"/>
          <w:szCs w:val="28"/>
        </w:rPr>
        <w:t>0.</w:t>
      </w:r>
      <w:r>
        <w:rPr>
          <w:rFonts w:hint="eastAsia"/>
          <w:sz w:val="28"/>
          <w:szCs w:val="28"/>
          <w:lang w:val="en-US" w:eastAsia="zh-CN"/>
        </w:rPr>
        <w:t>78</w:t>
      </w:r>
      <w:r>
        <w:rPr>
          <w:rFonts w:hint="eastAsia"/>
          <w:sz w:val="28"/>
          <w:szCs w:val="28"/>
        </w:rPr>
        <w:t>万吨。</w:t>
      </w:r>
    </w:p>
    <w:p>
      <w:pPr>
        <w:rPr>
          <w:sz w:val="28"/>
          <w:szCs w:val="28"/>
        </w:rPr>
      </w:pPr>
      <w:r>
        <w:rPr>
          <w:rFonts w:hint="eastAsia"/>
          <w:sz w:val="28"/>
          <w:szCs w:val="28"/>
        </w:rPr>
        <w:t>2、做大做强新型农业规模经营主体。</w:t>
      </w:r>
    </w:p>
    <w:p>
      <w:pPr>
        <w:ind w:firstLine="560" w:firstLineChars="200"/>
        <w:rPr>
          <w:sz w:val="28"/>
          <w:szCs w:val="28"/>
        </w:rPr>
      </w:pPr>
      <w:r>
        <w:rPr>
          <w:rFonts w:hint="eastAsia"/>
          <w:sz w:val="28"/>
          <w:szCs w:val="28"/>
        </w:rPr>
        <w:t>新型农业规模经营主体都是从种粮“能手”中逐步培养起来的，由于起步较晚，农业生产效率较低，农民经济实力较弱，农业生产新技术新知识较缺乏，不进行重点支持和扶持是很难发展壮大的。农业生产适度规模经营补助项目实施后，一是对规模种植户的农田基础设施建设进行补助；二是提升现代农机社会化服务水平。</w:t>
      </w:r>
      <w:r>
        <w:rPr>
          <w:rFonts w:hint="eastAsia"/>
          <w:sz w:val="28"/>
          <w:szCs w:val="28"/>
          <w:lang w:eastAsia="zh-CN"/>
        </w:rPr>
        <w:t>2021</w:t>
      </w:r>
      <w:r>
        <w:rPr>
          <w:rFonts w:hint="eastAsia"/>
          <w:sz w:val="28"/>
          <w:szCs w:val="28"/>
        </w:rPr>
        <w:t>全市新增第二代抛秧机械20台，水稻高速插秧机14台，水稻机插机抛率</w:t>
      </w:r>
      <w:r>
        <w:rPr>
          <w:rFonts w:hint="eastAsia"/>
          <w:sz w:val="28"/>
          <w:szCs w:val="28"/>
          <w:lang w:eastAsia="zh-CN"/>
        </w:rPr>
        <w:t>实现了</w:t>
      </w:r>
      <w:r>
        <w:rPr>
          <w:rFonts w:hint="eastAsia"/>
          <w:sz w:val="28"/>
          <w:szCs w:val="28"/>
        </w:rPr>
        <w:t>10个百分点以上</w:t>
      </w:r>
      <w:r>
        <w:rPr>
          <w:rFonts w:hint="eastAsia"/>
          <w:sz w:val="28"/>
          <w:szCs w:val="28"/>
          <w:lang w:eastAsia="zh-CN"/>
        </w:rPr>
        <w:t>的增长</w:t>
      </w:r>
      <w:r>
        <w:rPr>
          <w:rFonts w:hint="eastAsia"/>
          <w:sz w:val="28"/>
          <w:szCs w:val="28"/>
        </w:rPr>
        <w:t>，</w:t>
      </w:r>
      <w:r>
        <w:rPr>
          <w:rFonts w:hint="eastAsia"/>
          <w:sz w:val="28"/>
          <w:szCs w:val="28"/>
        </w:rPr>
        <w:t>现代农机社会化服务水平的提高是新型主体带动的结果。</w:t>
      </w:r>
    </w:p>
    <w:p>
      <w:pPr>
        <w:ind w:firstLine="560" w:firstLineChars="200"/>
        <w:rPr>
          <w:rFonts w:hint="eastAsia"/>
          <w:sz w:val="28"/>
          <w:szCs w:val="28"/>
        </w:rPr>
      </w:pPr>
      <w:r>
        <w:rPr>
          <w:sz w:val="28"/>
          <w:szCs w:val="28"/>
        </w:rPr>
        <w:t>3</w:t>
      </w:r>
      <w:r>
        <w:rPr>
          <w:rFonts w:hint="eastAsia"/>
          <w:sz w:val="28"/>
          <w:szCs w:val="28"/>
        </w:rPr>
        <w:t>、提升粮食生产品质，提高种粮效益。依托种粮大户、专业合作社、家庭农场等新型经营主体，我市在四个镇及28个村开展“双季稻+”（早专晚优）暨优质稻米产业化试点，推广早稻米粉稻专用品种中早39、湘早籼32号。晚稻推广米质达国标二级以上的优质稻品种济优1127、盛泰优018及桃优香占等品种，实行化肥农药“零增长行动”，实施区农药减量4.8%，化肥减量4.6%。推广绿色防控技术，成功培育了一批绿色及有机稻米品牌，如药山有机大米，松林绿色大米等品牌。今年全市完成 “双季稻轮作”暨优质稻米产业化试点面积1.6万亩，晚稻新增高档优质稻面积1.2万亩。全市辐射建立达到“品质高档化、种植区域化、环境优良化、栽培无害化、产销订单化” 的优质稻标准化生产基地8.5万亩，比去年增加1万亩。推广一批节本降耗绿色高质高效技术，项目区推广使用水稻海藻专用肥300吨，硅锌中微量元素肥料10吨，水稻机抛秧面积达到1.6万亩。培育了一批家庭农场主、农民专业合作社、农业企业等新型经营主体，项目区农民种粮收入增加10%以上。</w:t>
      </w:r>
    </w:p>
    <w:p>
      <w:pPr>
        <w:ind w:firstLine="560" w:firstLineChars="200"/>
        <w:rPr>
          <w:sz w:val="28"/>
          <w:szCs w:val="28"/>
        </w:rPr>
      </w:pPr>
      <w:r>
        <w:rPr>
          <w:rFonts w:hint="eastAsia"/>
          <w:sz w:val="28"/>
          <w:szCs w:val="28"/>
        </w:rPr>
        <w:t>4、改良稻田土壤，提高土壤有机质，改善稻田生态环境。</w:t>
      </w:r>
      <w:r>
        <w:rPr>
          <w:rFonts w:hint="eastAsia"/>
          <w:sz w:val="28"/>
          <w:szCs w:val="28"/>
          <w:lang w:eastAsia="zh-CN"/>
        </w:rPr>
        <w:t>2021</w:t>
      </w:r>
      <w:r>
        <w:rPr>
          <w:rFonts w:hint="eastAsia"/>
          <w:sz w:val="28"/>
          <w:szCs w:val="28"/>
        </w:rPr>
        <w:t>年恢复发展绿肥种植5万亩以上。</w:t>
      </w:r>
    </w:p>
    <w:p>
      <w:pPr>
        <w:rPr>
          <w:sz w:val="28"/>
          <w:szCs w:val="28"/>
        </w:rPr>
      </w:pPr>
      <w:r>
        <w:rPr>
          <w:rFonts w:hint="eastAsia"/>
          <w:sz w:val="28"/>
          <w:szCs w:val="28"/>
        </w:rPr>
        <w:t>四、存在的问题</w:t>
      </w:r>
    </w:p>
    <w:p>
      <w:pPr>
        <w:ind w:firstLine="560" w:firstLineChars="200"/>
        <w:rPr>
          <w:sz w:val="28"/>
          <w:szCs w:val="28"/>
        </w:rPr>
      </w:pPr>
      <w:r>
        <w:rPr>
          <w:rFonts w:hint="eastAsia"/>
          <w:sz w:val="28"/>
          <w:szCs w:val="28"/>
        </w:rPr>
        <w:t>据调查，肥料、种子、农药等农业投入品价格不断攀升，劳力成本偏高，种植双季稻的成本比一季稻高</w:t>
      </w:r>
      <w:r>
        <w:rPr>
          <w:sz w:val="28"/>
          <w:szCs w:val="28"/>
        </w:rPr>
        <w:t>800</w:t>
      </w:r>
      <w:r>
        <w:rPr>
          <w:rFonts w:hint="eastAsia"/>
          <w:sz w:val="28"/>
          <w:szCs w:val="28"/>
        </w:rPr>
        <w:t>元/亩左右，产出效益与一季稻产出效益基本相当；尽管我们利用中央农业适度规模经营资金对双季晚稻进行了倾斜补助，但亏本的农户仍然不少，从而导致农民种粮积极性下降。</w:t>
      </w:r>
    </w:p>
    <w:p>
      <w:pPr>
        <w:rPr>
          <w:sz w:val="28"/>
          <w:szCs w:val="28"/>
        </w:rPr>
      </w:pPr>
      <w:r>
        <w:rPr>
          <w:rFonts w:hint="eastAsia"/>
          <w:sz w:val="28"/>
          <w:szCs w:val="28"/>
        </w:rPr>
        <w:t>五、有关建议</w:t>
      </w:r>
    </w:p>
    <w:p>
      <w:pPr>
        <w:ind w:firstLine="560" w:firstLineChars="200"/>
        <w:rPr>
          <w:sz w:val="28"/>
          <w:szCs w:val="28"/>
        </w:rPr>
      </w:pPr>
      <w:r>
        <w:rPr>
          <w:rFonts w:hint="eastAsia"/>
          <w:sz w:val="28"/>
          <w:szCs w:val="28"/>
        </w:rPr>
        <w:t>建议加大补贴支持力度。根据生产成本上浮幅度，适度增加补贴标准，促进规模经</w:t>
      </w:r>
      <w:bookmarkStart w:id="1" w:name="_GoBack"/>
      <w:bookmarkEnd w:id="1"/>
      <w:r>
        <w:rPr>
          <w:rFonts w:hint="eastAsia"/>
          <w:sz w:val="28"/>
          <w:szCs w:val="28"/>
        </w:rPr>
        <w:t>营主体积极性。</w:t>
      </w:r>
    </w:p>
    <w:p>
      <w:pPr>
        <w:ind w:firstLine="5180" w:firstLineChars="1850"/>
        <w:rPr>
          <w:sz w:val="28"/>
          <w:szCs w:val="28"/>
        </w:rPr>
      </w:pPr>
      <w:r>
        <w:rPr>
          <w:rFonts w:hint="eastAsia"/>
          <w:sz w:val="28"/>
          <w:szCs w:val="28"/>
        </w:rPr>
        <w:t>津市市农业农村局</w:t>
      </w:r>
    </w:p>
    <w:p>
      <w:pPr>
        <w:ind w:firstLine="5320" w:firstLineChars="1900"/>
        <w:rPr>
          <w:sz w:val="28"/>
          <w:szCs w:val="28"/>
        </w:rPr>
      </w:pPr>
      <w:r>
        <w:rPr>
          <w:sz w:val="28"/>
          <w:szCs w:val="28"/>
        </w:rPr>
        <w:t>2021年3月5日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ADB"/>
    <w:rsid w:val="0000711D"/>
    <w:rsid w:val="00013D94"/>
    <w:rsid w:val="00080D66"/>
    <w:rsid w:val="0022741F"/>
    <w:rsid w:val="002E3974"/>
    <w:rsid w:val="00340798"/>
    <w:rsid w:val="00501BD0"/>
    <w:rsid w:val="00512E65"/>
    <w:rsid w:val="00516921"/>
    <w:rsid w:val="0059590B"/>
    <w:rsid w:val="005D3DAF"/>
    <w:rsid w:val="00602642"/>
    <w:rsid w:val="006C04B3"/>
    <w:rsid w:val="007517EF"/>
    <w:rsid w:val="007F3451"/>
    <w:rsid w:val="009C18F9"/>
    <w:rsid w:val="00B762D7"/>
    <w:rsid w:val="00C201F1"/>
    <w:rsid w:val="00C748C6"/>
    <w:rsid w:val="00D04B28"/>
    <w:rsid w:val="00D31ADB"/>
    <w:rsid w:val="00DF5E8D"/>
    <w:rsid w:val="00E94488"/>
    <w:rsid w:val="0D571179"/>
    <w:rsid w:val="0EB15EE7"/>
    <w:rsid w:val="2AB56C65"/>
    <w:rsid w:val="2F504B5E"/>
    <w:rsid w:val="39147560"/>
    <w:rsid w:val="67BD1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421</Words>
  <Characters>2403</Characters>
  <Lines>20</Lines>
  <Paragraphs>5</Paragraphs>
  <TotalTime>1</TotalTime>
  <ScaleCrop>false</ScaleCrop>
  <LinksUpToDate>false</LinksUpToDate>
  <CharactersWithSpaces>2819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2021-03-04T03:06:00Z</dcterms:created>
  <dc:creator>Administrator</dc:creator>
  <cp:lastModifiedBy>后来的自己</cp:lastModifiedBy>
  <dcterms:modified xsi:type="dcterms:W3CDTF">2022-03-04T09:24:42Z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C20498404F624ABBAF477DE8FA2BDE11</vt:lpwstr>
  </property>
</Properties>
</file>