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958"/>
        <w:gridCol w:w="1479"/>
        <w:gridCol w:w="1785"/>
        <w:gridCol w:w="861"/>
        <w:gridCol w:w="846"/>
        <w:gridCol w:w="828"/>
        <w:gridCol w:w="1187"/>
        <w:gridCol w:w="11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904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2020年中央水利救灾资金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津市市水利局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津市市水利建设管理吣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5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完成堤防工程复1处，泵站沟渠修复3处。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3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完成药山镇沟渠清淤及机埠维修、白衣镇抗旱沟渠疏通、毛里湖镇荣台8组机埠，西湖垸施家拐堤段堤坡修复。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堤防修复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机埠沟渠修复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82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工程质量合格率（%）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年度建设任务量完成率（%）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eastAsia="仿宋_GB2312"/>
                <w:color w:val="000000"/>
                <w:kern w:val="0"/>
                <w:sz w:val="13"/>
                <w:szCs w:val="13"/>
              </w:rPr>
              <w:t>超规模、超标准、超概算项目比例（%）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保护耕地面积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万亩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0.15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5.07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保护人口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(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万人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)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0.3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0.3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  <w:t>改善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耕地面积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万亩</w:t>
            </w: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0.15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0.15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8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项目完成后良性运行率（%）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47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受益群众满意度（%）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FE4450"/>
    <w:rsid w:val="305B5409"/>
    <w:rsid w:val="31A36030"/>
    <w:rsid w:val="3C343492"/>
    <w:rsid w:val="3C5A0DBF"/>
    <w:rsid w:val="487D713D"/>
    <w:rsid w:val="74C31EFB"/>
    <w:rsid w:val="76112631"/>
    <w:rsid w:val="7CE21EFC"/>
    <w:rsid w:val="7E49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2603</Words>
  <Characters>2751</Characters>
  <Lines>0</Lines>
  <Paragraphs>0</Paragraphs>
  <TotalTime>2</TotalTime>
  <ScaleCrop>false</ScaleCrop>
  <LinksUpToDate>false</LinksUpToDate>
  <CharactersWithSpaces>2833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Lenovo</cp:lastModifiedBy>
  <dcterms:modified xsi:type="dcterms:W3CDTF">2022-04-02T01:14:50Z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BC9C6E11EC0E4D22ACC017DFFCEA295D</vt:lpwstr>
  </property>
</Properties>
</file>