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lang w:val="en-US" w:eastAsia="zh-CN"/>
        </w:rPr>
        <w:t>津市市水利局2021年度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5"/>
        <w:widowControl/>
        <w:numPr>
          <w:ilvl w:val="0"/>
          <w:numId w:val="1"/>
        </w:numPr>
        <w:spacing w:line="600" w:lineRule="exact"/>
        <w:ind w:left="640" w:firstLine="0" w:firstLineChars="0"/>
        <w:rPr>
          <w:rFonts w:ascii="Times New Roman" w:hAnsi="Times New Roman" w:eastAsia="黑体"/>
          <w:sz w:val="32"/>
          <w:szCs w:val="32"/>
        </w:rPr>
      </w:pPr>
      <w:r>
        <w:rPr>
          <w:rFonts w:ascii="Times New Roman" w:hAnsi="Times New Roman" w:eastAsia="黑体"/>
          <w:sz w:val="32"/>
          <w:szCs w:val="32"/>
        </w:rPr>
        <w:t>单位基本情况</w:t>
      </w:r>
    </w:p>
    <w:p>
      <w:pPr>
        <w:snapToGrid w:val="0"/>
        <w:spacing w:line="520" w:lineRule="exact"/>
        <w:ind w:firstLine="640" w:firstLineChars="200"/>
        <w:rPr>
          <w:rFonts w:hint="eastAsia" w:ascii="黑体" w:hAnsi="方正大标宋简体" w:eastAsia="黑体"/>
          <w:sz w:val="32"/>
          <w:szCs w:val="32"/>
        </w:rPr>
      </w:pPr>
      <w:r>
        <w:rPr>
          <w:rFonts w:hint="eastAsia" w:ascii="仿宋_GB2312" w:eastAsia="仿宋_GB2312"/>
          <w:sz w:val="32"/>
          <w:szCs w:val="32"/>
        </w:rPr>
        <w:t>（一）</w:t>
      </w:r>
      <w:r>
        <w:rPr>
          <w:rFonts w:hint="eastAsia" w:ascii="黑体" w:hAnsi="方正大标宋简体" w:eastAsia="黑体"/>
          <w:sz w:val="32"/>
          <w:szCs w:val="32"/>
        </w:rPr>
        <w:t>部门职能职责</w:t>
      </w:r>
    </w:p>
    <w:p>
      <w:pPr>
        <w:snapToGrid w:val="0"/>
        <w:spacing w:line="520" w:lineRule="exact"/>
        <w:ind w:firstLine="640" w:firstLineChars="200"/>
        <w:rPr>
          <w:rFonts w:hint="eastAsia" w:ascii="仿宋_GB2312" w:hAnsi="仿宋" w:eastAsia="仿宋_GB2312"/>
          <w:sz w:val="32"/>
          <w:szCs w:val="32"/>
        </w:rPr>
      </w:pPr>
      <w:r>
        <w:rPr>
          <w:rFonts w:hint="eastAsia" w:ascii="仿宋_GB2312" w:eastAsia="仿宋_GB2312"/>
          <w:sz w:val="32"/>
          <w:szCs w:val="32"/>
        </w:rPr>
        <w:t>负责保障水资源的合理开发利用，负责生活、生产经营和生态环境用水的统筹和保障。组织实施最严格水资源管理制度，实施水资源的统一监督管理。负责重要流域、区域以及大型调水工程的水资源调度。组织实施权限内取水许可、市级立项建设项目水资源论证和防洪论证制度，指导开展水资源有偿使用工作。指导全市水利行业供水和镇（街）供水工作。按规定制定水利工程建设和运行管理有关制度并组织实施，提出水利资金安排建议并负责项目实施的监督管理。指导水资源保护工作。组织编制实施水资源保护规划。指导饮用水水源保护有关工作。指导地下水开发利用、城市规划区地下水资源管理保护。负责节约用水工作。拟订节约用水管理办法，组织编制节约用水规划并监督实施。组织指导水利设施、水域及其岸线的管理、保护与综合利用。组织指导河湖水生态保护与修复、河湖生态流量水量管理以及河湖水系连通工作。指导市级权限内洞庭湖区域的水利管理工作。承担河（湖）长制组织实施具体工作。指导监督水利工程建设与运行管理。负责水土保持工作。拟订水土保持规划并监督实施，组织实施水土流失的综合防治。指导农村水利工作。组织开展大中型灌排工程建设与改造。指导农村饮水安全工程建设管理工作与节水灌溉有关工作。指导农村水利改革创新和社会化服务体系建设。指导农村水能资源开发、小水电改造和水电农村电气化工作；负责水库移民管理工作；负责重大涉水违法事件的查处，受市政府委托，协调、仲裁部门间和跨镇（街）的水事纠纷，指导水政监察和水行政执法。依法负责水利行业安全生产工作，组织指导水库大坝等水利工程设施的安全监管。开展水利科技工作。负责落实综合防灾减灾规划相关要求，组织编制洪水干旱灾害防治规划和工作规范并指导实施。按规定承担水情旱情监测预警工作。组织编制重要江河湖泊和重要水工程的防御洪水抗御旱灾调度及应急水量调度方案，按程序报批并组织实施。承担防御洪水应急抢险的技术支撑工作，完成市委、市政府交办的其他事项。职能转变。市水利局应切实加强水资源合理利用、优化配置和节约保护。坚持节水优先，从增加供给转向更加重视需求管理，严格控制用水总量和提高用水效率。坚持保护优先，加强水资源、水域和水利工程的管理保护，维护河湖健康美丽。坚持统筹兼顾，保障合理用水需求和水资源的可持续利用，为经济社会发展提供水安全保障。</w:t>
      </w:r>
    </w:p>
    <w:p>
      <w:pPr>
        <w:spacing w:line="600" w:lineRule="exact"/>
        <w:ind w:firstLine="480" w:firstLineChars="150"/>
        <w:rPr>
          <w:rFonts w:hint="eastAsia" w:ascii="黑体" w:hAnsi="方正大标宋简体" w:eastAsia="黑体"/>
          <w:sz w:val="32"/>
          <w:szCs w:val="32"/>
        </w:rPr>
      </w:pPr>
      <w:r>
        <w:rPr>
          <w:rFonts w:hint="eastAsia" w:ascii="黑体" w:hAnsi="方正大标宋简体" w:eastAsia="黑体"/>
          <w:sz w:val="32"/>
          <w:szCs w:val="32"/>
        </w:rPr>
        <w:t>（二）、机构设置情况</w:t>
      </w:r>
    </w:p>
    <w:p>
      <w:pPr>
        <w:spacing w:line="580" w:lineRule="exact"/>
        <w:ind w:firstLine="640" w:firstLineChars="200"/>
        <w:rPr>
          <w:rFonts w:hint="eastAsia" w:ascii="仿宋_GB2312" w:hAnsi="Arial" w:eastAsia="仿宋_GB2312" w:cs="仿宋_GB2312"/>
          <w:sz w:val="32"/>
          <w:szCs w:val="32"/>
          <w:shd w:val="clear" w:color="auto" w:fill="F6F6F6"/>
        </w:rPr>
      </w:pPr>
      <w:r>
        <w:rPr>
          <w:rFonts w:ascii="仿宋_GB2312" w:hAnsi="Arial" w:eastAsia="仿宋_GB2312" w:cs="仿宋_GB2312"/>
          <w:sz w:val="32"/>
          <w:szCs w:val="32"/>
          <w:shd w:val="clear" w:color="auto" w:fill="F6F6F6"/>
        </w:rPr>
        <w:t>根据编委核定，</w:t>
      </w:r>
      <w:r>
        <w:rPr>
          <w:rFonts w:ascii="仿宋_GB2312" w:hAnsi="Arial" w:eastAsia="仿宋_GB2312" w:cs="仿宋_GB2312"/>
          <w:color w:val="000000"/>
          <w:sz w:val="32"/>
          <w:szCs w:val="32"/>
          <w:shd w:val="clear" w:color="auto" w:fill="F6F6F6"/>
        </w:rPr>
        <w:t>我</w:t>
      </w:r>
      <w:r>
        <w:rPr>
          <w:rFonts w:hint="eastAsia" w:ascii="仿宋_GB2312" w:hAnsi="Arial" w:eastAsia="仿宋_GB2312" w:cs="仿宋_GB2312"/>
          <w:color w:val="000000"/>
          <w:sz w:val="32"/>
          <w:szCs w:val="32"/>
          <w:shd w:val="clear" w:color="auto" w:fill="F6F6F6"/>
        </w:rPr>
        <w:t>单位</w:t>
      </w:r>
      <w:r>
        <w:rPr>
          <w:rFonts w:ascii="仿宋_GB2312" w:hAnsi="Arial" w:eastAsia="仿宋_GB2312" w:cs="仿宋_GB2312"/>
          <w:color w:val="000000"/>
          <w:sz w:val="32"/>
          <w:szCs w:val="32"/>
          <w:shd w:val="clear" w:color="auto" w:fill="F6F6F6"/>
        </w:rPr>
        <w:t>内设</w:t>
      </w:r>
      <w:r>
        <w:rPr>
          <w:rFonts w:hint="eastAsia" w:ascii="仿宋_GB2312" w:hAnsi="Arial" w:eastAsia="仿宋_GB2312" w:cs="仿宋_GB2312"/>
          <w:color w:val="000000"/>
          <w:sz w:val="32"/>
          <w:szCs w:val="32"/>
          <w:shd w:val="clear" w:color="auto" w:fill="F6F6F6"/>
        </w:rPr>
        <w:t>股</w:t>
      </w:r>
      <w:r>
        <w:rPr>
          <w:rFonts w:ascii="仿宋_GB2312" w:hAnsi="Arial" w:eastAsia="仿宋_GB2312" w:cs="仿宋_GB2312"/>
          <w:color w:val="000000"/>
          <w:sz w:val="32"/>
          <w:szCs w:val="32"/>
          <w:shd w:val="clear" w:color="auto" w:fill="F6F6F6"/>
        </w:rPr>
        <w:t>室</w:t>
      </w:r>
      <w:r>
        <w:rPr>
          <w:rFonts w:hint="eastAsia" w:ascii="仿宋_GB2312" w:hAnsi="Arial" w:eastAsia="仿宋_GB2312" w:cs="仿宋_GB2312"/>
          <w:color w:val="000000"/>
          <w:sz w:val="32"/>
          <w:szCs w:val="32"/>
          <w:shd w:val="clear" w:color="auto" w:fill="F6F6F6"/>
        </w:rPr>
        <w:t>4</w:t>
      </w:r>
      <w:r>
        <w:rPr>
          <w:rFonts w:ascii="仿宋_GB2312" w:hAnsi="Arial" w:eastAsia="仿宋_GB2312" w:cs="仿宋_GB2312"/>
          <w:color w:val="000000"/>
          <w:sz w:val="32"/>
          <w:szCs w:val="32"/>
          <w:shd w:val="clear" w:color="auto" w:fill="F6F6F6"/>
        </w:rPr>
        <w:t>个，</w:t>
      </w:r>
      <w:r>
        <w:rPr>
          <w:rFonts w:ascii="仿宋_GB2312" w:hAnsi="Arial" w:eastAsia="仿宋_GB2312" w:cs="仿宋_GB2312"/>
          <w:sz w:val="32"/>
          <w:szCs w:val="32"/>
          <w:shd w:val="clear" w:color="auto" w:fill="F6F6F6"/>
        </w:rPr>
        <w:t>分别是</w:t>
      </w:r>
      <w:r>
        <w:rPr>
          <w:rFonts w:hint="eastAsia" w:ascii="仿宋_GB2312" w:eastAsia="仿宋_GB2312"/>
          <w:sz w:val="32"/>
          <w:szCs w:val="32"/>
        </w:rPr>
        <w:t>办公室、政工人事股、水资源和水土保持股（市节约用水办公室）、政策法规股（行政审批服务办公室）。</w:t>
      </w:r>
      <w:r>
        <w:rPr>
          <w:rFonts w:ascii="仿宋_GB2312" w:hAnsi="Arial" w:eastAsia="仿宋_GB2312" w:cs="仿宋_GB2312"/>
          <w:color w:val="000000"/>
          <w:sz w:val="32"/>
          <w:szCs w:val="32"/>
          <w:shd w:val="clear" w:color="auto" w:fill="F6F6F6"/>
        </w:rPr>
        <w:t>所属事业单位</w:t>
      </w:r>
      <w:r>
        <w:rPr>
          <w:rFonts w:hint="eastAsia" w:ascii="仿宋_GB2312" w:hAnsi="Arial" w:eastAsia="仿宋_GB2312" w:cs="仿宋_GB2312"/>
          <w:color w:val="000000"/>
          <w:sz w:val="32"/>
          <w:szCs w:val="32"/>
          <w:shd w:val="clear" w:color="auto" w:fill="F6F6F6"/>
        </w:rPr>
        <w:t>14</w:t>
      </w:r>
      <w:r>
        <w:rPr>
          <w:rFonts w:ascii="仿宋_GB2312" w:hAnsi="Arial" w:eastAsia="仿宋_GB2312" w:cs="仿宋_GB2312"/>
          <w:color w:val="000000"/>
          <w:sz w:val="32"/>
          <w:szCs w:val="32"/>
          <w:shd w:val="clear" w:color="auto" w:fill="F6F6F6"/>
        </w:rPr>
        <w:t>个，</w:t>
      </w:r>
    </w:p>
    <w:p>
      <w:pPr>
        <w:spacing w:line="580" w:lineRule="exact"/>
        <w:rPr>
          <w:rFonts w:hint="eastAsia" w:ascii="仿宋_GB2312" w:eastAsia="仿宋_GB2312"/>
          <w:sz w:val="32"/>
          <w:szCs w:val="32"/>
        </w:rPr>
      </w:pPr>
      <w:r>
        <w:rPr>
          <w:rFonts w:ascii="仿宋_GB2312" w:hAnsi="Arial" w:eastAsia="仿宋_GB2312" w:cs="仿宋_GB2312"/>
          <w:sz w:val="32"/>
          <w:szCs w:val="32"/>
          <w:shd w:val="clear" w:color="auto" w:fill="F6F6F6"/>
        </w:rPr>
        <w:t>分别是</w:t>
      </w:r>
      <w:r>
        <w:rPr>
          <w:rFonts w:hint="eastAsia" w:ascii="仿宋_GB2312" w:eastAsia="仿宋_GB2312"/>
          <w:sz w:val="32"/>
          <w:szCs w:val="32"/>
        </w:rPr>
        <w:t>市水政监察大队、市库区移民事务中心、市水旱灾害防御事务中心、市水利建设管理中心、市河长制办公室、市山丘区水利工作管理站、市湖区水利工程管理站，市村镇供水工程管理站、市水利排灌管理站、市水利综合事业站、市城市水利管理站、市新洲下垸修防会、市西湖垸修防会、市毛里湖灌区水利站</w:t>
      </w:r>
      <w:r>
        <w:rPr>
          <w:rFonts w:hint="eastAsia" w:eastAsia="仿宋_GB2312"/>
          <w:sz w:val="32"/>
          <w:szCs w:val="32"/>
        </w:rPr>
        <w:t> </w:t>
      </w:r>
      <w:r>
        <w:rPr>
          <w:rFonts w:hint="eastAsia" w:ascii="仿宋_GB2312" w:eastAsia="仿宋_GB2312"/>
          <w:sz w:val="32"/>
          <w:szCs w:val="32"/>
        </w:rPr>
        <w:t>。</w:t>
      </w:r>
    </w:p>
    <w:p>
      <w:pPr>
        <w:pStyle w:val="5"/>
        <w:widowControl/>
        <w:numPr>
          <w:ilvl w:val="0"/>
          <w:numId w:val="1"/>
        </w:numPr>
        <w:spacing w:line="600" w:lineRule="exact"/>
        <w:ind w:left="640" w:leftChars="0" w:firstLine="0" w:firstLineChars="0"/>
        <w:rPr>
          <w:rFonts w:ascii="Times New Roman" w:hAnsi="Times New Roman" w:eastAsia="黑体"/>
          <w:sz w:val="32"/>
          <w:szCs w:val="32"/>
        </w:rPr>
      </w:pPr>
      <w:r>
        <w:rPr>
          <w:rFonts w:ascii="Times New Roman" w:hAnsi="Times New Roman" w:eastAsia="黑体"/>
          <w:sz w:val="32"/>
          <w:szCs w:val="32"/>
        </w:rPr>
        <w:t>一般公共预算支出情况</w:t>
      </w:r>
    </w:p>
    <w:p>
      <w:pPr>
        <w:pStyle w:val="5"/>
        <w:widowControl/>
        <w:numPr>
          <w:ilvl w:val="0"/>
          <w:numId w:val="0"/>
        </w:numPr>
        <w:spacing w:line="600" w:lineRule="exact"/>
        <w:ind w:firstLine="960" w:firstLineChars="300"/>
        <w:jc w:val="left"/>
        <w:rPr>
          <w:rFonts w:hint="default" w:ascii="仿宋_GB2312" w:hAnsi="Times New Roman" w:eastAsia="仿宋_GB2312" w:cs="Times New Roman"/>
          <w:kern w:val="2"/>
          <w:sz w:val="32"/>
          <w:szCs w:val="32"/>
          <w:lang w:val="en-US" w:eastAsia="zh-CN" w:bidi="ar-SA"/>
        </w:rPr>
      </w:pPr>
      <w:r>
        <w:rPr>
          <w:rFonts w:hint="eastAsia" w:ascii="仿宋_GB2312" w:hAnsi="Times New Roman" w:eastAsia="仿宋_GB2312" w:cs="Times New Roman"/>
          <w:kern w:val="2"/>
          <w:sz w:val="32"/>
          <w:szCs w:val="32"/>
          <w:lang w:val="en-US" w:eastAsia="zh-CN" w:bidi="ar-SA"/>
        </w:rPr>
        <w:t>2021年一般公共预算支出9418.2万元，其中基本支出1080.28万元，项目支出8337.92万元。</w:t>
      </w:r>
    </w:p>
    <w:p>
      <w:pPr>
        <w:pStyle w:val="5"/>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（一）</w:t>
      </w:r>
      <w:r>
        <w:rPr>
          <w:rFonts w:ascii="Times New Roman" w:hAnsi="Times New Roman" w:eastAsia="黑体"/>
          <w:sz w:val="32"/>
          <w:szCs w:val="32"/>
        </w:rPr>
        <w:t>基本支出情况</w:t>
      </w:r>
    </w:p>
    <w:p>
      <w:pPr>
        <w:spacing w:line="520" w:lineRule="exact"/>
        <w:ind w:firstLine="640" w:firstLineChars="200"/>
        <w:rPr>
          <w:rFonts w:hint="eastAsia" w:ascii="仿宋" w:hAnsi="仿宋" w:eastAsia="仿宋_GB2312" w:cs="Times New Roman"/>
          <w:sz w:val="32"/>
          <w:szCs w:val="32"/>
          <w:lang w:eastAsia="zh-CN"/>
        </w:rPr>
      </w:pPr>
      <w:r>
        <w:rPr>
          <w:rFonts w:hint="eastAsia" w:ascii="仿宋" w:hAnsi="仿宋" w:eastAsia="仿宋" w:cs="Times New Roman"/>
          <w:sz w:val="32"/>
          <w:szCs w:val="32"/>
          <w:lang w:val="en-US" w:eastAsia="zh-CN"/>
        </w:rPr>
        <w:t>2021年基本支出1080.28万元，其中</w:t>
      </w:r>
      <w:r>
        <w:rPr>
          <w:rFonts w:hint="eastAsia" w:ascii="仿宋" w:hAnsi="仿宋" w:eastAsia="仿宋" w:cs="Times New Roman"/>
          <w:sz w:val="32"/>
          <w:szCs w:val="32"/>
        </w:rPr>
        <w:t>工资福利支出</w:t>
      </w:r>
      <w:r>
        <w:rPr>
          <w:rFonts w:hint="eastAsia" w:ascii="仿宋" w:hAnsi="仿宋" w:eastAsia="仿宋" w:cs="Times New Roman"/>
          <w:sz w:val="32"/>
          <w:szCs w:val="32"/>
          <w:lang w:val="en-US" w:eastAsia="zh-CN"/>
        </w:rPr>
        <w:t>942.91</w:t>
      </w:r>
      <w:r>
        <w:rPr>
          <w:rFonts w:hint="eastAsia" w:ascii="仿宋" w:hAnsi="仿宋" w:eastAsia="仿宋" w:cs="Times New Roman"/>
          <w:sz w:val="32"/>
          <w:szCs w:val="32"/>
        </w:rPr>
        <w:t>万元，</w:t>
      </w:r>
      <w:r>
        <w:rPr>
          <w:rFonts w:hint="eastAsia" w:ascii="仿宋_GB2312" w:hAnsi="宋体" w:eastAsia="仿宋_GB2312"/>
          <w:sz w:val="32"/>
          <w:szCs w:val="32"/>
        </w:rPr>
        <w:t>占基本支出的</w:t>
      </w:r>
      <w:r>
        <w:rPr>
          <w:rFonts w:hint="eastAsia" w:ascii="仿宋_GB2312" w:hAnsi="仿宋" w:eastAsia="仿宋_GB2312" w:cs="仿宋"/>
          <w:sz w:val="32"/>
          <w:szCs w:val="32"/>
          <w:lang w:val="en-US" w:eastAsia="zh-CN"/>
        </w:rPr>
        <w:t>87.28</w:t>
      </w:r>
      <w:r>
        <w:rPr>
          <w:rFonts w:hint="eastAsia" w:ascii="仿宋_GB2312" w:hAnsi="宋体" w:eastAsia="仿宋_GB2312"/>
          <w:sz w:val="32"/>
          <w:szCs w:val="32"/>
        </w:rPr>
        <w:t>%,主要包括基本工资、津贴补贴、奖金、伙食补助费、绩效工资、机关事业单位基本养老保险缴费、职工基本医疗保险缴费、其</w:t>
      </w:r>
      <w:bookmarkStart w:id="0" w:name="_GoBack"/>
      <w:bookmarkEnd w:id="0"/>
      <w:r>
        <w:rPr>
          <w:rFonts w:hint="eastAsia" w:ascii="仿宋_GB2312" w:hAnsi="宋体" w:eastAsia="仿宋_GB2312"/>
          <w:sz w:val="32"/>
          <w:szCs w:val="32"/>
        </w:rPr>
        <w:t>他工资福利支出；</w:t>
      </w:r>
      <w:r>
        <w:rPr>
          <w:rFonts w:hint="eastAsia" w:ascii="仿宋" w:hAnsi="仿宋" w:eastAsia="仿宋" w:cs="Times New Roman"/>
          <w:sz w:val="32"/>
          <w:szCs w:val="32"/>
        </w:rPr>
        <w:t>商品和服务支出</w:t>
      </w:r>
      <w:r>
        <w:rPr>
          <w:rFonts w:hint="eastAsia" w:ascii="仿宋" w:hAnsi="仿宋" w:eastAsia="仿宋"/>
          <w:sz w:val="32"/>
          <w:szCs w:val="32"/>
          <w:lang w:val="en-US" w:eastAsia="zh-CN"/>
        </w:rPr>
        <w:t>105.73</w:t>
      </w:r>
      <w:r>
        <w:rPr>
          <w:rFonts w:hint="eastAsia" w:ascii="仿宋" w:hAnsi="仿宋" w:eastAsia="仿宋" w:cs="Times New Roman"/>
          <w:sz w:val="32"/>
          <w:szCs w:val="32"/>
        </w:rPr>
        <w:t>万元，</w:t>
      </w:r>
      <w:r>
        <w:rPr>
          <w:rFonts w:hint="eastAsia" w:ascii="仿宋_GB2312" w:hAnsi="宋体" w:eastAsia="仿宋_GB2312"/>
          <w:sz w:val="32"/>
          <w:szCs w:val="32"/>
        </w:rPr>
        <w:t>占基本支出的</w:t>
      </w:r>
      <w:r>
        <w:rPr>
          <w:rFonts w:hint="eastAsia" w:ascii="仿宋_GB2312" w:hAnsi="宋体" w:eastAsia="仿宋_GB2312"/>
          <w:sz w:val="32"/>
          <w:szCs w:val="32"/>
          <w:lang w:val="en-US" w:eastAsia="zh-CN"/>
        </w:rPr>
        <w:t>9.79</w:t>
      </w:r>
      <w:r>
        <w:rPr>
          <w:rFonts w:hint="eastAsia" w:ascii="仿宋_GB2312" w:hAnsi="宋体" w:eastAsia="仿宋_GB2312"/>
          <w:sz w:val="32"/>
          <w:szCs w:val="32"/>
        </w:rPr>
        <w:t>%，主要包括</w:t>
      </w:r>
      <w:r>
        <w:rPr>
          <w:rFonts w:hint="eastAsia" w:ascii="仿宋_GB2312" w:hAnsi="宋体" w:eastAsia="仿宋_GB2312"/>
          <w:sz w:val="32"/>
          <w:szCs w:val="32"/>
          <w:lang w:val="en-US" w:eastAsia="zh-CN"/>
        </w:rPr>
        <w:t>办公费、印刷费、</w:t>
      </w:r>
      <w:r>
        <w:rPr>
          <w:rFonts w:hint="eastAsia" w:ascii="仿宋_GB2312" w:hAnsi="宋体" w:eastAsia="仿宋_GB2312"/>
          <w:sz w:val="32"/>
          <w:szCs w:val="32"/>
        </w:rPr>
        <w:t>水费、电费、差旅费、报刊费、培训费、公务接待费、劳务费、工会经费、公务用车运行维护费、其他商品和服务支出；</w:t>
      </w:r>
      <w:r>
        <w:rPr>
          <w:rFonts w:hint="eastAsia" w:ascii="仿宋" w:hAnsi="仿宋" w:eastAsia="仿宋" w:cs="Times New Roman"/>
          <w:sz w:val="32"/>
          <w:szCs w:val="32"/>
        </w:rPr>
        <w:t xml:space="preserve"> 对个人和家庭的补助</w:t>
      </w:r>
      <w:r>
        <w:rPr>
          <w:rFonts w:hint="eastAsia" w:ascii="仿宋" w:hAnsi="仿宋" w:eastAsia="仿宋" w:cs="Times New Roman"/>
          <w:sz w:val="32"/>
          <w:szCs w:val="32"/>
          <w:lang w:val="en-US" w:eastAsia="zh-CN"/>
        </w:rPr>
        <w:t>31.64</w:t>
      </w:r>
      <w:r>
        <w:rPr>
          <w:rFonts w:hint="eastAsia" w:ascii="仿宋" w:hAnsi="仿宋" w:eastAsia="仿宋" w:cs="Times New Roman"/>
          <w:sz w:val="32"/>
          <w:szCs w:val="32"/>
        </w:rPr>
        <w:t>万元</w:t>
      </w:r>
      <w:r>
        <w:rPr>
          <w:rFonts w:hint="eastAsia" w:ascii="仿宋" w:hAnsi="仿宋" w:eastAsia="仿宋" w:cs="Times New Roman"/>
          <w:sz w:val="32"/>
          <w:szCs w:val="32"/>
          <w:lang w:eastAsia="zh-CN"/>
        </w:rPr>
        <w:t>，</w:t>
      </w:r>
      <w:r>
        <w:rPr>
          <w:rFonts w:hint="eastAsia" w:ascii="仿宋_GB2312" w:hAnsi="宋体" w:eastAsia="仿宋_GB2312"/>
          <w:sz w:val="32"/>
          <w:szCs w:val="32"/>
        </w:rPr>
        <w:t>占基本支出的</w:t>
      </w:r>
      <w:r>
        <w:rPr>
          <w:rFonts w:hint="eastAsia" w:ascii="仿宋_GB2312" w:hAnsi="宋体" w:eastAsia="仿宋_GB2312"/>
          <w:sz w:val="32"/>
          <w:szCs w:val="32"/>
          <w:lang w:val="en-US" w:eastAsia="zh-CN"/>
        </w:rPr>
        <w:t>2.93</w:t>
      </w:r>
      <w:r>
        <w:rPr>
          <w:rFonts w:hint="eastAsia" w:ascii="仿宋_GB2312" w:hAnsi="宋体" w:eastAsia="仿宋_GB2312"/>
          <w:sz w:val="32"/>
          <w:szCs w:val="32"/>
        </w:rPr>
        <w:t>%，</w:t>
      </w:r>
      <w:r>
        <w:rPr>
          <w:rFonts w:hint="eastAsia" w:ascii="仿宋" w:hAnsi="仿宋" w:eastAsia="仿宋" w:cs="Times New Roman"/>
          <w:sz w:val="32"/>
          <w:szCs w:val="32"/>
          <w:lang w:val="en-US" w:eastAsia="zh-CN"/>
        </w:rPr>
        <w:t>主要包括</w:t>
      </w:r>
      <w:r>
        <w:rPr>
          <w:rFonts w:hint="eastAsia" w:ascii="仿宋_GB2312" w:hAnsi="宋体" w:eastAsia="仿宋_GB2312"/>
          <w:sz w:val="32"/>
          <w:szCs w:val="32"/>
        </w:rPr>
        <w:t>住房公积金、抚恤金、生活补助、其他对个人和家庭的补助支出</w:t>
      </w:r>
      <w:r>
        <w:rPr>
          <w:rFonts w:hint="eastAsia" w:ascii="仿宋_GB2312" w:hAnsi="宋体" w:eastAsia="仿宋_GB2312"/>
          <w:sz w:val="32"/>
          <w:szCs w:val="32"/>
          <w:lang w:eastAsia="zh-CN"/>
        </w:rPr>
        <w:t>。</w:t>
      </w:r>
    </w:p>
    <w:p>
      <w:pPr>
        <w:pStyle w:val="5"/>
        <w:widowControl/>
        <w:spacing w:line="600" w:lineRule="exact"/>
        <w:ind w:left="0" w:leftChars="0" w:firstLine="640" w:firstLineChars="200"/>
        <w:rPr>
          <w:rFonts w:ascii="Times New Roman" w:hAnsi="Times New Roman" w:eastAsia="黑体"/>
          <w:sz w:val="32"/>
          <w:szCs w:val="32"/>
        </w:rPr>
      </w:pPr>
      <w:r>
        <w:rPr>
          <w:rFonts w:hint="eastAsia" w:ascii="Times New Roman" w:hAnsi="Times New Roman" w:eastAsia="黑体"/>
          <w:sz w:val="32"/>
          <w:szCs w:val="32"/>
        </w:rPr>
        <w:t>（二）</w:t>
      </w:r>
      <w:r>
        <w:rPr>
          <w:rFonts w:ascii="Times New Roman" w:hAnsi="Times New Roman" w:eastAsia="黑体"/>
          <w:sz w:val="32"/>
          <w:szCs w:val="32"/>
        </w:rPr>
        <w:t>项目支出情况</w:t>
      </w:r>
    </w:p>
    <w:p>
      <w:pPr>
        <w:widowControl/>
        <w:spacing w:line="600" w:lineRule="exact"/>
        <w:ind w:firstLine="640" w:firstLineChars="200"/>
        <w:jc w:val="left"/>
        <w:rPr>
          <w:rFonts w:eastAsia="仿宋_GB2312"/>
          <w:color w:val="C00000"/>
          <w:sz w:val="32"/>
          <w:szCs w:val="32"/>
          <w:highlight w:val="none"/>
        </w:rPr>
      </w:pPr>
      <w:r>
        <w:rPr>
          <w:rFonts w:hint="eastAsia" w:eastAsia="仿宋_GB2312"/>
          <w:sz w:val="32"/>
          <w:szCs w:val="32"/>
          <w:lang w:val="en-US" w:eastAsia="zh-CN"/>
        </w:rPr>
        <w:t>2021</w:t>
      </w:r>
      <w:r>
        <w:rPr>
          <w:rFonts w:eastAsia="仿宋_GB2312"/>
          <w:sz w:val="32"/>
          <w:szCs w:val="32"/>
        </w:rPr>
        <w:t>年度</w:t>
      </w:r>
      <w:r>
        <w:rPr>
          <w:rFonts w:hint="eastAsia" w:eastAsia="仿宋_GB2312"/>
          <w:sz w:val="32"/>
          <w:szCs w:val="32"/>
          <w:lang w:val="en-US" w:eastAsia="zh-CN"/>
        </w:rPr>
        <w:t>项目支出8337.92，其中专项资金8121.92，分别为北河二期治理工程657万元、农村水系连通及农村水系综合整治工程5800万元、水利工程维修养护85万元、河湖长制省级补助130万元、洞庭湖区重点地区排涝能力建设项目1152万元、中央水利救灾资金专项50万元、山洪灾害防治预警系统建设项目31.92万元；其他项目资金216万元，分别是河湖长制专项工作经费16万元、水利设施应急除险200万元。所有项目都已完工验收，资金也按进度拨付到位，并按照水利建设专项资金管理办法进行管理，对照年初绩效申报的目标进行监控，实现了0偏差。</w:t>
      </w:r>
    </w:p>
    <w:p>
      <w:pPr>
        <w:pStyle w:val="5"/>
        <w:widowControl/>
        <w:numPr>
          <w:ilvl w:val="0"/>
          <w:numId w:val="1"/>
        </w:numPr>
        <w:spacing w:line="600" w:lineRule="exact"/>
        <w:ind w:left="640" w:leftChars="0" w:firstLine="0" w:firstLineChars="0"/>
        <w:jc w:val="left"/>
        <w:rPr>
          <w:rFonts w:ascii="Times New Roman" w:hAnsi="Times New Roman" w:eastAsia="黑体"/>
          <w:sz w:val="32"/>
          <w:szCs w:val="32"/>
        </w:rPr>
      </w:pPr>
      <w:r>
        <w:rPr>
          <w:rFonts w:ascii="Times New Roman" w:hAnsi="Times New Roman" w:eastAsia="黑体"/>
          <w:sz w:val="32"/>
          <w:szCs w:val="32"/>
        </w:rPr>
        <w:t>政府性基金预算支出情况</w:t>
      </w:r>
    </w:p>
    <w:p>
      <w:pPr>
        <w:pStyle w:val="5"/>
        <w:widowControl/>
        <w:numPr>
          <w:ilvl w:val="0"/>
          <w:numId w:val="0"/>
        </w:numPr>
        <w:spacing w:line="600" w:lineRule="exact"/>
        <w:ind w:firstLine="960" w:firstLineChars="300"/>
        <w:jc w:val="left"/>
        <w:rPr>
          <w:rFonts w:hint="default" w:ascii="Times New Roman" w:hAnsi="Times New Roman" w:eastAsia="仿宋_GB2312" w:cs="Times New Roman"/>
          <w:kern w:val="2"/>
          <w:sz w:val="32"/>
          <w:szCs w:val="32"/>
          <w:lang w:val="en-US" w:eastAsia="zh-CN" w:bidi="ar-SA"/>
        </w:rPr>
      </w:pPr>
      <w:r>
        <w:rPr>
          <w:rFonts w:hint="eastAsia" w:ascii="Times New Roman" w:hAnsi="Times New Roman" w:eastAsia="仿宋_GB2312" w:cs="Times New Roman"/>
          <w:kern w:val="2"/>
          <w:sz w:val="32"/>
          <w:szCs w:val="32"/>
          <w:lang w:val="en-US" w:eastAsia="zh-CN" w:bidi="ar-SA"/>
        </w:rPr>
        <w:t>2021年度政府性基金预算支出500万元，主要用于全市电排水渠维护。</w:t>
      </w:r>
    </w:p>
    <w:p>
      <w:pPr>
        <w:widowControl/>
        <w:spacing w:line="600" w:lineRule="exact"/>
        <w:ind w:firstLine="645"/>
        <w:jc w:val="left"/>
        <w:rPr>
          <w:rFonts w:eastAsia="黑体"/>
          <w:sz w:val="32"/>
          <w:szCs w:val="32"/>
        </w:rPr>
      </w:pPr>
      <w:r>
        <w:rPr>
          <w:rFonts w:hint="eastAsia" w:eastAsia="黑体"/>
          <w:sz w:val="32"/>
          <w:szCs w:val="32"/>
          <w:lang w:eastAsia="zh-CN"/>
        </w:rPr>
        <w:t>四</w:t>
      </w:r>
      <w:r>
        <w:rPr>
          <w:rFonts w:eastAsia="黑体"/>
          <w:sz w:val="32"/>
          <w:szCs w:val="32"/>
        </w:rPr>
        <w:t>、部门整体支出绩效情况</w:t>
      </w:r>
    </w:p>
    <w:p>
      <w:pPr>
        <w:pStyle w:val="2"/>
        <w:spacing w:beforeAutospacing="0" w:afterAutospacing="0" w:line="30" w:lineRule="atLeast"/>
        <w:ind w:firstLine="640" w:firstLineChars="200"/>
        <w:jc w:val="both"/>
        <w:rPr>
          <w:rFonts w:hint="eastAsia" w:ascii="仿宋_GB2312" w:eastAsia="仿宋_GB2312"/>
          <w:sz w:val="32"/>
          <w:szCs w:val="32"/>
        </w:rPr>
      </w:pPr>
      <w:r>
        <w:rPr>
          <w:rFonts w:hint="eastAsia" w:ascii="仿宋_GB2312" w:eastAsia="仿宋_GB2312"/>
          <w:sz w:val="32"/>
          <w:szCs w:val="32"/>
        </w:rPr>
        <w:t>我局整体支出主要用于保障水利局机关正常运转、完成日常工作任务以及水利事业发展相关工作。基本支出，是用于保障水利局机关及下属事业单位等机构正常运转的日常支出，包括基本工资、津补贴等人员经费及办公费、印刷费、水电费、办公设备购置等日常公用经费。项目支出，是用于保障水利局机关、下属事业单位等机构为完成特定的行政工作任务或事业发展目标，用于专项业务工作的支出。如水资源管理、防汛抗旱、农村人畜饮水安全、水土保持、河道管理、水利建设等方面，</w:t>
      </w:r>
      <w:r>
        <w:rPr>
          <w:rFonts w:hint="eastAsia" w:ascii="仿宋_GB2312" w:eastAsia="仿宋_GB2312"/>
          <w:sz w:val="32"/>
          <w:szCs w:val="32"/>
          <w:lang w:val="en-US" w:eastAsia="zh-CN"/>
        </w:rPr>
        <w:t>所有资金使用都达到了预期目标，</w:t>
      </w:r>
      <w:r>
        <w:rPr>
          <w:rFonts w:hint="eastAsia" w:ascii="仿宋_GB2312" w:eastAsia="仿宋_GB2312"/>
          <w:sz w:val="32"/>
          <w:szCs w:val="32"/>
        </w:rPr>
        <w:t>充分发挥了应有的作用</w:t>
      </w:r>
      <w:r>
        <w:rPr>
          <w:rFonts w:hint="eastAsia" w:ascii="仿宋_GB2312" w:eastAsia="仿宋_GB2312"/>
          <w:sz w:val="32"/>
          <w:szCs w:val="32"/>
          <w:lang w:eastAsia="zh-CN"/>
        </w:rPr>
        <w:t>，</w:t>
      </w:r>
      <w:r>
        <w:rPr>
          <w:rFonts w:hint="eastAsia" w:ascii="仿宋_GB2312" w:eastAsia="仿宋_GB2312"/>
          <w:sz w:val="32"/>
          <w:szCs w:val="32"/>
          <w:lang w:val="en-US" w:eastAsia="zh-CN"/>
        </w:rPr>
        <w:t>提高了预算资金使用效益</w:t>
      </w:r>
      <w:r>
        <w:rPr>
          <w:rFonts w:hint="eastAsia" w:ascii="仿宋_GB2312" w:eastAsia="仿宋_GB2312"/>
          <w:sz w:val="32"/>
          <w:szCs w:val="32"/>
        </w:rPr>
        <w:t>。</w:t>
      </w:r>
    </w:p>
    <w:p>
      <w:pPr>
        <w:pStyle w:val="5"/>
        <w:widowControl/>
        <w:spacing w:line="600" w:lineRule="exact"/>
        <w:ind w:left="640" w:firstLine="0" w:firstLineChars="0"/>
        <w:jc w:val="left"/>
        <w:rPr>
          <w:rFonts w:ascii="Times New Roman" w:hAnsi="Times New Roman" w:eastAsia="黑体"/>
          <w:sz w:val="32"/>
          <w:szCs w:val="32"/>
        </w:rPr>
      </w:pPr>
      <w:r>
        <w:rPr>
          <w:rFonts w:hint="eastAsia" w:ascii="Times New Roman" w:hAnsi="Times New Roman" w:eastAsia="黑体"/>
          <w:sz w:val="32"/>
          <w:szCs w:val="32"/>
          <w:lang w:eastAsia="zh-CN"/>
        </w:rPr>
        <w:t>五</w:t>
      </w:r>
      <w:r>
        <w:rPr>
          <w:rFonts w:hint="eastAsia" w:ascii="Times New Roman" w:hAnsi="Times New Roman" w:eastAsia="黑体"/>
          <w:sz w:val="32"/>
          <w:szCs w:val="32"/>
        </w:rPr>
        <w:t>、</w:t>
      </w:r>
      <w:r>
        <w:rPr>
          <w:rFonts w:ascii="Times New Roman" w:hAnsi="Times New Roman" w:eastAsia="黑体"/>
          <w:sz w:val="32"/>
          <w:szCs w:val="32"/>
        </w:rPr>
        <w:t>存在的问题及原因分析</w:t>
      </w:r>
    </w:p>
    <w:p>
      <w:pPr>
        <w:widowControl/>
        <w:spacing w:line="600" w:lineRule="exact"/>
        <w:ind w:firstLine="632" w:firstLineChars="200"/>
        <w:jc w:val="left"/>
        <w:rPr>
          <w:rFonts w:eastAsia="仿宋_GB2312"/>
          <w:sz w:val="32"/>
          <w:szCs w:val="32"/>
        </w:rPr>
      </w:pPr>
      <w:r>
        <w:rPr>
          <w:rFonts w:hint="eastAsia" w:ascii="仿宋_GB2312" w:hAnsi="仿宋" w:eastAsia="仿宋_GB2312" w:cs="仿宋"/>
          <w:color w:val="000000"/>
          <w:spacing w:val="-2"/>
          <w:sz w:val="32"/>
          <w:szCs w:val="32"/>
          <w:shd w:val="clear" w:color="auto" w:fill="FFFFFF"/>
        </w:rPr>
        <w:t>对项目资金开支分类需要进一步科学化、规范化，预算管理、绩效管理、资金管理需要加强。</w:t>
      </w:r>
    </w:p>
    <w:p>
      <w:pPr>
        <w:widowControl/>
        <w:numPr>
          <w:ilvl w:val="0"/>
          <w:numId w:val="2"/>
        </w:numPr>
        <w:spacing w:line="600" w:lineRule="exact"/>
        <w:ind w:firstLine="640" w:firstLineChars="200"/>
        <w:jc w:val="left"/>
        <w:rPr>
          <w:rFonts w:eastAsia="黑体"/>
          <w:sz w:val="32"/>
          <w:szCs w:val="32"/>
        </w:rPr>
      </w:pPr>
      <w:r>
        <w:rPr>
          <w:rFonts w:eastAsia="黑体"/>
          <w:sz w:val="32"/>
          <w:szCs w:val="32"/>
        </w:rPr>
        <w:t>下一步改进措施</w:t>
      </w:r>
    </w:p>
    <w:p>
      <w:pPr>
        <w:pStyle w:val="2"/>
        <w:widowControl/>
        <w:shd w:val="clear" w:color="auto" w:fill="FFFFFF"/>
        <w:spacing w:before="0" w:beforeAutospacing="0" w:after="0" w:afterAutospacing="0" w:line="480" w:lineRule="atLeast"/>
        <w:ind w:firstLine="640" w:firstLineChars="200"/>
        <w:rPr>
          <w:rFonts w:ascii="Calibri" w:hAnsi="Calibri" w:eastAsia="仿宋_GB2312"/>
          <w:kern w:val="2"/>
          <w:sz w:val="32"/>
          <w:szCs w:val="32"/>
        </w:rPr>
      </w:pPr>
      <w:r>
        <w:rPr>
          <w:rFonts w:hint="eastAsia" w:ascii="Calibri" w:hAnsi="Calibri" w:eastAsia="仿宋_GB2312"/>
          <w:kern w:val="2"/>
          <w:sz w:val="32"/>
          <w:szCs w:val="32"/>
        </w:rPr>
        <w:t>1、</w:t>
      </w:r>
      <w:r>
        <w:rPr>
          <w:rFonts w:ascii="Calibri" w:hAnsi="Calibri" w:eastAsia="仿宋_GB2312"/>
          <w:kern w:val="2"/>
          <w:sz w:val="32"/>
          <w:szCs w:val="32"/>
        </w:rPr>
        <w:t>认真做好预算的编制。进一步加强内部机构的预算管理意识，严格按照预算编制的相关制度和要求进行预算编制；全面编制预算项目，优先保障固定性、相对刚性的费用支出项目</w:t>
      </w:r>
      <w:r>
        <w:rPr>
          <w:rFonts w:hint="eastAsia" w:ascii="Calibri" w:hAnsi="Calibri" w:eastAsia="仿宋_GB2312"/>
          <w:kern w:val="2"/>
          <w:sz w:val="32"/>
          <w:szCs w:val="32"/>
        </w:rPr>
        <w:t>；对上级专项资金的预算尽量精准。</w:t>
      </w:r>
      <w:r>
        <w:rPr>
          <w:rFonts w:ascii="Calibri" w:hAnsi="Calibri" w:eastAsia="仿宋_GB2312"/>
          <w:kern w:val="2"/>
          <w:sz w:val="32"/>
          <w:szCs w:val="32"/>
        </w:rPr>
        <w:t>提高预算编制的科学性、</w:t>
      </w:r>
      <w:r>
        <w:rPr>
          <w:rFonts w:hint="eastAsia" w:ascii="Calibri" w:hAnsi="Calibri" w:eastAsia="仿宋_GB2312"/>
          <w:kern w:val="2"/>
          <w:sz w:val="32"/>
          <w:szCs w:val="32"/>
        </w:rPr>
        <w:t>精准性、</w:t>
      </w:r>
      <w:r>
        <w:rPr>
          <w:rFonts w:ascii="Calibri" w:hAnsi="Calibri" w:eastAsia="仿宋_GB2312"/>
          <w:kern w:val="2"/>
          <w:sz w:val="32"/>
          <w:szCs w:val="32"/>
        </w:rPr>
        <w:t>严谨性和可控性。</w:t>
      </w:r>
    </w:p>
    <w:p>
      <w:pPr>
        <w:widowControl/>
        <w:spacing w:line="600" w:lineRule="exact"/>
        <w:ind w:firstLine="645"/>
        <w:jc w:val="left"/>
        <w:rPr>
          <w:rFonts w:hint="default" w:ascii="Calibri" w:hAnsi="Calibri" w:eastAsia="仿宋_GB2312"/>
          <w:kern w:val="2"/>
          <w:sz w:val="32"/>
          <w:szCs w:val="32"/>
          <w:lang w:val="en-US" w:eastAsia="zh-CN"/>
        </w:rPr>
      </w:pPr>
      <w:r>
        <w:rPr>
          <w:rFonts w:hint="eastAsia" w:ascii="Calibri" w:hAnsi="Calibri" w:eastAsia="仿宋_GB2312"/>
          <w:kern w:val="2"/>
          <w:sz w:val="32"/>
          <w:szCs w:val="32"/>
        </w:rPr>
        <w:t>2、</w:t>
      </w:r>
      <w:r>
        <w:rPr>
          <w:rFonts w:ascii="Calibri" w:hAnsi="Calibri" w:eastAsia="仿宋_GB2312"/>
          <w:kern w:val="2"/>
          <w:sz w:val="32"/>
          <w:szCs w:val="32"/>
        </w:rPr>
        <w:t>加强</w:t>
      </w:r>
      <w:r>
        <w:rPr>
          <w:rFonts w:hint="eastAsia" w:ascii="Calibri" w:hAnsi="Calibri" w:eastAsia="仿宋_GB2312"/>
          <w:kern w:val="2"/>
          <w:sz w:val="32"/>
          <w:szCs w:val="32"/>
          <w:lang w:val="en-US" w:eastAsia="zh-CN"/>
        </w:rPr>
        <w:t>预算资金绩效</w:t>
      </w:r>
      <w:r>
        <w:rPr>
          <w:rFonts w:ascii="Calibri" w:hAnsi="Calibri" w:eastAsia="仿宋_GB2312"/>
          <w:kern w:val="2"/>
          <w:sz w:val="32"/>
          <w:szCs w:val="32"/>
        </w:rPr>
        <w:t>管理。</w:t>
      </w:r>
      <w:r>
        <w:rPr>
          <w:rFonts w:hint="eastAsia" w:ascii="Calibri" w:hAnsi="Calibri" w:eastAsia="仿宋_GB2312"/>
          <w:kern w:val="2"/>
          <w:sz w:val="32"/>
          <w:szCs w:val="32"/>
          <w:lang w:val="en-US" w:eastAsia="zh-CN"/>
        </w:rPr>
        <w:t>对所有预算资金进行绩效目标管理，资金使用过程中严格对照年初绩效申报的目标进行监控，提高预算资金使用效益。</w:t>
      </w:r>
    </w:p>
    <w:p>
      <w:pPr>
        <w:widowControl/>
        <w:spacing w:line="600" w:lineRule="exact"/>
        <w:ind w:firstLine="645"/>
        <w:jc w:val="left"/>
        <w:rPr>
          <w:rFonts w:eastAsia="黑体"/>
          <w:sz w:val="32"/>
          <w:szCs w:val="32"/>
        </w:rPr>
      </w:pPr>
      <w:r>
        <w:rPr>
          <w:rFonts w:hint="eastAsia" w:eastAsia="黑体"/>
          <w:sz w:val="32"/>
          <w:szCs w:val="32"/>
          <w:lang w:eastAsia="zh-CN"/>
        </w:rPr>
        <w:t>七</w:t>
      </w:r>
      <w:r>
        <w:rPr>
          <w:rFonts w:eastAsia="黑体"/>
          <w:sz w:val="32"/>
          <w:szCs w:val="32"/>
        </w:rPr>
        <w:t>、其他需要说明的情况</w:t>
      </w:r>
    </w:p>
    <w:p>
      <w:pPr>
        <w:widowControl/>
        <w:spacing w:line="600" w:lineRule="exact"/>
        <w:ind w:firstLine="645"/>
        <w:jc w:val="left"/>
        <w:rPr>
          <w:rFonts w:hint="eastAsia" w:ascii="Calibri" w:hAnsi="Calibri" w:eastAsia="仿宋_GB2312" w:cs="Times New Roman"/>
          <w:kern w:val="2"/>
          <w:sz w:val="32"/>
          <w:szCs w:val="32"/>
          <w:lang w:val="en-US" w:eastAsia="zh-CN"/>
        </w:rPr>
      </w:pPr>
      <w:r>
        <w:rPr>
          <w:rFonts w:hint="eastAsia" w:ascii="Calibri" w:hAnsi="Calibri" w:eastAsia="仿宋_GB2312" w:cs="Times New Roman"/>
          <w:kern w:val="2"/>
          <w:sz w:val="32"/>
          <w:szCs w:val="32"/>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大标宋简体">
    <w:altName w:val="宋体"/>
    <w:panose1 w:val="0201060103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714889"/>
    <w:multiLevelType w:val="singleLevel"/>
    <w:tmpl w:val="1C714889"/>
    <w:lvl w:ilvl="0" w:tentative="0">
      <w:start w:val="6"/>
      <w:numFmt w:val="chineseCounting"/>
      <w:suff w:val="nothing"/>
      <w:lvlText w:val="%1、"/>
      <w:lvlJc w:val="left"/>
      <w:rPr>
        <w:rFonts w:hint="eastAsia"/>
      </w:rPr>
    </w:lvl>
  </w:abstractNum>
  <w:abstractNum w:abstractNumId="1">
    <w:nsid w:val="5F457962"/>
    <w:multiLevelType w:val="singleLevel"/>
    <w:tmpl w:val="5F457962"/>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076E09"/>
    <w:rsid w:val="18481153"/>
    <w:rsid w:val="2424718F"/>
    <w:rsid w:val="3A076E09"/>
    <w:rsid w:val="3B8F3226"/>
    <w:rsid w:val="57830A59"/>
    <w:rsid w:val="5A9D5D9B"/>
    <w:rsid w:val="7F780D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2253</Words>
  <Characters>2344</Characters>
  <Lines>0</Lines>
  <Paragraphs>0</Paragraphs>
  <TotalTime>26</TotalTime>
  <ScaleCrop>false</ScaleCrop>
  <LinksUpToDate>false</LinksUpToDate>
  <CharactersWithSpaces>2346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Lenovo</cp:lastModifiedBy>
  <dcterms:modified xsi:type="dcterms:W3CDTF">2022-04-08T01:16:20Z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