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eastAsia="方正小标宋_GBK"/>
          <w:sz w:val="36"/>
          <w:szCs w:val="36"/>
        </w:rPr>
      </w:pPr>
      <w:r>
        <w:rPr>
          <w:rFonts w:hint="eastAsia" w:eastAsia="方正小标宋_GBK"/>
          <w:sz w:val="36"/>
          <w:szCs w:val="36"/>
          <w:lang w:eastAsia="zh-CN"/>
        </w:rPr>
        <w:t>湖南津市毛里湖国家湿地公园管理处毛里湖湿地公园建设投资</w:t>
      </w:r>
      <w:r>
        <w:rPr>
          <w:rFonts w:hint="eastAsia" w:eastAsia="方正小标宋_GBK"/>
          <w:sz w:val="36"/>
          <w:szCs w:val="36"/>
        </w:rPr>
        <w:t>项目2021年度项目</w:t>
      </w:r>
      <w:r>
        <w:rPr>
          <w:rFonts w:eastAsia="方正小标宋_GBK"/>
          <w:sz w:val="36"/>
          <w:szCs w:val="36"/>
        </w:rPr>
        <w:t>支出绩效报告</w:t>
      </w:r>
    </w:p>
    <w:p>
      <w:pPr>
        <w:adjustRightInd w:val="0"/>
        <w:spacing w:line="600" w:lineRule="exact"/>
        <w:ind w:right="641"/>
        <w:rPr>
          <w:rFonts w:eastAsia="仿宋_GB2312"/>
          <w:sz w:val="32"/>
          <w:szCs w:val="32"/>
        </w:rPr>
      </w:pPr>
    </w:p>
    <w:p>
      <w:pPr>
        <w:adjustRightInd w:val="0"/>
        <w:snapToGrid w:val="0"/>
        <w:spacing w:line="600" w:lineRule="exact"/>
        <w:ind w:firstLine="640" w:firstLineChars="200"/>
        <w:rPr>
          <w:rFonts w:eastAsia="黑体"/>
          <w:sz w:val="32"/>
          <w:szCs w:val="32"/>
        </w:rPr>
      </w:pPr>
      <w:r>
        <w:rPr>
          <w:rFonts w:eastAsia="黑体"/>
          <w:sz w:val="32"/>
          <w:szCs w:val="32"/>
        </w:rPr>
        <w:t>一、</w:t>
      </w:r>
      <w:r>
        <w:rPr>
          <w:rFonts w:hint="eastAsia" w:eastAsia="黑体"/>
          <w:sz w:val="32"/>
          <w:szCs w:val="32"/>
        </w:rPr>
        <w:t>项目</w:t>
      </w:r>
      <w:r>
        <w:rPr>
          <w:rFonts w:eastAsia="黑体"/>
          <w:sz w:val="32"/>
          <w:szCs w:val="32"/>
        </w:rPr>
        <w:t>支出概况</w:t>
      </w:r>
    </w:p>
    <w:p>
      <w:pPr>
        <w:ind w:firstLine="640" w:firstLineChars="200"/>
        <w:rPr>
          <w:rFonts w:eastAsia="仿宋_GB2312"/>
          <w:sz w:val="32"/>
          <w:szCs w:val="32"/>
        </w:rPr>
      </w:pPr>
      <w:r>
        <w:rPr>
          <w:rFonts w:eastAsia="仿宋_GB2312"/>
          <w:sz w:val="32"/>
          <w:szCs w:val="32"/>
        </w:rPr>
        <w:t>（一）项目实施单位</w:t>
      </w:r>
      <w:r>
        <w:rPr>
          <w:rFonts w:hint="eastAsia" w:eastAsia="仿宋_GB2312"/>
          <w:sz w:val="32"/>
          <w:szCs w:val="32"/>
        </w:rPr>
        <w:t>为</w:t>
      </w:r>
      <w:r>
        <w:rPr>
          <w:rFonts w:hint="eastAsia" w:eastAsia="仿宋_GB2312"/>
          <w:sz w:val="32"/>
          <w:szCs w:val="32"/>
          <w:lang w:eastAsia="zh-CN"/>
        </w:rPr>
        <w:t>湖南毛里湖国家湿地公园管理处下设平台公司</w:t>
      </w:r>
      <w:r>
        <w:rPr>
          <w:rFonts w:hint="eastAsia" w:eastAsia="仿宋_GB2312"/>
          <w:sz w:val="32"/>
          <w:szCs w:val="32"/>
        </w:rPr>
        <w:t>湖南毛里湖大野生态建设开发有限公司。</w:t>
      </w:r>
      <w:r>
        <w:rPr>
          <w:rFonts w:hint="eastAsia" w:eastAsia="仿宋_GB2312"/>
          <w:sz w:val="32"/>
          <w:szCs w:val="32"/>
          <w:lang w:eastAsia="zh-CN"/>
        </w:rPr>
        <w:t>该公司</w:t>
      </w:r>
      <w:r>
        <w:rPr>
          <w:rFonts w:eastAsia="仿宋_GB2312"/>
          <w:sz w:val="32"/>
          <w:szCs w:val="32"/>
        </w:rPr>
        <w:t>主要经营范围：生态旅游开发、生态农业开发、湿地公园基础设施投资建设、湿地科研与监测、湿地科普与宣教、湿地生态保护与恢复（依法须经批准的项目，经相关部门批准后方可开展经营活动）。</w:t>
      </w:r>
    </w:p>
    <w:p>
      <w:pPr>
        <w:adjustRightInd w:val="0"/>
        <w:snapToGrid w:val="0"/>
        <w:spacing w:line="600" w:lineRule="exact"/>
        <w:ind w:firstLine="640" w:firstLineChars="200"/>
        <w:rPr>
          <w:rFonts w:eastAsia="仿宋_GB2312"/>
          <w:sz w:val="32"/>
          <w:szCs w:val="32"/>
        </w:rPr>
      </w:pPr>
      <w:r>
        <w:rPr>
          <w:rFonts w:eastAsia="仿宋_GB2312"/>
          <w:sz w:val="32"/>
          <w:szCs w:val="32"/>
        </w:rPr>
        <w:t>（二）</w:t>
      </w:r>
      <w:r>
        <w:rPr>
          <w:rFonts w:hint="eastAsia" w:eastAsia="仿宋_GB2312"/>
          <w:sz w:val="32"/>
          <w:szCs w:val="32"/>
        </w:rPr>
        <w:t>湖南毛里湖国家湿地公园生态旅游区基础设施建设项目主要包括游客接待中心、生态厕所、游道、宣教中心、游船码头及配套基础设施等建设内容</w:t>
      </w:r>
      <w:r>
        <w:rPr>
          <w:rFonts w:eastAsia="仿宋_GB2312"/>
          <w:sz w:val="32"/>
          <w:szCs w:val="32"/>
        </w:rPr>
        <w:t>。</w:t>
      </w:r>
    </w:p>
    <w:p>
      <w:pPr>
        <w:spacing w:line="540" w:lineRule="exact"/>
        <w:ind w:firstLine="640" w:firstLineChars="200"/>
        <w:rPr>
          <w:rFonts w:hint="eastAsia" w:eastAsia="仿宋_GB2312"/>
          <w:sz w:val="32"/>
          <w:szCs w:val="32"/>
        </w:rPr>
      </w:pPr>
      <w:r>
        <w:rPr>
          <w:rFonts w:eastAsia="仿宋_GB2312"/>
          <w:sz w:val="32"/>
          <w:szCs w:val="32"/>
        </w:rPr>
        <w:t>（三）</w:t>
      </w:r>
      <w:r>
        <w:rPr>
          <w:rFonts w:hint="eastAsia" w:eastAsia="仿宋_GB2312"/>
          <w:sz w:val="32"/>
          <w:szCs w:val="32"/>
          <w:lang w:eastAsia="zh-CN"/>
        </w:rPr>
        <w:t>毛</w:t>
      </w:r>
      <w:r>
        <w:rPr>
          <w:rFonts w:hint="eastAsia" w:eastAsia="仿宋_GB2312"/>
          <w:sz w:val="32"/>
          <w:szCs w:val="32"/>
        </w:rPr>
        <w:t>里湖湿地被列为湖南省湿地保护与综合利用示范地，湿地资源丰富，类型多样。根据《全国湿地资源调查技术规程》的分类系统，毛里湖国家湿地公园内湿地分布有河流湿地、湖泊湿地和人工湿地三人类。其以入湖溪沟、湖泊、人工湿地与森林组成的森林与湿地复合生态系统，在我国中部中亚热带向北亚热带过渡的低山丘陵地区具有典型性和代表性，具有较高的科学价值和保护价值。</w:t>
      </w:r>
    </w:p>
    <w:p>
      <w:pPr>
        <w:spacing w:line="540" w:lineRule="exact"/>
        <w:ind w:firstLine="640" w:firstLineChars="200"/>
        <w:rPr>
          <w:rFonts w:hint="eastAsia" w:eastAsia="仿宋_GB2312"/>
          <w:sz w:val="32"/>
          <w:szCs w:val="32"/>
        </w:rPr>
      </w:pPr>
      <w:r>
        <w:rPr>
          <w:rFonts w:hint="eastAsia" w:eastAsia="仿宋_GB2312"/>
          <w:sz w:val="32"/>
          <w:szCs w:val="32"/>
        </w:rPr>
        <w:t>本项目的建设将充分利用湖南毛里湖湿地及其周边的白然资源和景观文化资源，在有效保护毛里湖湿地生态及野生动植物资源的基础上，将毛里湖建成全国一流、世界知名的湿地公园，湿地生物多样性保护示范基地，津市城乡重要的水源地，野生鲢鱼重要繁殖基地，湖南重点湿地科普宣教基地和湿地野生动植物科研教学基地，有机食品生产示范基地，整体形象突出、基础设施完备、湿地景观独特、科普教育与休闲娱乐兼备，具有浓郁地方湿地文化特色的、湖南湿地生态旅游和休闲目的地，人与自然和谐共处的示范区。</w:t>
      </w:r>
    </w:p>
    <w:p>
      <w:pPr>
        <w:adjustRightInd w:val="0"/>
        <w:snapToGrid w:val="0"/>
        <w:spacing w:line="600" w:lineRule="exact"/>
        <w:ind w:firstLine="640" w:firstLineChars="200"/>
        <w:rPr>
          <w:rFonts w:eastAsia="黑体"/>
          <w:sz w:val="32"/>
          <w:szCs w:val="32"/>
        </w:rPr>
      </w:pPr>
      <w:r>
        <w:rPr>
          <w:rFonts w:eastAsia="黑体"/>
          <w:sz w:val="32"/>
          <w:szCs w:val="32"/>
        </w:rPr>
        <w:t>二、</w:t>
      </w:r>
      <w:r>
        <w:rPr>
          <w:rFonts w:hint="eastAsia" w:eastAsia="黑体"/>
          <w:sz w:val="32"/>
          <w:szCs w:val="32"/>
        </w:rPr>
        <w:t>项目</w:t>
      </w:r>
      <w:r>
        <w:rPr>
          <w:rFonts w:eastAsia="黑体"/>
          <w:sz w:val="32"/>
          <w:szCs w:val="32"/>
        </w:rPr>
        <w:t>资金使用及管理情况</w:t>
      </w:r>
    </w:p>
    <w:p>
      <w:pPr>
        <w:spacing w:line="606" w:lineRule="exact"/>
        <w:ind w:firstLine="640" w:firstLineChars="200"/>
        <w:rPr>
          <w:rFonts w:hint="eastAsia" w:ascii="仿宋" w:hAnsi="仿宋" w:eastAsia="仿宋" w:cs="仿宋"/>
          <w:sz w:val="32"/>
          <w:szCs w:val="32"/>
        </w:rPr>
      </w:pPr>
      <w:r>
        <w:rPr>
          <w:rFonts w:hint="eastAsia" w:eastAsia="仿宋_GB2312"/>
          <w:sz w:val="32"/>
          <w:szCs w:val="32"/>
        </w:rPr>
        <w:t>项目</w:t>
      </w:r>
      <w:r>
        <w:rPr>
          <w:rFonts w:eastAsia="仿宋_GB2312"/>
          <w:sz w:val="32"/>
          <w:szCs w:val="32"/>
        </w:rPr>
        <w:t>资金及自筹资金的安排</w:t>
      </w:r>
      <w:r>
        <w:rPr>
          <w:rFonts w:hint="eastAsia" w:eastAsia="仿宋_GB2312"/>
          <w:sz w:val="32"/>
          <w:szCs w:val="32"/>
        </w:rPr>
        <w:t>完全</w:t>
      </w:r>
      <w:r>
        <w:rPr>
          <w:rFonts w:eastAsia="仿宋_GB2312"/>
          <w:sz w:val="32"/>
          <w:szCs w:val="32"/>
        </w:rPr>
        <w:t>落实</w:t>
      </w:r>
      <w:r>
        <w:rPr>
          <w:rFonts w:hint="eastAsia" w:eastAsia="仿宋_GB2312"/>
          <w:sz w:val="32"/>
          <w:szCs w:val="32"/>
        </w:rPr>
        <w:t>到位</w:t>
      </w:r>
      <w:r>
        <w:rPr>
          <w:rFonts w:eastAsia="仿宋_GB2312"/>
          <w:sz w:val="32"/>
          <w:szCs w:val="32"/>
        </w:rPr>
        <w:t>、</w:t>
      </w:r>
      <w:r>
        <w:rPr>
          <w:rFonts w:hint="eastAsia" w:eastAsia="仿宋_GB2312"/>
          <w:sz w:val="32"/>
          <w:szCs w:val="32"/>
          <w:lang w:eastAsia="zh-CN"/>
        </w:rPr>
        <w:t>项目总投资</w:t>
      </w:r>
      <w:r>
        <w:rPr>
          <w:rFonts w:hint="eastAsia" w:eastAsia="仿宋_GB2312"/>
          <w:sz w:val="32"/>
          <w:szCs w:val="32"/>
          <w:lang w:val="en-US" w:eastAsia="zh-CN"/>
        </w:rPr>
        <w:t>3061.42万元，目前所有项目资金均已拨付到位。项目</w:t>
      </w:r>
      <w:r>
        <w:rPr>
          <w:rFonts w:hint="eastAsia" w:ascii="仿宋" w:hAnsi="仿宋" w:eastAsia="仿宋" w:cs="仿宋"/>
          <w:sz w:val="32"/>
          <w:szCs w:val="32"/>
        </w:rPr>
        <w:t>前期施工图设计，项目单位严格资质标准，遴选经验丰富的单位进行规划设计；工程实施过程中，严格按照招标法、政府采购要求公开、公平、公正挂网招标；施工过程严格按照质量管理程序，遴选质量监理单位，对全过程进行质量把关。</w:t>
      </w:r>
    </w:p>
    <w:p>
      <w:pPr>
        <w:adjustRightInd w:val="0"/>
        <w:snapToGrid w:val="0"/>
        <w:spacing w:line="600" w:lineRule="exact"/>
        <w:ind w:firstLine="640" w:firstLineChars="200"/>
        <w:rPr>
          <w:rFonts w:eastAsia="黑体"/>
          <w:sz w:val="32"/>
          <w:szCs w:val="32"/>
        </w:rPr>
      </w:pPr>
      <w:r>
        <w:rPr>
          <w:rFonts w:eastAsia="黑体"/>
          <w:sz w:val="32"/>
          <w:szCs w:val="32"/>
        </w:rPr>
        <w:t>三、</w:t>
      </w:r>
      <w:r>
        <w:rPr>
          <w:rFonts w:hint="eastAsia" w:eastAsia="黑体"/>
          <w:sz w:val="32"/>
          <w:szCs w:val="32"/>
        </w:rPr>
        <w:t>项目</w:t>
      </w:r>
      <w:r>
        <w:rPr>
          <w:rFonts w:eastAsia="黑体"/>
          <w:sz w:val="32"/>
          <w:szCs w:val="32"/>
        </w:rPr>
        <w:t>支出组织实施情况</w:t>
      </w:r>
    </w:p>
    <w:p>
      <w:pPr>
        <w:spacing w:line="560" w:lineRule="exact"/>
        <w:ind w:firstLine="640" w:firstLineChars="200"/>
        <w:rPr>
          <w:rFonts w:eastAsia="仿宋_GB2312"/>
          <w:sz w:val="32"/>
          <w:szCs w:val="32"/>
        </w:rPr>
      </w:pPr>
      <w:r>
        <w:rPr>
          <w:rFonts w:eastAsia="仿宋_GB2312"/>
          <w:sz w:val="32"/>
          <w:szCs w:val="32"/>
        </w:rPr>
        <w:t>本项目工程量</w:t>
      </w:r>
      <w:r>
        <w:rPr>
          <w:rFonts w:hint="eastAsia" w:eastAsia="仿宋_GB2312"/>
          <w:sz w:val="32"/>
          <w:szCs w:val="32"/>
        </w:rPr>
        <w:t>较</w:t>
      </w:r>
      <w:r>
        <w:rPr>
          <w:rFonts w:eastAsia="仿宋_GB2312"/>
          <w:sz w:val="32"/>
          <w:szCs w:val="32"/>
        </w:rPr>
        <w:t>大，工期紧</w:t>
      </w:r>
      <w:r>
        <w:rPr>
          <w:rFonts w:hint="eastAsia" w:eastAsia="仿宋_GB2312"/>
          <w:sz w:val="32"/>
          <w:szCs w:val="32"/>
        </w:rPr>
        <w:t>，</w:t>
      </w:r>
      <w:r>
        <w:rPr>
          <w:rFonts w:eastAsia="仿宋_GB2312"/>
          <w:sz w:val="32"/>
          <w:szCs w:val="32"/>
        </w:rPr>
        <w:t>为确保工程建设有序、有效</w:t>
      </w:r>
      <w:r>
        <w:rPr>
          <w:rFonts w:hint="eastAsia" w:eastAsia="仿宋_GB2312"/>
          <w:sz w:val="32"/>
          <w:szCs w:val="32"/>
        </w:rPr>
        <w:t>运行</w:t>
      </w:r>
      <w:r>
        <w:rPr>
          <w:rFonts w:eastAsia="仿宋_GB2312"/>
          <w:sz w:val="32"/>
          <w:szCs w:val="32"/>
        </w:rPr>
        <w:t>，</w:t>
      </w:r>
      <w:r>
        <w:rPr>
          <w:rFonts w:hint="eastAsia" w:eastAsia="仿宋_GB2312"/>
          <w:sz w:val="32"/>
          <w:szCs w:val="32"/>
        </w:rPr>
        <w:t>本</w:t>
      </w:r>
      <w:r>
        <w:rPr>
          <w:rFonts w:eastAsia="仿宋_GB2312"/>
          <w:sz w:val="32"/>
          <w:szCs w:val="32"/>
        </w:rPr>
        <w:t>工程</w:t>
      </w:r>
      <w:r>
        <w:rPr>
          <w:rFonts w:hint="eastAsia" w:eastAsia="仿宋_GB2312"/>
          <w:sz w:val="32"/>
          <w:szCs w:val="32"/>
        </w:rPr>
        <w:t>将</w:t>
      </w:r>
      <w:r>
        <w:rPr>
          <w:rFonts w:eastAsia="仿宋_GB2312"/>
          <w:sz w:val="32"/>
          <w:szCs w:val="32"/>
        </w:rPr>
        <w:t>向社会公开招标，选取</w:t>
      </w:r>
      <w:r>
        <w:rPr>
          <w:rFonts w:hint="eastAsia" w:eastAsia="仿宋_GB2312"/>
          <w:sz w:val="32"/>
          <w:szCs w:val="32"/>
        </w:rPr>
        <w:t>设计、监理、施工单位</w:t>
      </w:r>
      <w:r>
        <w:rPr>
          <w:rFonts w:eastAsia="仿宋_GB2312"/>
          <w:sz w:val="32"/>
          <w:szCs w:val="32"/>
        </w:rPr>
        <w:t>。中标</w:t>
      </w:r>
      <w:r>
        <w:rPr>
          <w:rFonts w:hint="eastAsia" w:eastAsia="仿宋_GB2312"/>
          <w:sz w:val="32"/>
          <w:szCs w:val="32"/>
        </w:rPr>
        <w:t>施工</w:t>
      </w:r>
      <w:r>
        <w:rPr>
          <w:rFonts w:eastAsia="仿宋_GB2312"/>
          <w:sz w:val="32"/>
          <w:szCs w:val="32"/>
        </w:rPr>
        <w:t>单位在施工现场成立高效运行的项目经理部</w:t>
      </w:r>
      <w:r>
        <w:rPr>
          <w:rFonts w:hint="eastAsia" w:eastAsia="仿宋_GB2312"/>
          <w:sz w:val="32"/>
          <w:szCs w:val="32"/>
        </w:rPr>
        <w:t>。</w:t>
      </w:r>
      <w:r>
        <w:rPr>
          <w:rFonts w:eastAsia="仿宋_GB2312"/>
          <w:sz w:val="32"/>
          <w:szCs w:val="32"/>
        </w:rPr>
        <w:t>项目经理部对该工程进行现场施工管理，按项目法组织施工。项目经理部主要施工技术人员和管理人员均由有施工经验的人员组成，充分</w:t>
      </w:r>
      <w:r>
        <w:rPr>
          <w:rFonts w:hint="eastAsia" w:eastAsia="仿宋_GB2312"/>
          <w:sz w:val="32"/>
          <w:szCs w:val="32"/>
        </w:rPr>
        <w:t>吸取</w:t>
      </w:r>
      <w:r>
        <w:rPr>
          <w:rFonts w:eastAsia="仿宋_GB2312"/>
          <w:sz w:val="32"/>
          <w:szCs w:val="32"/>
        </w:rPr>
        <w:t>以往类似工程的施工经验。</w:t>
      </w:r>
    </w:p>
    <w:p>
      <w:pPr>
        <w:spacing w:line="560" w:lineRule="exact"/>
        <w:ind w:firstLine="640" w:firstLineChars="200"/>
        <w:rPr>
          <w:rFonts w:eastAsia="仿宋_GB2312"/>
          <w:sz w:val="32"/>
          <w:szCs w:val="32"/>
        </w:rPr>
      </w:pPr>
      <w:r>
        <w:rPr>
          <w:rFonts w:eastAsia="仿宋_GB2312"/>
          <w:sz w:val="32"/>
          <w:szCs w:val="32"/>
        </w:rPr>
        <w:t>工程开工前，编制谨慎严密的网络计划，严格按网络计划组织安排施工。编制计划充分考虑施工现场可能对工期造成延误的各种因素，</w:t>
      </w:r>
      <w:r>
        <w:rPr>
          <w:rFonts w:hint="eastAsia" w:eastAsia="仿宋_GB2312"/>
          <w:sz w:val="32"/>
          <w:szCs w:val="32"/>
        </w:rPr>
        <w:t>在</w:t>
      </w:r>
      <w:r>
        <w:rPr>
          <w:rFonts w:eastAsia="仿宋_GB2312"/>
          <w:sz w:val="32"/>
          <w:szCs w:val="32"/>
        </w:rPr>
        <w:t>确定进度作业指标时</w:t>
      </w:r>
      <w:r>
        <w:rPr>
          <w:rFonts w:hint="eastAsia" w:eastAsia="仿宋_GB2312"/>
          <w:sz w:val="32"/>
          <w:szCs w:val="32"/>
        </w:rPr>
        <w:t>要</w:t>
      </w:r>
      <w:r>
        <w:rPr>
          <w:rFonts w:eastAsia="仿宋_GB2312"/>
          <w:sz w:val="32"/>
          <w:szCs w:val="32"/>
        </w:rPr>
        <w:t>留有余地，一旦发生延误</w:t>
      </w:r>
      <w:r>
        <w:rPr>
          <w:rFonts w:hint="eastAsia" w:eastAsia="仿宋_GB2312"/>
          <w:sz w:val="32"/>
          <w:szCs w:val="32"/>
        </w:rPr>
        <w:t>要</w:t>
      </w:r>
      <w:r>
        <w:rPr>
          <w:rFonts w:eastAsia="仿宋_GB2312"/>
          <w:sz w:val="32"/>
          <w:szCs w:val="32"/>
        </w:rPr>
        <w:t>迅速采取补救措施。</w:t>
      </w:r>
    </w:p>
    <w:p>
      <w:pPr>
        <w:spacing w:line="560" w:lineRule="exact"/>
        <w:ind w:firstLine="640" w:firstLineChars="200"/>
        <w:rPr>
          <w:rFonts w:eastAsia="仿宋_GB2312"/>
          <w:sz w:val="32"/>
          <w:szCs w:val="32"/>
        </w:rPr>
      </w:pPr>
      <w:r>
        <w:rPr>
          <w:rFonts w:eastAsia="仿宋_GB2312"/>
          <w:sz w:val="32"/>
          <w:szCs w:val="32"/>
        </w:rPr>
        <w:t>本工程</w:t>
      </w:r>
      <w:r>
        <w:rPr>
          <w:rFonts w:hint="eastAsia" w:eastAsia="仿宋_GB2312"/>
          <w:sz w:val="32"/>
          <w:szCs w:val="32"/>
        </w:rPr>
        <w:t>项目区用地</w:t>
      </w:r>
      <w:r>
        <w:rPr>
          <w:rFonts w:eastAsia="仿宋_GB2312"/>
          <w:sz w:val="32"/>
          <w:szCs w:val="32"/>
        </w:rPr>
        <w:t>范围，包括施工时对外交通、道路、通讯线路、电力设施</w:t>
      </w:r>
      <w:r>
        <w:rPr>
          <w:rFonts w:hint="eastAsia" w:eastAsia="仿宋_GB2312"/>
          <w:sz w:val="32"/>
          <w:szCs w:val="32"/>
        </w:rPr>
        <w:t>等管理范围。</w:t>
      </w:r>
      <w:r>
        <w:rPr>
          <w:rFonts w:eastAsia="仿宋_GB2312"/>
          <w:sz w:val="32"/>
          <w:szCs w:val="32"/>
        </w:rPr>
        <w:t>在边界设置明显的标志，在管理范围内严禁外单位和个人进行</w:t>
      </w:r>
      <w:r>
        <w:rPr>
          <w:rFonts w:hint="eastAsia" w:eastAsia="仿宋_GB2312"/>
          <w:sz w:val="32"/>
          <w:szCs w:val="32"/>
        </w:rPr>
        <w:t>影响该工程建设的</w:t>
      </w:r>
      <w:r>
        <w:rPr>
          <w:rFonts w:eastAsia="仿宋_GB2312"/>
          <w:sz w:val="32"/>
          <w:szCs w:val="32"/>
        </w:rPr>
        <w:t>生产性活动。</w:t>
      </w:r>
    </w:p>
    <w:p>
      <w:pPr>
        <w:spacing w:line="560" w:lineRule="exact"/>
        <w:ind w:firstLine="640" w:firstLineChars="200"/>
        <w:rPr>
          <w:rFonts w:eastAsia="仿宋_GB2312"/>
          <w:sz w:val="32"/>
          <w:szCs w:val="32"/>
        </w:rPr>
      </w:pPr>
      <w:r>
        <w:rPr>
          <w:rFonts w:eastAsia="仿宋_GB2312"/>
          <w:sz w:val="32"/>
          <w:szCs w:val="32"/>
        </w:rPr>
        <w:t>主要工作内容有：</w:t>
      </w:r>
    </w:p>
    <w:p>
      <w:pPr>
        <w:spacing w:line="560" w:lineRule="exact"/>
        <w:ind w:firstLine="640" w:firstLineChars="200"/>
        <w:rPr>
          <w:rFonts w:hint="eastAsia" w:eastAsia="仿宋_GB2312"/>
          <w:sz w:val="32"/>
          <w:szCs w:val="32"/>
        </w:rPr>
      </w:pPr>
      <w:r>
        <w:rPr>
          <w:rFonts w:hint="eastAsia" w:eastAsia="仿宋_GB2312"/>
          <w:sz w:val="32"/>
          <w:szCs w:val="32"/>
        </w:rPr>
        <w:t>1、</w:t>
      </w:r>
      <w:r>
        <w:rPr>
          <w:rFonts w:eastAsia="仿宋_GB2312"/>
          <w:sz w:val="32"/>
          <w:szCs w:val="32"/>
        </w:rPr>
        <w:t>工程项目严格按基建程序办事，完善项目申报制度</w:t>
      </w:r>
      <w:r>
        <w:rPr>
          <w:rFonts w:hint="eastAsia" w:eastAsia="仿宋_GB2312"/>
          <w:sz w:val="32"/>
          <w:szCs w:val="32"/>
        </w:rPr>
        <w:t>。</w:t>
      </w:r>
    </w:p>
    <w:p>
      <w:pPr>
        <w:spacing w:line="560" w:lineRule="exact"/>
        <w:ind w:firstLine="640" w:firstLineChars="200"/>
        <w:rPr>
          <w:rFonts w:hint="eastAsia" w:eastAsia="仿宋_GB2312"/>
          <w:sz w:val="32"/>
          <w:szCs w:val="32"/>
        </w:rPr>
      </w:pPr>
      <w:r>
        <w:rPr>
          <w:rFonts w:hint="eastAsia" w:eastAsia="仿宋_GB2312"/>
          <w:sz w:val="32"/>
          <w:szCs w:val="32"/>
        </w:rPr>
        <w:t>2、</w:t>
      </w:r>
      <w:r>
        <w:rPr>
          <w:rFonts w:eastAsia="仿宋_GB2312"/>
          <w:sz w:val="32"/>
          <w:szCs w:val="32"/>
        </w:rPr>
        <w:t>建立健全工程质量保证体系，强化质量意识，实行工程质量终身负责制，各项工程项目实行质量一票否决制</w:t>
      </w:r>
      <w:r>
        <w:rPr>
          <w:rFonts w:hint="eastAsia" w:eastAsia="仿宋_GB2312"/>
          <w:sz w:val="32"/>
          <w:szCs w:val="32"/>
        </w:rPr>
        <w:t>。</w:t>
      </w:r>
    </w:p>
    <w:p>
      <w:pPr>
        <w:spacing w:line="560" w:lineRule="exact"/>
        <w:ind w:firstLine="640" w:firstLineChars="200"/>
        <w:rPr>
          <w:rFonts w:hint="eastAsia" w:eastAsia="仿宋_GB2312"/>
          <w:sz w:val="32"/>
          <w:szCs w:val="32"/>
        </w:rPr>
      </w:pPr>
      <w:r>
        <w:rPr>
          <w:rFonts w:hint="eastAsia" w:eastAsia="仿宋_GB2312"/>
          <w:sz w:val="32"/>
          <w:szCs w:val="32"/>
        </w:rPr>
        <w:t>3、</w:t>
      </w:r>
      <w:r>
        <w:rPr>
          <w:rFonts w:eastAsia="仿宋_GB2312"/>
          <w:sz w:val="32"/>
          <w:szCs w:val="32"/>
        </w:rPr>
        <w:t>切实</w:t>
      </w:r>
      <w:r>
        <w:rPr>
          <w:rFonts w:hint="eastAsia" w:eastAsia="仿宋_GB2312"/>
          <w:sz w:val="32"/>
          <w:szCs w:val="32"/>
        </w:rPr>
        <w:t>执</w:t>
      </w:r>
      <w:r>
        <w:rPr>
          <w:rFonts w:eastAsia="仿宋_GB2312"/>
          <w:sz w:val="32"/>
          <w:szCs w:val="32"/>
        </w:rPr>
        <w:t>行建设工程的</w:t>
      </w:r>
      <w:r>
        <w:rPr>
          <w:rFonts w:hint="eastAsia" w:eastAsia="仿宋_GB2312"/>
          <w:sz w:val="32"/>
          <w:szCs w:val="32"/>
        </w:rPr>
        <w:t>“四</w:t>
      </w:r>
      <w:r>
        <w:rPr>
          <w:rFonts w:eastAsia="仿宋_GB2312"/>
          <w:sz w:val="32"/>
          <w:szCs w:val="32"/>
        </w:rPr>
        <w:t>项制度</w:t>
      </w:r>
      <w:r>
        <w:rPr>
          <w:rFonts w:hint="eastAsia" w:eastAsia="仿宋_GB2312"/>
          <w:sz w:val="32"/>
          <w:szCs w:val="32"/>
        </w:rPr>
        <w:t>”</w:t>
      </w:r>
      <w:r>
        <w:rPr>
          <w:rFonts w:eastAsia="仿宋_GB2312"/>
          <w:sz w:val="32"/>
          <w:szCs w:val="32"/>
        </w:rPr>
        <w:t>，即业主负责制，</w:t>
      </w:r>
      <w:r>
        <w:rPr>
          <w:rFonts w:hint="eastAsia" w:eastAsia="仿宋_GB2312"/>
          <w:sz w:val="32"/>
          <w:szCs w:val="32"/>
        </w:rPr>
        <w:t>合同管理制、</w:t>
      </w:r>
      <w:r>
        <w:rPr>
          <w:rFonts w:eastAsia="仿宋_GB2312"/>
          <w:sz w:val="32"/>
          <w:szCs w:val="32"/>
        </w:rPr>
        <w:t>招标投标制，工程监理制</w:t>
      </w:r>
      <w:r>
        <w:rPr>
          <w:rFonts w:hint="eastAsia" w:eastAsia="仿宋_GB2312"/>
          <w:sz w:val="32"/>
          <w:szCs w:val="32"/>
        </w:rPr>
        <w:t>。</w:t>
      </w:r>
    </w:p>
    <w:p>
      <w:pPr>
        <w:spacing w:line="560" w:lineRule="exact"/>
        <w:ind w:firstLine="640" w:firstLineChars="200"/>
        <w:rPr>
          <w:rFonts w:eastAsia="仿宋_GB2312"/>
          <w:sz w:val="32"/>
          <w:szCs w:val="32"/>
        </w:rPr>
      </w:pPr>
      <w:r>
        <w:rPr>
          <w:rFonts w:hint="eastAsia" w:eastAsia="仿宋_GB2312"/>
          <w:sz w:val="32"/>
          <w:szCs w:val="32"/>
        </w:rPr>
        <w:t>4、</w:t>
      </w:r>
      <w:r>
        <w:rPr>
          <w:rFonts w:eastAsia="仿宋_GB2312"/>
          <w:sz w:val="32"/>
          <w:szCs w:val="32"/>
        </w:rPr>
        <w:t>协调监理，设计、施工各方面关系</w:t>
      </w:r>
      <w:r>
        <w:rPr>
          <w:rFonts w:hint="eastAsia" w:eastAsia="仿宋_GB2312"/>
          <w:sz w:val="32"/>
          <w:szCs w:val="32"/>
        </w:rPr>
        <w:t>。</w:t>
      </w:r>
    </w:p>
    <w:p>
      <w:pPr>
        <w:spacing w:line="560" w:lineRule="exact"/>
        <w:ind w:firstLine="640" w:firstLineChars="200"/>
        <w:rPr>
          <w:rFonts w:hint="eastAsia" w:eastAsia="仿宋_GB2312"/>
          <w:sz w:val="32"/>
          <w:szCs w:val="32"/>
        </w:rPr>
      </w:pPr>
      <w:r>
        <w:rPr>
          <w:rFonts w:hint="eastAsia" w:eastAsia="仿宋_GB2312"/>
          <w:sz w:val="32"/>
          <w:szCs w:val="32"/>
        </w:rPr>
        <w:t>5、</w:t>
      </w:r>
      <w:r>
        <w:rPr>
          <w:rFonts w:eastAsia="仿宋_GB2312"/>
          <w:sz w:val="32"/>
          <w:szCs w:val="32"/>
        </w:rPr>
        <w:t>抓好工程项目建设进度计划及器材管理，抓好工程各阶段验收及竣工验收和组织管理</w:t>
      </w:r>
      <w:r>
        <w:rPr>
          <w:rFonts w:hint="eastAsia" w:eastAsia="仿宋_GB2312"/>
          <w:sz w:val="32"/>
          <w:szCs w:val="32"/>
        </w:rPr>
        <w:t>。</w:t>
      </w:r>
    </w:p>
    <w:p>
      <w:pPr>
        <w:spacing w:line="560" w:lineRule="exact"/>
        <w:ind w:firstLine="640" w:firstLineChars="200"/>
        <w:rPr>
          <w:rFonts w:hint="eastAsia" w:eastAsia="仿宋_GB2312"/>
          <w:sz w:val="32"/>
          <w:szCs w:val="32"/>
        </w:rPr>
      </w:pPr>
      <w:r>
        <w:rPr>
          <w:rFonts w:hint="eastAsia" w:eastAsia="仿宋_GB2312"/>
          <w:sz w:val="32"/>
          <w:szCs w:val="32"/>
        </w:rPr>
        <w:t>6、</w:t>
      </w:r>
      <w:r>
        <w:rPr>
          <w:rFonts w:eastAsia="仿宋_GB2312"/>
          <w:sz w:val="32"/>
          <w:szCs w:val="32"/>
        </w:rPr>
        <w:t>工程建设过程中所有技术和质量文件、施工和监理记录等资料都要建档保存，以便备查和追索。</w:t>
      </w:r>
    </w:p>
    <w:p>
      <w:pPr>
        <w:spacing w:line="560" w:lineRule="exact"/>
        <w:ind w:firstLine="640" w:firstLineChars="200"/>
        <w:rPr>
          <w:rFonts w:eastAsia="仿宋_GB2312"/>
          <w:sz w:val="32"/>
          <w:szCs w:val="32"/>
        </w:rPr>
      </w:pPr>
      <w:r>
        <w:rPr>
          <w:rFonts w:hint="eastAsia" w:eastAsia="仿宋_GB2312"/>
          <w:sz w:val="32"/>
          <w:szCs w:val="32"/>
        </w:rPr>
        <w:t>7、</w:t>
      </w:r>
      <w:r>
        <w:rPr>
          <w:rFonts w:eastAsia="仿宋_GB2312"/>
          <w:sz w:val="32"/>
          <w:szCs w:val="32"/>
        </w:rPr>
        <w:t>严格实行工程建设财务管理制度</w:t>
      </w:r>
      <w:r>
        <w:rPr>
          <w:rFonts w:hint="eastAsia" w:eastAsia="仿宋_GB2312"/>
          <w:sz w:val="32"/>
          <w:szCs w:val="32"/>
        </w:rPr>
        <w:t>。</w:t>
      </w:r>
    </w:p>
    <w:p>
      <w:pPr>
        <w:adjustRightInd w:val="0"/>
        <w:snapToGrid w:val="0"/>
        <w:spacing w:line="600" w:lineRule="exact"/>
        <w:ind w:firstLine="640" w:firstLineChars="200"/>
        <w:rPr>
          <w:rFonts w:eastAsia="黑体"/>
          <w:sz w:val="32"/>
          <w:szCs w:val="32"/>
        </w:rPr>
      </w:pPr>
      <w:r>
        <w:rPr>
          <w:rFonts w:eastAsia="黑体"/>
          <w:sz w:val="32"/>
          <w:szCs w:val="32"/>
        </w:rPr>
        <w:t>四、</w:t>
      </w:r>
      <w:r>
        <w:rPr>
          <w:rFonts w:hint="eastAsia" w:eastAsia="黑体"/>
          <w:sz w:val="32"/>
          <w:szCs w:val="32"/>
        </w:rPr>
        <w:t>项目</w:t>
      </w:r>
      <w:r>
        <w:rPr>
          <w:rFonts w:eastAsia="黑体"/>
          <w:sz w:val="32"/>
          <w:szCs w:val="32"/>
        </w:rPr>
        <w:t>绩效情况</w:t>
      </w:r>
    </w:p>
    <w:p>
      <w:pPr>
        <w:snapToGrid w:val="0"/>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础设施的建设，将有效地恢复和重建毛里湖湿地的生态功能和生态系统完整性，保护和改善湿地生物栖息环境，保护和恢复生物多样性，充分发挥毛里湖湿地在提供优质水源、净化水体、蓄水防洪、碳汇和净化空气、调节气候、休闲娱乐和文化科研等功能，从质与量上提高湿地公园的生态系统服务价值。</w:t>
      </w:r>
    </w:p>
    <w:p>
      <w:pPr>
        <w:snapToGrid w:val="0"/>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同时，湖南毛里湖国家湿地公园生态旅游区基础设施项目的建设产生显著的社会效益，主要表现在：</w:t>
      </w:r>
    </w:p>
    <w:p>
      <w:pPr>
        <w:snapToGrid w:val="0"/>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（1）发挥湿地公园的“窗口”作用，提高毛里湖和津市的知名度及影响力，对于提升津市的城市品位和整体价值具有重要意义；</w:t>
      </w:r>
    </w:p>
    <w:p>
      <w:pPr>
        <w:snapToGrid w:val="0"/>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（2）完善湿地保护网络体系，发挥湿地保护与科普生态教育功能，弘扬湿地文化；</w:t>
      </w:r>
    </w:p>
    <w:p>
      <w:pPr>
        <w:snapToGrid w:val="0"/>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（3）优化区域投资环境，提升毛里湖周边的土地利用价值，促进地方经济发展；</w:t>
      </w:r>
    </w:p>
    <w:p>
      <w:pPr>
        <w:snapToGrid w:val="0"/>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（4）丰富和优化津市旅游产品，提升旅游品质，发展毛里湖湿地生态休闲产业，转变沿湖农村的经济发展方式，增加农民的就业机会；</w:t>
      </w:r>
    </w:p>
    <w:p>
      <w:pPr>
        <w:snapToGrid w:val="0"/>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（5）改善周边居民生存环境，充分展示湘楚农耕文化和渔文化，形成比较浓厚的湿地文化氛同，满足人民群众日益增长的物质文化生活需要，对于构建和谐津市与新农村建设具有重要的现实意义。</w:t>
      </w:r>
    </w:p>
    <w:p>
      <w:pPr>
        <w:adjustRightInd w:val="0"/>
        <w:snapToGrid w:val="0"/>
        <w:spacing w:line="600" w:lineRule="exact"/>
        <w:ind w:firstLine="640" w:firstLineChars="200"/>
        <w:rPr>
          <w:rFonts w:eastAsia="黑体"/>
          <w:sz w:val="32"/>
          <w:szCs w:val="32"/>
        </w:rPr>
      </w:pPr>
      <w:r>
        <w:rPr>
          <w:rFonts w:hint="eastAsia" w:eastAsia="黑体"/>
          <w:sz w:val="32"/>
          <w:szCs w:val="32"/>
        </w:rPr>
        <w:t>五</w:t>
      </w:r>
      <w:r>
        <w:rPr>
          <w:rFonts w:eastAsia="黑体"/>
          <w:sz w:val="32"/>
          <w:szCs w:val="32"/>
        </w:rPr>
        <w:t>、其他需要说明的问题</w:t>
      </w:r>
    </w:p>
    <w:p>
      <w:pPr>
        <w:adjustRightInd w:val="0"/>
        <w:snapToGri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（一）所有项目都已完成竣工验收，并按审计结果支付到位。后续只需对已建设基础设施进行日常维护。</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（二）项目建设符合统筹规划，</w:t>
      </w:r>
      <w:r>
        <w:rPr>
          <w:rFonts w:ascii="仿宋_GB2312" w:hAnsi="仿宋_GB2312" w:eastAsia="仿宋_GB2312" w:cs="仿宋_GB2312"/>
          <w:sz w:val="32"/>
          <w:szCs w:val="32"/>
        </w:rPr>
        <w:t>总体布局以山水为依托，以文化为灵魂，以景观为主体，依山就势，临水发挥，实现工程建设与环境保护、文化传承与生态旅游有机融合。</w:t>
      </w:r>
    </w:p>
    <w:p>
      <w:pPr>
        <w:pStyle w:val="2"/>
        <w:spacing w:line="540" w:lineRule="exact"/>
        <w:ind w:firstLine="480"/>
        <w:textAlignment w:val="center"/>
        <w:rPr>
          <w:rFonts w:ascii="仿宋_GB2312" w:hAnsi="仿宋_GB2312" w:eastAsia="仿宋_GB2312" w:cs="仿宋_GB2312"/>
          <w:kern w:val="2"/>
          <w:sz w:val="32"/>
          <w:szCs w:val="32"/>
          <w:lang w:val="en-US"/>
        </w:rPr>
      </w:pPr>
      <w:r>
        <w:rPr>
          <w:rFonts w:ascii="仿宋_GB2312" w:hAnsi="仿宋_GB2312" w:eastAsia="仿宋_GB2312" w:cs="仿宋_GB2312"/>
          <w:kern w:val="2"/>
          <w:sz w:val="32"/>
          <w:szCs w:val="32"/>
          <w:lang w:val="en-US"/>
        </w:rPr>
        <w:t>项目建设期间产生的噪音、废水、废气对周围环境会产生一定影响，但随着工程结束而消失。</w:t>
      </w:r>
    </w:p>
    <w:p>
      <w:pPr>
        <w:pStyle w:val="2"/>
        <w:spacing w:line="540" w:lineRule="exact"/>
        <w:ind w:firstLine="480"/>
        <w:textAlignment w:val="center"/>
        <w:rPr>
          <w:rFonts w:hint="eastAsia" w:ascii="仿宋_GB2312" w:hAnsi="仿宋_GB2312" w:eastAsia="仿宋_GB2312" w:cs="仿宋_GB2312"/>
          <w:kern w:val="2"/>
          <w:sz w:val="32"/>
          <w:szCs w:val="32"/>
          <w:lang w:val="en-US"/>
        </w:rPr>
      </w:pPr>
      <w:r>
        <w:rPr>
          <w:rFonts w:ascii="仿宋_GB2312" w:hAnsi="仿宋_GB2312" w:eastAsia="仿宋_GB2312" w:cs="仿宋_GB2312"/>
          <w:kern w:val="2"/>
          <w:sz w:val="32"/>
          <w:szCs w:val="32"/>
          <w:lang w:val="en-US"/>
        </w:rPr>
        <w:t>工程施工期间，施工方要采用相应的减振、消声和隔音等措施，以减少对周边环境的影响。</w:t>
      </w:r>
    </w:p>
    <w:p>
      <w:pPr>
        <w:pStyle w:val="2"/>
        <w:spacing w:line="540" w:lineRule="exact"/>
        <w:ind w:firstLine="480"/>
        <w:textAlignment w:val="center"/>
        <w:rPr>
          <w:rFonts w:hint="eastAsia" w:ascii="仿宋_GB2312" w:hAnsi="仿宋_GB2312" w:eastAsia="仿宋_GB2312" w:cs="仿宋_GB2312"/>
          <w:kern w:val="2"/>
          <w:sz w:val="32"/>
          <w:szCs w:val="32"/>
          <w:lang w:val="en-US"/>
        </w:rPr>
      </w:pPr>
      <w:r>
        <w:rPr>
          <w:rFonts w:hint="eastAsia" w:ascii="仿宋_GB2312" w:hAnsi="仿宋_GB2312" w:eastAsia="仿宋_GB2312" w:cs="仿宋_GB2312"/>
          <w:kern w:val="2"/>
          <w:sz w:val="32"/>
          <w:szCs w:val="32"/>
          <w:lang w:val="en-US"/>
        </w:rPr>
        <w:t>综上所述，该项目属于污染因素较简单、污染物种类少、毒性低的无特别环境影响的建设项目，在施工及运营期，加强管理，严格按照有关标准执行环保措施，不会对环境产生影响。</w:t>
      </w:r>
    </w:p>
    <w:p>
      <w:pPr>
        <w:pStyle w:val="2"/>
        <w:spacing w:line="540" w:lineRule="exact"/>
        <w:ind w:firstLine="480"/>
        <w:textAlignment w:val="center"/>
        <w:rPr>
          <w:rFonts w:hint="eastAsia" w:ascii="仿宋_GB2312" w:hAnsi="仿宋_GB2312" w:eastAsia="仿宋_GB2312" w:cs="仿宋_GB2312"/>
          <w:kern w:val="2"/>
          <w:sz w:val="32"/>
          <w:szCs w:val="32"/>
          <w:lang w:val="en-US"/>
        </w:rPr>
      </w:pPr>
      <w:r>
        <w:rPr>
          <w:rFonts w:hint="eastAsia" w:ascii="仿宋_GB2312" w:hAnsi="仿宋_GB2312" w:eastAsia="仿宋_GB2312" w:cs="仿宋_GB2312"/>
          <w:kern w:val="2"/>
          <w:sz w:val="32"/>
          <w:szCs w:val="32"/>
          <w:lang w:val="en-US"/>
        </w:rPr>
        <w:t>建议对周边各种不利的环境景观，采取种植树木的措施，美化环境，降低对周边环境的影响。</w:t>
      </w:r>
    </w:p>
    <w:p>
      <w:pPr>
        <w:adjustRightInd w:val="0"/>
        <w:snapToGrid w:val="0"/>
        <w:spacing w:line="600" w:lineRule="exact"/>
        <w:ind w:firstLine="640" w:firstLineChars="200"/>
        <w:rPr>
          <w:rFonts w:hint="eastAsia" w:ascii="仿宋_GB2312" w:hAnsi="仿宋_GB2312" w:eastAsia="仿宋_GB2312" w:cs="仿宋_GB2312"/>
          <w:sz w:val="32"/>
          <w:szCs w:val="32"/>
          <w:lang w:val="en-GB"/>
        </w:rPr>
      </w:pPr>
    </w:p>
    <w:p>
      <w:pPr>
        <w:adjustRightInd w:val="0"/>
        <w:snapToGrid w:val="0"/>
        <w:spacing w:line="600" w:lineRule="exact"/>
        <w:ind w:firstLine="640" w:firstLineChars="200"/>
        <w:rPr>
          <w:rFonts w:hint="eastAsia" w:ascii="仿宋_GB2312" w:hAnsi="仿宋_GB2312" w:eastAsia="仿宋_GB2312" w:cs="仿宋_GB2312"/>
          <w:sz w:val="32"/>
          <w:szCs w:val="32"/>
        </w:rPr>
      </w:pPr>
    </w:p>
    <w:p>
      <w:pPr>
        <w:adjustRightInd w:val="0"/>
        <w:snapToGrid w:val="0"/>
        <w:spacing w:line="600" w:lineRule="exact"/>
        <w:ind w:firstLine="640" w:firstLineChars="200"/>
        <w:rPr>
          <w:rFonts w:eastAsia="仿宋_GB2312"/>
          <w:sz w:val="32"/>
          <w:szCs w:val="32"/>
        </w:rPr>
        <w:sectPr>
          <w:pgSz w:w="11906" w:h="16838"/>
          <w:pgMar w:top="1440" w:right="1800" w:bottom="1440" w:left="1800" w:header="851" w:footer="992" w:gutter="0"/>
          <w:cols w:space="425" w:num="1"/>
          <w:docGrid w:type="lines" w:linePitch="312" w:charSpace="0"/>
        </w:sectPr>
      </w:pPr>
      <w:r>
        <w:rPr>
          <w:rFonts w:eastAsia="仿宋_GB2312"/>
          <w:sz w:val="32"/>
          <w:szCs w:val="32"/>
        </w:rPr>
        <w:t>附件：</w:t>
      </w:r>
      <w:r>
        <w:rPr>
          <w:rFonts w:hint="eastAsia" w:eastAsia="仿宋_GB2312"/>
          <w:sz w:val="32"/>
          <w:szCs w:val="32"/>
        </w:rPr>
        <w:t>项目支出绩效自评表</w:t>
      </w:r>
    </w:p>
    <w:tbl>
      <w:tblPr>
        <w:tblStyle w:val="5"/>
        <w:tblW w:w="9999" w:type="dxa"/>
        <w:jc w:val="center"/>
        <w:tblLayout w:type="autofit"/>
        <w:tblCellMar>
          <w:top w:w="0" w:type="dxa"/>
          <w:left w:w="108" w:type="dxa"/>
          <w:bottom w:w="0" w:type="dxa"/>
          <w:right w:w="108" w:type="dxa"/>
        </w:tblCellMar>
      </w:tblPr>
      <w:tblGrid>
        <w:gridCol w:w="1135"/>
        <w:gridCol w:w="992"/>
        <w:gridCol w:w="1261"/>
        <w:gridCol w:w="1275"/>
        <w:gridCol w:w="1083"/>
        <w:gridCol w:w="1134"/>
        <w:gridCol w:w="828"/>
        <w:gridCol w:w="873"/>
        <w:gridCol w:w="1418"/>
      </w:tblGrid>
      <w:tr>
        <w:tblPrEx>
          <w:tblCellMar>
            <w:top w:w="0" w:type="dxa"/>
            <w:left w:w="108" w:type="dxa"/>
            <w:bottom w:w="0" w:type="dxa"/>
            <w:right w:w="108" w:type="dxa"/>
          </w:tblCellMar>
        </w:tblPrEx>
        <w:trPr>
          <w:trHeight w:val="1165" w:hRule="atLeast"/>
          <w:jc w:val="center"/>
        </w:trPr>
        <w:tc>
          <w:tcPr>
            <w:tcW w:w="9999" w:type="dxa"/>
            <w:gridSpan w:val="9"/>
            <w:tcBorders>
              <w:top w:val="nil"/>
              <w:left w:val="nil"/>
              <w:bottom w:val="nil"/>
              <w:right w:val="nil"/>
            </w:tcBorders>
            <w:noWrap/>
            <w:vAlign w:val="center"/>
          </w:tcPr>
          <w:p>
            <w:pPr>
              <w:widowControl/>
              <w:rPr>
                <w:rFonts w:ascii="黑体" w:hAnsi="黑体" w:eastAsia="黑体" w:cs="黑体"/>
                <w:color w:val="000000"/>
                <w:kern w:val="0"/>
                <w:sz w:val="32"/>
                <w:szCs w:val="32"/>
              </w:rPr>
            </w:pPr>
            <w:r>
              <w:rPr>
                <w:rFonts w:hint="eastAsia" w:ascii="黑体" w:hAnsi="黑体" w:eastAsia="黑体" w:cs="黑体"/>
                <w:color w:val="000000"/>
                <w:kern w:val="0"/>
                <w:sz w:val="32"/>
                <w:szCs w:val="32"/>
              </w:rPr>
              <w:t>附件：</w:t>
            </w:r>
          </w:p>
          <w:p>
            <w:pPr>
              <w:widowControl/>
              <w:jc w:val="center"/>
              <w:rPr>
                <w:rFonts w:eastAsia="方正小标宋_GBK"/>
                <w:color w:val="000000"/>
                <w:kern w:val="0"/>
                <w:sz w:val="36"/>
                <w:szCs w:val="36"/>
              </w:rPr>
            </w:pPr>
            <w:r>
              <w:rPr>
                <w:rFonts w:hint="eastAsia" w:eastAsia="方正小标宋_GBK"/>
                <w:color w:val="000000"/>
                <w:kern w:val="0"/>
                <w:sz w:val="36"/>
                <w:szCs w:val="36"/>
              </w:rPr>
              <w:t>项目</w:t>
            </w:r>
            <w:r>
              <w:rPr>
                <w:rFonts w:eastAsia="方正小标宋_GBK"/>
                <w:color w:val="000000"/>
                <w:kern w:val="0"/>
                <w:sz w:val="36"/>
                <w:szCs w:val="36"/>
              </w:rPr>
              <w:t>支出绩效自评表</w:t>
            </w:r>
          </w:p>
        </w:tc>
      </w:tr>
      <w:tr>
        <w:tblPrEx>
          <w:tblCellMar>
            <w:top w:w="0" w:type="dxa"/>
            <w:left w:w="108" w:type="dxa"/>
            <w:bottom w:w="0" w:type="dxa"/>
            <w:right w:w="108" w:type="dxa"/>
          </w:tblCellMar>
        </w:tblPrEx>
        <w:trPr>
          <w:trHeight w:val="270" w:hRule="atLeast"/>
          <w:jc w:val="center"/>
        </w:trPr>
        <w:tc>
          <w:tcPr>
            <w:tcW w:w="9999" w:type="dxa"/>
            <w:gridSpan w:val="9"/>
            <w:tcBorders>
              <w:top w:val="nil"/>
              <w:left w:val="nil"/>
              <w:bottom w:val="single" w:color="auto" w:sz="4" w:space="0"/>
              <w:right w:val="nil"/>
            </w:tcBorders>
            <w:noWrap/>
            <w:vAlign w:val="center"/>
          </w:tcPr>
          <w:p>
            <w:pPr>
              <w:widowControl/>
              <w:jc w:val="center"/>
              <w:rPr>
                <w:color w:val="000000"/>
                <w:kern w:val="0"/>
                <w:sz w:val="22"/>
              </w:rPr>
            </w:pPr>
            <w:r>
              <w:rPr>
                <w:color w:val="000000"/>
                <w:kern w:val="0"/>
                <w:sz w:val="22"/>
              </w:rPr>
              <w:t>（</w:t>
            </w:r>
            <w:r>
              <w:rPr>
                <w:rFonts w:hint="eastAsia"/>
                <w:color w:val="000000"/>
                <w:kern w:val="0"/>
                <w:sz w:val="22"/>
              </w:rPr>
              <w:t>2021</w:t>
            </w:r>
            <w:r>
              <w:rPr>
                <w:color w:val="000000"/>
                <w:kern w:val="0"/>
                <w:sz w:val="22"/>
              </w:rPr>
              <w:t>年度）</w:t>
            </w:r>
          </w:p>
        </w:tc>
      </w:tr>
      <w:tr>
        <w:tblPrEx>
          <w:tblCellMar>
            <w:top w:w="0" w:type="dxa"/>
            <w:left w:w="108" w:type="dxa"/>
            <w:bottom w:w="0" w:type="dxa"/>
            <w:right w:w="108" w:type="dxa"/>
          </w:tblCellMar>
        </w:tblPrEx>
        <w:trPr>
          <w:trHeight w:val="585" w:hRule="atLeast"/>
          <w:jc w:val="center"/>
        </w:trPr>
        <w:tc>
          <w:tcPr>
            <w:tcW w:w="1135" w:type="dxa"/>
            <w:tcBorders>
              <w:top w:val="nil"/>
              <w:left w:val="single" w:color="auto" w:sz="4" w:space="0"/>
              <w:bottom w:val="single" w:color="auto" w:sz="4" w:space="0"/>
              <w:right w:val="single" w:color="auto" w:sz="4" w:space="0"/>
            </w:tcBorders>
            <w:vAlign w:val="center"/>
          </w:tcPr>
          <w:p>
            <w:pPr>
              <w:widowControl/>
              <w:spacing w:line="260" w:lineRule="exact"/>
              <w:jc w:val="center"/>
              <w:rPr>
                <w:rFonts w:eastAsia="仿宋_GB2312"/>
                <w:color w:val="000000"/>
                <w:kern w:val="0"/>
                <w:szCs w:val="21"/>
              </w:rPr>
            </w:pPr>
            <w:r>
              <w:rPr>
                <w:rFonts w:eastAsia="仿宋_GB2312"/>
                <w:color w:val="000000"/>
                <w:kern w:val="0"/>
                <w:szCs w:val="21"/>
              </w:rPr>
              <w:t>项目支</w:t>
            </w:r>
          </w:p>
          <w:p>
            <w:pPr>
              <w:widowControl/>
              <w:spacing w:line="260" w:lineRule="exact"/>
              <w:jc w:val="center"/>
              <w:rPr>
                <w:rFonts w:eastAsia="仿宋_GB2312"/>
                <w:color w:val="000000"/>
                <w:kern w:val="0"/>
                <w:szCs w:val="21"/>
              </w:rPr>
            </w:pPr>
            <w:r>
              <w:rPr>
                <w:rFonts w:eastAsia="仿宋_GB2312"/>
                <w:color w:val="000000"/>
                <w:kern w:val="0"/>
                <w:szCs w:val="21"/>
              </w:rPr>
              <w:t>出名称</w:t>
            </w:r>
          </w:p>
        </w:tc>
        <w:tc>
          <w:tcPr>
            <w:tcW w:w="8864" w:type="dxa"/>
            <w:gridSpan w:val="8"/>
            <w:tcBorders>
              <w:top w:val="single" w:color="auto" w:sz="4" w:space="0"/>
              <w:left w:val="nil"/>
              <w:bottom w:val="single" w:color="auto" w:sz="4" w:space="0"/>
              <w:right w:val="single" w:color="000000" w:sz="4" w:space="0"/>
            </w:tcBorders>
            <w:vAlign w:val="center"/>
          </w:tcPr>
          <w:p>
            <w:pPr>
              <w:widowControl/>
              <w:jc w:val="center"/>
              <w:rPr>
                <w:rFonts w:eastAsia="仿宋_GB2312"/>
                <w:color w:val="000000"/>
                <w:kern w:val="0"/>
                <w:szCs w:val="21"/>
              </w:rPr>
            </w:pPr>
            <w:r>
              <w:rPr>
                <w:rFonts w:hint="eastAsia" w:eastAsia="仿宋_GB2312"/>
                <w:color w:val="000000"/>
                <w:kern w:val="0"/>
                <w:szCs w:val="21"/>
                <w:lang w:eastAsia="zh-CN"/>
              </w:rPr>
              <w:t>毛里湖湿地公园建设投资</w:t>
            </w: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tcBorders>
              <w:top w:val="nil"/>
              <w:left w:val="single" w:color="auto" w:sz="4" w:space="0"/>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主管部门</w:t>
            </w:r>
          </w:p>
        </w:tc>
        <w:tc>
          <w:tcPr>
            <w:tcW w:w="4611" w:type="dxa"/>
            <w:gridSpan w:val="4"/>
            <w:tcBorders>
              <w:top w:val="single" w:color="auto" w:sz="4" w:space="0"/>
              <w:left w:val="nil"/>
              <w:bottom w:val="single" w:color="auto" w:sz="4" w:space="0"/>
              <w:right w:val="single" w:color="auto" w:sz="4" w:space="0"/>
            </w:tcBorders>
            <w:vAlign w:val="center"/>
          </w:tcPr>
          <w:p>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湖南津市毛里湖国家湿地公园管理处</w:t>
            </w:r>
          </w:p>
        </w:tc>
        <w:tc>
          <w:tcPr>
            <w:tcW w:w="1134" w:type="dxa"/>
            <w:tcBorders>
              <w:top w:val="single" w:color="auto" w:sz="4" w:space="0"/>
              <w:left w:val="nil"/>
              <w:bottom w:val="single" w:color="auto" w:sz="4" w:space="0"/>
              <w:right w:val="single" w:color="000000" w:sz="4" w:space="0"/>
            </w:tcBorders>
            <w:vAlign w:val="center"/>
          </w:tcPr>
          <w:p>
            <w:pPr>
              <w:widowControl/>
              <w:jc w:val="center"/>
              <w:rPr>
                <w:rFonts w:eastAsia="仿宋_GB2312"/>
                <w:color w:val="000000"/>
                <w:kern w:val="0"/>
                <w:szCs w:val="21"/>
              </w:rPr>
            </w:pPr>
            <w:r>
              <w:rPr>
                <w:rFonts w:eastAsia="仿宋_GB2312"/>
                <w:color w:val="000000"/>
                <w:kern w:val="0"/>
                <w:szCs w:val="21"/>
              </w:rPr>
              <w:t>实施单位</w:t>
            </w:r>
          </w:p>
        </w:tc>
        <w:tc>
          <w:tcPr>
            <w:tcW w:w="3119" w:type="dxa"/>
            <w:gridSpan w:val="3"/>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hint="eastAsia" w:eastAsia="仿宋_GB2312"/>
                <w:color w:val="000000"/>
                <w:kern w:val="0"/>
                <w:szCs w:val="21"/>
                <w:lang w:eastAsia="zh-CN"/>
              </w:rPr>
              <w:t>湖南毛里湖大野生态建设开发有限公司</w:t>
            </w:r>
          </w:p>
        </w:tc>
      </w:tr>
      <w:tr>
        <w:tblPrEx>
          <w:tblCellMar>
            <w:top w:w="0" w:type="dxa"/>
            <w:left w:w="108" w:type="dxa"/>
            <w:bottom w:w="0" w:type="dxa"/>
            <w:right w:w="108" w:type="dxa"/>
          </w:tblCellMar>
        </w:tblPrEx>
        <w:trPr>
          <w:trHeight w:val="340" w:hRule="atLeast"/>
          <w:jc w:val="center"/>
        </w:trPr>
        <w:tc>
          <w:tcPr>
            <w:tcW w:w="1135"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color w:val="000000"/>
                <w:kern w:val="0"/>
                <w:szCs w:val="21"/>
              </w:rPr>
            </w:pPr>
            <w:r>
              <w:rPr>
                <w:rFonts w:eastAsia="仿宋_GB2312"/>
                <w:color w:val="000000"/>
                <w:kern w:val="0"/>
                <w:szCs w:val="21"/>
              </w:rPr>
              <w:t>项目资金</w:t>
            </w:r>
            <w:r>
              <w:rPr>
                <w:rFonts w:eastAsia="仿宋_GB2312"/>
                <w:color w:val="000000"/>
                <w:kern w:val="0"/>
                <w:szCs w:val="21"/>
              </w:rPr>
              <w:br w:type="textWrapping"/>
            </w:r>
            <w:r>
              <w:rPr>
                <w:rFonts w:eastAsia="仿宋_GB2312"/>
                <w:color w:val="000000"/>
                <w:kern w:val="0"/>
                <w:szCs w:val="21"/>
              </w:rPr>
              <w:t>（万元）</w:t>
            </w:r>
          </w:p>
        </w:tc>
        <w:tc>
          <w:tcPr>
            <w:tcW w:w="2253" w:type="dxa"/>
            <w:gridSpan w:val="2"/>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1275"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年初预算数</w:t>
            </w:r>
          </w:p>
        </w:tc>
        <w:tc>
          <w:tcPr>
            <w:tcW w:w="1083"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全年预算数</w:t>
            </w:r>
          </w:p>
        </w:tc>
        <w:tc>
          <w:tcPr>
            <w:tcW w:w="1134" w:type="dxa"/>
            <w:tcBorders>
              <w:top w:val="nil"/>
              <w:left w:val="nil"/>
              <w:bottom w:val="single" w:color="auto" w:sz="4" w:space="0"/>
              <w:right w:val="single" w:color="auto" w:sz="4" w:space="0"/>
            </w:tcBorders>
          </w:tcPr>
          <w:p>
            <w:pPr>
              <w:rPr>
                <w:rFonts w:eastAsia="仿宋_GB2312"/>
                <w:szCs w:val="21"/>
              </w:rPr>
            </w:pPr>
            <w:r>
              <w:rPr>
                <w:rFonts w:eastAsia="仿宋_GB2312"/>
                <w:szCs w:val="21"/>
              </w:rPr>
              <w:t>全年执行数</w:t>
            </w:r>
          </w:p>
        </w:tc>
        <w:tc>
          <w:tcPr>
            <w:tcW w:w="828" w:type="dxa"/>
            <w:tcBorders>
              <w:top w:val="nil"/>
              <w:left w:val="nil"/>
              <w:bottom w:val="single" w:color="auto" w:sz="4" w:space="0"/>
              <w:right w:val="single" w:color="auto" w:sz="4" w:space="0"/>
            </w:tcBorders>
          </w:tcPr>
          <w:p>
            <w:pPr>
              <w:rPr>
                <w:rFonts w:eastAsia="仿宋_GB2312"/>
                <w:szCs w:val="21"/>
              </w:rPr>
            </w:pPr>
            <w:r>
              <w:rPr>
                <w:rFonts w:eastAsia="仿宋_GB2312"/>
                <w:szCs w:val="21"/>
              </w:rPr>
              <w:t>分值</w:t>
            </w:r>
          </w:p>
        </w:tc>
        <w:tc>
          <w:tcPr>
            <w:tcW w:w="873" w:type="dxa"/>
            <w:tcBorders>
              <w:top w:val="nil"/>
              <w:left w:val="nil"/>
              <w:bottom w:val="single" w:color="auto" w:sz="4" w:space="0"/>
              <w:right w:val="single" w:color="auto" w:sz="4" w:space="0"/>
            </w:tcBorders>
          </w:tcPr>
          <w:p>
            <w:pPr>
              <w:rPr>
                <w:rFonts w:eastAsia="仿宋_GB2312"/>
                <w:szCs w:val="21"/>
              </w:rPr>
            </w:pPr>
            <w:r>
              <w:rPr>
                <w:rFonts w:eastAsia="仿宋_GB2312"/>
                <w:szCs w:val="21"/>
              </w:rPr>
              <w:t>执行率</w:t>
            </w:r>
          </w:p>
        </w:tc>
        <w:tc>
          <w:tcPr>
            <w:tcW w:w="1418" w:type="dxa"/>
            <w:tcBorders>
              <w:top w:val="nil"/>
              <w:left w:val="nil"/>
              <w:bottom w:val="single" w:color="auto" w:sz="4" w:space="0"/>
              <w:right w:val="single" w:color="auto" w:sz="4" w:space="0"/>
            </w:tcBorders>
          </w:tcPr>
          <w:p>
            <w:pPr>
              <w:rPr>
                <w:rFonts w:eastAsia="仿宋_GB2312"/>
                <w:szCs w:val="21"/>
              </w:rPr>
            </w:pPr>
            <w:r>
              <w:rPr>
                <w:rFonts w:eastAsia="仿宋_GB2312"/>
                <w:szCs w:val="21"/>
              </w:rPr>
              <w:t>得分</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年度资金总额　</w:t>
            </w:r>
          </w:p>
        </w:tc>
        <w:tc>
          <w:tcPr>
            <w:tcW w:w="1275"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1083"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3061.42</w:t>
            </w:r>
          </w:p>
        </w:tc>
        <w:tc>
          <w:tcPr>
            <w:tcW w:w="828"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10</w:t>
            </w:r>
          </w:p>
        </w:tc>
        <w:tc>
          <w:tcPr>
            <w:tcW w:w="873" w:type="dxa"/>
            <w:tcBorders>
              <w:top w:val="nil"/>
              <w:left w:val="nil"/>
              <w:bottom w:val="single" w:color="auto" w:sz="4" w:space="0"/>
              <w:right w:val="single" w:color="auto" w:sz="4" w:space="0"/>
            </w:tcBorders>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90%</w:t>
            </w:r>
          </w:p>
        </w:tc>
        <w:tc>
          <w:tcPr>
            <w:tcW w:w="1418" w:type="dxa"/>
            <w:tcBorders>
              <w:top w:val="nil"/>
              <w:left w:val="nil"/>
              <w:bottom w:val="single" w:color="auto" w:sz="4" w:space="0"/>
              <w:right w:val="single" w:color="auto" w:sz="4" w:space="0"/>
            </w:tcBorders>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9</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其中：当年财政拨款　</w:t>
            </w:r>
          </w:p>
        </w:tc>
        <w:tc>
          <w:tcPr>
            <w:tcW w:w="1275"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1083"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vAlign w:val="center"/>
          </w:tcPr>
          <w:p>
            <w:pPr>
              <w:widowControl/>
              <w:ind w:firstLine="630" w:firstLineChars="300"/>
              <w:jc w:val="left"/>
              <w:rPr>
                <w:rFonts w:eastAsia="仿宋_GB2312"/>
                <w:color w:val="000000"/>
                <w:kern w:val="0"/>
                <w:szCs w:val="21"/>
              </w:rPr>
            </w:pPr>
            <w:r>
              <w:rPr>
                <w:rFonts w:eastAsia="仿宋_GB2312"/>
                <w:color w:val="000000"/>
                <w:kern w:val="0"/>
                <w:szCs w:val="21"/>
              </w:rPr>
              <w:t>上年结转资金　</w:t>
            </w:r>
          </w:p>
        </w:tc>
        <w:tc>
          <w:tcPr>
            <w:tcW w:w="1275"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1083"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vAlign w:val="center"/>
          </w:tcPr>
          <w:p>
            <w:pPr>
              <w:widowControl/>
              <w:ind w:firstLine="630" w:firstLineChars="300"/>
              <w:jc w:val="left"/>
              <w:rPr>
                <w:rFonts w:eastAsia="仿宋_GB2312"/>
                <w:color w:val="000000"/>
                <w:kern w:val="0"/>
                <w:szCs w:val="21"/>
              </w:rPr>
            </w:pPr>
            <w:r>
              <w:rPr>
                <w:rFonts w:eastAsia="仿宋_GB2312"/>
                <w:color w:val="000000"/>
                <w:kern w:val="0"/>
                <w:szCs w:val="21"/>
              </w:rPr>
              <w:t>其他资金</w:t>
            </w:r>
          </w:p>
        </w:tc>
        <w:tc>
          <w:tcPr>
            <w:tcW w:w="1275"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1083"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color w:val="000000"/>
                <w:kern w:val="0"/>
                <w:szCs w:val="21"/>
              </w:rPr>
            </w:pPr>
            <w:r>
              <w:rPr>
                <w:rFonts w:eastAsia="仿宋_GB2312"/>
                <w:color w:val="000000"/>
                <w:kern w:val="0"/>
                <w:szCs w:val="21"/>
              </w:rPr>
              <w:t>年度总</w:t>
            </w:r>
          </w:p>
          <w:p>
            <w:pPr>
              <w:widowControl/>
              <w:jc w:val="center"/>
              <w:rPr>
                <w:rFonts w:eastAsia="仿宋_GB2312"/>
                <w:color w:val="000000"/>
                <w:kern w:val="0"/>
                <w:szCs w:val="21"/>
              </w:rPr>
            </w:pPr>
            <w:r>
              <w:rPr>
                <w:rFonts w:eastAsia="仿宋_GB2312"/>
                <w:color w:val="000000"/>
                <w:kern w:val="0"/>
                <w:szCs w:val="21"/>
              </w:rPr>
              <w:t>体目标</w:t>
            </w:r>
          </w:p>
        </w:tc>
        <w:tc>
          <w:tcPr>
            <w:tcW w:w="4611" w:type="dxa"/>
            <w:gridSpan w:val="4"/>
            <w:tcBorders>
              <w:top w:val="single" w:color="auto" w:sz="4" w:space="0"/>
              <w:left w:val="nil"/>
              <w:bottom w:val="single" w:color="auto" w:sz="4" w:space="0"/>
              <w:right w:val="single" w:color="000000" w:sz="4" w:space="0"/>
            </w:tcBorders>
            <w:vAlign w:val="center"/>
          </w:tcPr>
          <w:p>
            <w:pPr>
              <w:widowControl/>
              <w:jc w:val="center"/>
              <w:rPr>
                <w:rFonts w:eastAsia="仿宋_GB2312"/>
                <w:color w:val="000000"/>
                <w:kern w:val="0"/>
                <w:szCs w:val="21"/>
              </w:rPr>
            </w:pPr>
            <w:r>
              <w:rPr>
                <w:rFonts w:eastAsia="仿宋_GB2312"/>
                <w:color w:val="000000"/>
                <w:kern w:val="0"/>
                <w:szCs w:val="21"/>
              </w:rPr>
              <w:t>预期目标</w:t>
            </w:r>
          </w:p>
        </w:tc>
        <w:tc>
          <w:tcPr>
            <w:tcW w:w="4253" w:type="dxa"/>
            <w:gridSpan w:val="4"/>
            <w:tcBorders>
              <w:top w:val="single" w:color="auto" w:sz="4" w:space="0"/>
              <w:left w:val="nil"/>
              <w:bottom w:val="single" w:color="auto" w:sz="4" w:space="0"/>
              <w:right w:val="single" w:color="auto" w:sz="4" w:space="0"/>
            </w:tcBorders>
            <w:vAlign w:val="center"/>
          </w:tcPr>
          <w:p>
            <w:pPr>
              <w:widowControl/>
              <w:jc w:val="center"/>
              <w:rPr>
                <w:rFonts w:eastAsia="仿宋_GB2312"/>
                <w:color w:val="000000"/>
                <w:kern w:val="0"/>
                <w:szCs w:val="21"/>
              </w:rPr>
            </w:pPr>
            <w:r>
              <w:rPr>
                <w:rFonts w:eastAsia="仿宋_GB2312"/>
                <w:color w:val="000000"/>
                <w:kern w:val="0"/>
                <w:szCs w:val="21"/>
              </w:rPr>
              <w:t>实际完成情况　</w:t>
            </w:r>
          </w:p>
        </w:tc>
      </w:tr>
      <w:tr>
        <w:tblPrEx>
          <w:tblCellMar>
            <w:top w:w="0" w:type="dxa"/>
            <w:left w:w="108" w:type="dxa"/>
            <w:bottom w:w="0" w:type="dxa"/>
            <w:right w:w="108" w:type="dxa"/>
          </w:tblCellMar>
        </w:tblPrEx>
        <w:trPr>
          <w:trHeight w:val="532" w:hRule="atLeast"/>
          <w:jc w:val="center"/>
        </w:trPr>
        <w:tc>
          <w:tcPr>
            <w:tcW w:w="1135" w:type="dxa"/>
            <w:vMerge w:val="continue"/>
            <w:tcBorders>
              <w:top w:val="nil"/>
              <w:left w:val="single" w:color="auto" w:sz="4" w:space="0"/>
              <w:bottom w:val="single" w:color="auto" w:sz="4" w:space="0"/>
              <w:right w:val="single" w:color="auto" w:sz="4" w:space="0"/>
            </w:tcBorders>
            <w:vAlign w:val="center"/>
          </w:tcPr>
          <w:p>
            <w:pPr>
              <w:widowControl/>
              <w:jc w:val="left"/>
              <w:rPr>
                <w:rFonts w:eastAsia="仿宋_GB2312"/>
                <w:color w:val="000000"/>
                <w:kern w:val="0"/>
                <w:szCs w:val="21"/>
              </w:rPr>
            </w:pPr>
          </w:p>
        </w:tc>
        <w:tc>
          <w:tcPr>
            <w:tcW w:w="4611" w:type="dxa"/>
            <w:gridSpan w:val="4"/>
            <w:tcBorders>
              <w:top w:val="single" w:color="auto" w:sz="4" w:space="0"/>
              <w:left w:val="nil"/>
              <w:bottom w:val="single" w:color="auto" w:sz="4" w:space="0"/>
              <w:right w:val="single" w:color="000000" w:sz="4" w:space="0"/>
            </w:tcBorders>
            <w:vAlign w:val="center"/>
          </w:tcPr>
          <w:p>
            <w:pPr>
              <w:widowControl/>
              <w:jc w:val="center"/>
              <w:rPr>
                <w:rFonts w:hint="eastAsia" w:eastAsia="仿宋_GB2312"/>
                <w:color w:val="000000"/>
                <w:kern w:val="0"/>
                <w:szCs w:val="21"/>
                <w:lang w:eastAsia="zh-CN"/>
              </w:rPr>
            </w:pPr>
            <w:r>
              <w:rPr>
                <w:rFonts w:hint="eastAsia" w:eastAsia="仿宋_GB2312"/>
                <w:color w:val="000000"/>
                <w:kern w:val="0"/>
                <w:szCs w:val="21"/>
                <w:lang w:eastAsia="zh-CN"/>
              </w:rPr>
              <w:t>完成毛里湖基础设施建设，将毛里湖建成全国一流、世界知名的湿地公园，湿地生物多样性保护示范基地</w:t>
            </w:r>
          </w:p>
        </w:tc>
        <w:tc>
          <w:tcPr>
            <w:tcW w:w="4253" w:type="dxa"/>
            <w:gridSpan w:val="4"/>
            <w:tcBorders>
              <w:top w:val="single" w:color="auto" w:sz="4" w:space="0"/>
              <w:left w:val="nil"/>
              <w:bottom w:val="single" w:color="auto" w:sz="4" w:space="0"/>
              <w:right w:val="single" w:color="auto" w:sz="4" w:space="0"/>
            </w:tcBorders>
            <w:vAlign w:val="center"/>
          </w:tcPr>
          <w:p>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目前在建工程已全部完工，工程资金均已拨付到位</w:t>
            </w:r>
          </w:p>
        </w:tc>
      </w:tr>
      <w:tr>
        <w:tblPrEx>
          <w:tblCellMar>
            <w:top w:w="0" w:type="dxa"/>
            <w:left w:w="108" w:type="dxa"/>
            <w:bottom w:w="0" w:type="dxa"/>
            <w:right w:w="108" w:type="dxa"/>
          </w:tblCellMar>
        </w:tblPrEx>
        <w:trPr>
          <w:trHeight w:val="868" w:hRule="atLeast"/>
          <w:jc w:val="center"/>
        </w:trPr>
        <w:tc>
          <w:tcPr>
            <w:tcW w:w="1135" w:type="dxa"/>
            <w:vMerge w:val="restart"/>
            <w:tcBorders>
              <w:top w:val="single" w:color="auto" w:sz="4" w:space="0"/>
              <w:left w:val="single" w:color="auto" w:sz="4" w:space="0"/>
              <w:right w:val="single" w:color="auto" w:sz="4" w:space="0"/>
            </w:tcBorders>
            <w:vAlign w:val="center"/>
          </w:tcPr>
          <w:p>
            <w:pPr>
              <w:widowControl/>
              <w:jc w:val="center"/>
              <w:rPr>
                <w:rFonts w:eastAsia="仿宋_GB2312"/>
                <w:color w:val="000000"/>
                <w:kern w:val="0"/>
                <w:szCs w:val="21"/>
              </w:rPr>
            </w:pPr>
            <w:r>
              <w:rPr>
                <w:rFonts w:eastAsia="仿宋_GB2312"/>
                <w:color w:val="000000"/>
                <w:kern w:val="0"/>
                <w:szCs w:val="21"/>
              </w:rPr>
              <w:t>绩</w:t>
            </w:r>
          </w:p>
          <w:p>
            <w:pPr>
              <w:widowControl/>
              <w:jc w:val="center"/>
              <w:rPr>
                <w:rFonts w:eastAsia="仿宋_GB2312"/>
                <w:color w:val="000000"/>
                <w:kern w:val="0"/>
                <w:szCs w:val="21"/>
              </w:rPr>
            </w:pPr>
            <w:r>
              <w:rPr>
                <w:rFonts w:eastAsia="仿宋_GB2312"/>
                <w:color w:val="000000"/>
                <w:kern w:val="0"/>
                <w:szCs w:val="21"/>
              </w:rPr>
              <w:t>效</w:t>
            </w:r>
          </w:p>
          <w:p>
            <w:pPr>
              <w:widowControl/>
              <w:jc w:val="center"/>
              <w:rPr>
                <w:rFonts w:eastAsia="仿宋_GB2312"/>
                <w:color w:val="000000"/>
                <w:kern w:val="0"/>
                <w:szCs w:val="21"/>
              </w:rPr>
            </w:pPr>
            <w:r>
              <w:rPr>
                <w:rFonts w:eastAsia="仿宋_GB2312"/>
                <w:color w:val="000000"/>
                <w:kern w:val="0"/>
                <w:szCs w:val="21"/>
              </w:rPr>
              <w:t>指</w:t>
            </w:r>
          </w:p>
          <w:p>
            <w:pPr>
              <w:widowControl/>
              <w:jc w:val="center"/>
              <w:rPr>
                <w:rFonts w:eastAsia="仿宋_GB2312"/>
                <w:color w:val="000000"/>
                <w:kern w:val="0"/>
                <w:szCs w:val="21"/>
              </w:rPr>
            </w:pPr>
            <w:r>
              <w:rPr>
                <w:rFonts w:eastAsia="仿宋_GB2312"/>
                <w:color w:val="000000"/>
                <w:kern w:val="0"/>
                <w:szCs w:val="21"/>
              </w:rPr>
              <w:t>标</w:t>
            </w:r>
          </w:p>
        </w:tc>
        <w:tc>
          <w:tcPr>
            <w:tcW w:w="99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126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eastAsia="仿宋_GB2312"/>
                <w:color w:val="000000"/>
                <w:kern w:val="0"/>
                <w:szCs w:val="21"/>
              </w:rPr>
            </w:pPr>
            <w:r>
              <w:rPr>
                <w:rFonts w:eastAsia="仿宋_GB2312"/>
                <w:color w:val="000000"/>
                <w:kern w:val="0"/>
                <w:szCs w:val="21"/>
              </w:rPr>
              <w:t>二级指标</w:t>
            </w:r>
          </w:p>
        </w:tc>
        <w:tc>
          <w:tcPr>
            <w:tcW w:w="12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108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eastAsia="仿宋_GB2312"/>
                <w:color w:val="000000"/>
                <w:kern w:val="0"/>
                <w:szCs w:val="21"/>
              </w:rPr>
            </w:pPr>
            <w:r>
              <w:rPr>
                <w:rFonts w:eastAsia="仿宋_GB2312"/>
                <w:color w:val="000000"/>
                <w:kern w:val="0"/>
                <w:szCs w:val="21"/>
              </w:rPr>
              <w:t>年度</w:t>
            </w:r>
          </w:p>
          <w:p>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113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eastAsia="仿宋_GB2312"/>
                <w:color w:val="000000"/>
                <w:kern w:val="0"/>
                <w:szCs w:val="21"/>
              </w:rPr>
            </w:pPr>
            <w:r>
              <w:rPr>
                <w:rFonts w:eastAsia="仿宋_GB2312"/>
                <w:color w:val="000000"/>
                <w:kern w:val="0"/>
                <w:szCs w:val="21"/>
              </w:rPr>
              <w:t>实际</w:t>
            </w:r>
          </w:p>
          <w:p>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82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87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141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eastAsia="仿宋_GB2312"/>
                <w:color w:val="000000"/>
                <w:kern w:val="0"/>
                <w:szCs w:val="21"/>
              </w:rPr>
            </w:pPr>
            <w:r>
              <w:rPr>
                <w:rFonts w:eastAsia="仿宋_GB2312"/>
                <w:color w:val="000000"/>
                <w:kern w:val="0"/>
                <w:szCs w:val="21"/>
              </w:rPr>
              <w:t>偏差原因</w:t>
            </w:r>
          </w:p>
          <w:p>
            <w:pPr>
              <w:widowControl/>
              <w:spacing w:line="240" w:lineRule="exact"/>
              <w:jc w:val="center"/>
              <w:rPr>
                <w:rFonts w:eastAsia="仿宋_GB2312"/>
                <w:color w:val="000000"/>
                <w:kern w:val="0"/>
                <w:szCs w:val="21"/>
              </w:rPr>
            </w:pPr>
            <w:r>
              <w:rPr>
                <w:rFonts w:eastAsia="仿宋_GB2312"/>
                <w:color w:val="000000"/>
                <w:kern w:val="0"/>
                <w:szCs w:val="21"/>
              </w:rPr>
              <w:t>分析及</w:t>
            </w:r>
          </w:p>
          <w:p>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vAlign w:val="center"/>
          </w:tcPr>
          <w:p>
            <w:pPr>
              <w:jc w:val="center"/>
              <w:rPr>
                <w:rFonts w:eastAsia="仿宋_GB2312"/>
                <w:color w:val="000000"/>
                <w:kern w:val="0"/>
                <w:szCs w:val="21"/>
              </w:rPr>
            </w:pPr>
          </w:p>
        </w:tc>
        <w:tc>
          <w:tcPr>
            <w:tcW w:w="992" w:type="dxa"/>
            <w:vMerge w:val="restart"/>
            <w:tcBorders>
              <w:top w:val="single" w:color="auto" w:sz="4" w:space="0"/>
              <w:left w:val="nil"/>
              <w:bottom w:val="single" w:color="auto" w:sz="4" w:space="0"/>
              <w:right w:val="single" w:color="auto" w:sz="4" w:space="0"/>
            </w:tcBorders>
            <w:vAlign w:val="center"/>
          </w:tcPr>
          <w:p>
            <w:pPr>
              <w:widowControl/>
              <w:jc w:val="center"/>
              <w:rPr>
                <w:rFonts w:eastAsia="仿宋_GB2312"/>
                <w:color w:val="000000"/>
                <w:kern w:val="0"/>
                <w:szCs w:val="21"/>
              </w:rPr>
            </w:pPr>
            <w:r>
              <w:rPr>
                <w:rFonts w:eastAsia="仿宋_GB2312"/>
                <w:color w:val="000000"/>
                <w:kern w:val="0"/>
                <w:szCs w:val="21"/>
              </w:rPr>
              <w:t>产出</w:t>
            </w:r>
          </w:p>
          <w:p>
            <w:pPr>
              <w:widowControl/>
              <w:jc w:val="center"/>
              <w:rPr>
                <w:rFonts w:eastAsia="仿宋_GB2312"/>
                <w:color w:val="000000"/>
                <w:kern w:val="0"/>
                <w:szCs w:val="21"/>
              </w:rPr>
            </w:pPr>
            <w:r>
              <w:rPr>
                <w:rFonts w:eastAsia="仿宋_GB2312"/>
                <w:color w:val="000000"/>
                <w:kern w:val="0"/>
                <w:szCs w:val="21"/>
              </w:rPr>
              <w:t>指标</w:t>
            </w:r>
          </w:p>
          <w:p>
            <w:pPr>
              <w:widowControl/>
              <w:jc w:val="center"/>
              <w:rPr>
                <w:rFonts w:eastAsia="仿宋_GB2312"/>
                <w:color w:val="000000"/>
                <w:kern w:val="0"/>
                <w:szCs w:val="21"/>
              </w:rPr>
            </w:pPr>
          </w:p>
          <w:p>
            <w:pPr>
              <w:widowControl/>
              <w:jc w:val="center"/>
              <w:rPr>
                <w:rFonts w:eastAsia="仿宋_GB2312"/>
                <w:color w:val="000000"/>
                <w:kern w:val="0"/>
                <w:szCs w:val="21"/>
              </w:rPr>
            </w:pPr>
            <w:r>
              <w:rPr>
                <w:rFonts w:eastAsia="仿宋_GB2312"/>
                <w:color w:val="000000"/>
                <w:kern w:val="0"/>
                <w:szCs w:val="21"/>
              </w:rPr>
              <w:t>(50分)</w:t>
            </w:r>
          </w:p>
        </w:tc>
        <w:tc>
          <w:tcPr>
            <w:tcW w:w="1261" w:type="dxa"/>
            <w:tcBorders>
              <w:top w:val="single" w:color="auto" w:sz="4" w:space="0"/>
              <w:left w:val="nil"/>
              <w:bottom w:val="single" w:color="auto" w:sz="4" w:space="0"/>
              <w:right w:val="single" w:color="auto" w:sz="4" w:space="0"/>
            </w:tcBorders>
            <w:vAlign w:val="center"/>
          </w:tcPr>
          <w:p>
            <w:pPr>
              <w:widowControl/>
              <w:jc w:val="center"/>
              <w:rPr>
                <w:rFonts w:eastAsia="仿宋_GB2312"/>
                <w:color w:val="000000"/>
                <w:kern w:val="0"/>
                <w:szCs w:val="21"/>
              </w:rPr>
            </w:pPr>
            <w:r>
              <w:rPr>
                <w:rFonts w:eastAsia="仿宋_GB2312"/>
                <w:color w:val="000000"/>
                <w:kern w:val="0"/>
                <w:szCs w:val="21"/>
              </w:rPr>
              <w:t>数量指标</w:t>
            </w:r>
          </w:p>
        </w:tc>
        <w:tc>
          <w:tcPr>
            <w:tcW w:w="1275" w:type="dxa"/>
            <w:tcBorders>
              <w:top w:val="single" w:color="auto" w:sz="4" w:space="0"/>
              <w:left w:val="nil"/>
              <w:bottom w:val="single" w:color="auto" w:sz="4" w:space="0"/>
              <w:right w:val="single" w:color="auto" w:sz="4" w:space="0"/>
            </w:tcBorders>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子项目完工个数</w:t>
            </w:r>
          </w:p>
        </w:tc>
        <w:tc>
          <w:tcPr>
            <w:tcW w:w="1083" w:type="dxa"/>
            <w:tcBorders>
              <w:top w:val="single" w:color="auto" w:sz="4" w:space="0"/>
              <w:left w:val="nil"/>
              <w:bottom w:val="single" w:color="auto" w:sz="4" w:space="0"/>
              <w:right w:val="single" w:color="auto" w:sz="4" w:space="0"/>
            </w:tcBorders>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16</w:t>
            </w:r>
          </w:p>
        </w:tc>
        <w:tc>
          <w:tcPr>
            <w:tcW w:w="1134" w:type="dxa"/>
            <w:tcBorders>
              <w:top w:val="single" w:color="auto" w:sz="4" w:space="0"/>
              <w:left w:val="nil"/>
              <w:bottom w:val="single" w:color="auto" w:sz="4" w:space="0"/>
              <w:right w:val="single" w:color="auto" w:sz="4" w:space="0"/>
            </w:tcBorders>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16</w:t>
            </w:r>
          </w:p>
        </w:tc>
        <w:tc>
          <w:tcPr>
            <w:tcW w:w="828" w:type="dxa"/>
            <w:tcBorders>
              <w:top w:val="single" w:color="auto" w:sz="4" w:space="0"/>
              <w:left w:val="nil"/>
              <w:bottom w:val="single" w:color="auto" w:sz="4" w:space="0"/>
              <w:right w:val="single" w:color="auto" w:sz="4" w:space="0"/>
            </w:tcBorders>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73" w:type="dxa"/>
            <w:tcBorders>
              <w:top w:val="single" w:color="auto" w:sz="4" w:space="0"/>
              <w:left w:val="nil"/>
              <w:bottom w:val="single" w:color="auto" w:sz="4" w:space="0"/>
              <w:right w:val="single" w:color="auto" w:sz="4" w:space="0"/>
            </w:tcBorders>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1418" w:type="dxa"/>
            <w:tcBorders>
              <w:top w:val="single" w:color="auto" w:sz="4" w:space="0"/>
              <w:left w:val="nil"/>
              <w:bottom w:val="single" w:color="auto" w:sz="4" w:space="0"/>
              <w:right w:val="single" w:color="auto" w:sz="4" w:space="0"/>
            </w:tcBorders>
            <w:vAlign w:val="center"/>
          </w:tcPr>
          <w:p>
            <w:pPr>
              <w:widowControl/>
              <w:jc w:val="left"/>
              <w:rPr>
                <w:rFonts w:hint="eastAsia" w:eastAsia="仿宋_GB2312"/>
                <w:color w:val="000000"/>
                <w:kern w:val="0"/>
                <w:szCs w:val="21"/>
                <w:lang w:eastAsia="zh-CN"/>
              </w:rPr>
            </w:pP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vAlign w:val="center"/>
          </w:tcPr>
          <w:p>
            <w:pPr>
              <w:jc w:val="left"/>
              <w:rPr>
                <w:rFonts w:eastAsia="仿宋_GB2312"/>
                <w:color w:val="000000"/>
                <w:kern w:val="0"/>
                <w:szCs w:val="21"/>
              </w:rPr>
            </w:pPr>
          </w:p>
        </w:tc>
        <w:tc>
          <w:tcPr>
            <w:tcW w:w="1261" w:type="dxa"/>
            <w:vMerge w:val="restart"/>
            <w:tcBorders>
              <w:top w:val="single" w:color="auto" w:sz="4" w:space="0"/>
              <w:left w:val="nil"/>
              <w:bottom w:val="single" w:color="auto" w:sz="4" w:space="0"/>
              <w:right w:val="single" w:color="auto" w:sz="4" w:space="0"/>
            </w:tcBorders>
            <w:vAlign w:val="center"/>
          </w:tcPr>
          <w:p>
            <w:pPr>
              <w:widowControl/>
              <w:jc w:val="center"/>
              <w:rPr>
                <w:rFonts w:eastAsia="仿宋_GB2312"/>
                <w:color w:val="000000"/>
                <w:kern w:val="0"/>
                <w:szCs w:val="21"/>
              </w:rPr>
            </w:pPr>
            <w:r>
              <w:rPr>
                <w:rFonts w:eastAsia="仿宋_GB2312"/>
                <w:color w:val="000000"/>
                <w:kern w:val="0"/>
                <w:szCs w:val="21"/>
              </w:rPr>
              <w:t>质量指标</w:t>
            </w:r>
          </w:p>
        </w:tc>
        <w:tc>
          <w:tcPr>
            <w:tcW w:w="1275" w:type="dxa"/>
            <w:tcBorders>
              <w:top w:val="single" w:color="auto" w:sz="4" w:space="0"/>
              <w:left w:val="nil"/>
              <w:bottom w:val="single" w:color="auto" w:sz="4" w:space="0"/>
              <w:right w:val="single" w:color="auto" w:sz="4" w:space="0"/>
            </w:tcBorders>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项目验收合格率</w:t>
            </w:r>
          </w:p>
        </w:tc>
        <w:tc>
          <w:tcPr>
            <w:tcW w:w="1083" w:type="dxa"/>
            <w:tcBorders>
              <w:top w:val="single" w:color="auto" w:sz="4" w:space="0"/>
              <w:left w:val="nil"/>
              <w:bottom w:val="single" w:color="auto" w:sz="4" w:space="0"/>
              <w:right w:val="single" w:color="auto" w:sz="4" w:space="0"/>
            </w:tcBorders>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16</w:t>
            </w:r>
          </w:p>
        </w:tc>
        <w:tc>
          <w:tcPr>
            <w:tcW w:w="1134" w:type="dxa"/>
            <w:tcBorders>
              <w:top w:val="single" w:color="auto" w:sz="4" w:space="0"/>
              <w:left w:val="nil"/>
              <w:bottom w:val="single" w:color="auto" w:sz="4" w:space="0"/>
              <w:right w:val="single" w:color="auto" w:sz="4" w:space="0"/>
            </w:tcBorders>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16</w:t>
            </w:r>
          </w:p>
        </w:tc>
        <w:tc>
          <w:tcPr>
            <w:tcW w:w="828" w:type="dxa"/>
            <w:tcBorders>
              <w:top w:val="single" w:color="auto" w:sz="4" w:space="0"/>
              <w:left w:val="nil"/>
              <w:bottom w:val="single" w:color="auto" w:sz="4" w:space="0"/>
              <w:right w:val="single" w:color="auto" w:sz="4" w:space="0"/>
            </w:tcBorders>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873" w:type="dxa"/>
            <w:tcBorders>
              <w:top w:val="single" w:color="auto" w:sz="4" w:space="0"/>
              <w:left w:val="nil"/>
              <w:bottom w:val="single" w:color="auto" w:sz="4" w:space="0"/>
              <w:right w:val="single" w:color="auto" w:sz="4" w:space="0"/>
            </w:tcBorders>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1418" w:type="dxa"/>
            <w:tcBorders>
              <w:top w:val="single" w:color="auto" w:sz="4" w:space="0"/>
              <w:left w:val="nil"/>
              <w:bottom w:val="single" w:color="auto" w:sz="4" w:space="0"/>
              <w:right w:val="single" w:color="auto" w:sz="4" w:space="0"/>
            </w:tcBorders>
            <w:vAlign w:val="center"/>
          </w:tcPr>
          <w:p>
            <w:pPr>
              <w:widowControl/>
              <w:jc w:val="left"/>
              <w:rPr>
                <w:rFonts w:hint="eastAsia" w:eastAsia="仿宋_GB2312"/>
                <w:color w:val="000000"/>
                <w:kern w:val="0"/>
                <w:szCs w:val="21"/>
                <w:lang w:eastAsia="zh-CN"/>
              </w:rPr>
            </w:pPr>
            <w:r>
              <w:rPr>
                <w:rFonts w:eastAsia="仿宋_GB2312"/>
                <w:color w:val="000000"/>
                <w:kern w:val="0"/>
                <w:szCs w:val="21"/>
              </w:rPr>
              <w:t>　</w:t>
            </w:r>
          </w:p>
        </w:tc>
      </w:tr>
      <w:tr>
        <w:tblPrEx>
          <w:tblCellMar>
            <w:top w:w="0" w:type="dxa"/>
            <w:left w:w="108" w:type="dxa"/>
            <w:bottom w:w="0" w:type="dxa"/>
            <w:right w:w="108" w:type="dxa"/>
          </w:tblCellMar>
        </w:tblPrEx>
        <w:trPr>
          <w:trHeight w:val="811" w:hRule="atLeast"/>
          <w:jc w:val="center"/>
        </w:trPr>
        <w:tc>
          <w:tcPr>
            <w:tcW w:w="1135" w:type="dxa"/>
            <w:vMerge w:val="continue"/>
            <w:tcBorders>
              <w:left w:val="single" w:color="auto" w:sz="4" w:space="0"/>
              <w:right w:val="single" w:color="auto" w:sz="4" w:space="0"/>
            </w:tcBorders>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vAlign w:val="center"/>
          </w:tcPr>
          <w:p>
            <w:pPr>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vAlign w:val="center"/>
          </w:tcPr>
          <w:p>
            <w:pPr>
              <w:widowControl/>
              <w:jc w:val="center"/>
              <w:rPr>
                <w:rFonts w:eastAsia="仿宋_GB2312"/>
                <w:color w:val="000000"/>
                <w:kern w:val="0"/>
                <w:szCs w:val="21"/>
              </w:rPr>
            </w:pPr>
          </w:p>
        </w:tc>
        <w:tc>
          <w:tcPr>
            <w:tcW w:w="1275" w:type="dxa"/>
            <w:tcBorders>
              <w:top w:val="single" w:color="auto" w:sz="4" w:space="0"/>
              <w:left w:val="nil"/>
              <w:bottom w:val="single" w:color="auto" w:sz="4" w:space="0"/>
              <w:right w:val="single" w:color="auto" w:sz="4" w:space="0"/>
            </w:tcBorders>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项目实施过程中违纪违规行为</w:t>
            </w:r>
          </w:p>
        </w:tc>
        <w:tc>
          <w:tcPr>
            <w:tcW w:w="1083" w:type="dxa"/>
            <w:tcBorders>
              <w:top w:val="single" w:color="auto" w:sz="4" w:space="0"/>
              <w:left w:val="nil"/>
              <w:bottom w:val="single" w:color="auto" w:sz="4" w:space="0"/>
              <w:right w:val="single" w:color="auto" w:sz="4" w:space="0"/>
            </w:tcBorders>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0</w:t>
            </w:r>
          </w:p>
        </w:tc>
        <w:tc>
          <w:tcPr>
            <w:tcW w:w="1134" w:type="dxa"/>
            <w:tcBorders>
              <w:top w:val="single" w:color="auto" w:sz="4" w:space="0"/>
              <w:left w:val="nil"/>
              <w:bottom w:val="single" w:color="auto" w:sz="4" w:space="0"/>
              <w:right w:val="single" w:color="auto" w:sz="4" w:space="0"/>
            </w:tcBorders>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0</w:t>
            </w:r>
          </w:p>
        </w:tc>
        <w:tc>
          <w:tcPr>
            <w:tcW w:w="828" w:type="dxa"/>
            <w:tcBorders>
              <w:top w:val="single" w:color="auto" w:sz="4" w:space="0"/>
              <w:left w:val="nil"/>
              <w:bottom w:val="single" w:color="auto" w:sz="4" w:space="0"/>
              <w:right w:val="single" w:color="auto" w:sz="4" w:space="0"/>
            </w:tcBorders>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873" w:type="dxa"/>
            <w:tcBorders>
              <w:top w:val="single" w:color="auto" w:sz="4" w:space="0"/>
              <w:left w:val="nil"/>
              <w:bottom w:val="single" w:color="auto" w:sz="4" w:space="0"/>
              <w:right w:val="single" w:color="auto" w:sz="4" w:space="0"/>
            </w:tcBorders>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1418"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vAlign w:val="center"/>
          </w:tcPr>
          <w:p>
            <w:pPr>
              <w:jc w:val="left"/>
              <w:rPr>
                <w:rFonts w:eastAsia="仿宋_GB2312"/>
                <w:color w:val="000000"/>
                <w:kern w:val="0"/>
                <w:szCs w:val="21"/>
              </w:rPr>
            </w:pPr>
          </w:p>
        </w:tc>
        <w:tc>
          <w:tcPr>
            <w:tcW w:w="1261" w:type="dxa"/>
            <w:vMerge w:val="restart"/>
            <w:tcBorders>
              <w:top w:val="single" w:color="auto" w:sz="4" w:space="0"/>
              <w:left w:val="nil"/>
              <w:bottom w:val="single" w:color="auto" w:sz="4" w:space="0"/>
              <w:right w:val="single" w:color="auto" w:sz="4" w:space="0"/>
            </w:tcBorders>
            <w:vAlign w:val="center"/>
          </w:tcPr>
          <w:p>
            <w:pPr>
              <w:widowControl/>
              <w:jc w:val="center"/>
              <w:rPr>
                <w:rFonts w:eastAsia="仿宋_GB2312"/>
                <w:color w:val="000000"/>
                <w:kern w:val="0"/>
                <w:szCs w:val="21"/>
              </w:rPr>
            </w:pPr>
            <w:r>
              <w:rPr>
                <w:rFonts w:eastAsia="仿宋_GB2312"/>
                <w:color w:val="000000"/>
                <w:kern w:val="0"/>
                <w:szCs w:val="21"/>
              </w:rPr>
              <w:t>时效指标</w:t>
            </w:r>
          </w:p>
        </w:tc>
        <w:tc>
          <w:tcPr>
            <w:tcW w:w="1275" w:type="dxa"/>
            <w:tcBorders>
              <w:top w:val="single" w:color="auto" w:sz="4" w:space="0"/>
              <w:left w:val="nil"/>
              <w:bottom w:val="single" w:color="auto" w:sz="4" w:space="0"/>
              <w:right w:val="single" w:color="auto" w:sz="4" w:space="0"/>
            </w:tcBorders>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项目按时完成率</w:t>
            </w:r>
          </w:p>
        </w:tc>
        <w:tc>
          <w:tcPr>
            <w:tcW w:w="1083" w:type="dxa"/>
            <w:tcBorders>
              <w:top w:val="single" w:color="auto" w:sz="4" w:space="0"/>
              <w:left w:val="nil"/>
              <w:bottom w:val="single" w:color="auto" w:sz="4" w:space="0"/>
              <w:right w:val="single" w:color="auto" w:sz="4" w:space="0"/>
            </w:tcBorders>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95%</w:t>
            </w:r>
          </w:p>
        </w:tc>
        <w:tc>
          <w:tcPr>
            <w:tcW w:w="1134" w:type="dxa"/>
            <w:tcBorders>
              <w:top w:val="single" w:color="auto" w:sz="4" w:space="0"/>
              <w:left w:val="nil"/>
              <w:bottom w:val="single" w:color="auto" w:sz="4" w:space="0"/>
              <w:right w:val="single" w:color="auto" w:sz="4" w:space="0"/>
            </w:tcBorders>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90%</w:t>
            </w:r>
          </w:p>
        </w:tc>
        <w:tc>
          <w:tcPr>
            <w:tcW w:w="828" w:type="dxa"/>
            <w:tcBorders>
              <w:top w:val="single" w:color="auto" w:sz="4" w:space="0"/>
              <w:left w:val="nil"/>
              <w:bottom w:val="single" w:color="auto" w:sz="4" w:space="0"/>
              <w:right w:val="single" w:color="auto" w:sz="4" w:space="0"/>
            </w:tcBorders>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73" w:type="dxa"/>
            <w:tcBorders>
              <w:top w:val="single" w:color="auto" w:sz="4" w:space="0"/>
              <w:left w:val="nil"/>
              <w:bottom w:val="single" w:color="auto" w:sz="4" w:space="0"/>
              <w:right w:val="single" w:color="auto" w:sz="4" w:space="0"/>
            </w:tcBorders>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8</w:t>
            </w:r>
          </w:p>
        </w:tc>
        <w:tc>
          <w:tcPr>
            <w:tcW w:w="1418" w:type="dxa"/>
            <w:tcBorders>
              <w:top w:val="single" w:color="auto" w:sz="4" w:space="0"/>
              <w:left w:val="nil"/>
              <w:bottom w:val="single" w:color="auto" w:sz="4" w:space="0"/>
              <w:right w:val="single" w:color="auto" w:sz="4" w:space="0"/>
            </w:tcBorders>
            <w:vAlign w:val="center"/>
          </w:tcPr>
          <w:p>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在项目实施过程中严格按照实施方案执行</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vAlign w:val="center"/>
          </w:tcPr>
          <w:p>
            <w:pPr>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vAlign w:val="center"/>
          </w:tcPr>
          <w:p>
            <w:pPr>
              <w:widowControl/>
              <w:jc w:val="center"/>
              <w:rPr>
                <w:rFonts w:eastAsia="仿宋_GB2312"/>
                <w:color w:val="000000"/>
                <w:kern w:val="0"/>
                <w:szCs w:val="21"/>
              </w:rPr>
            </w:pPr>
          </w:p>
        </w:tc>
        <w:tc>
          <w:tcPr>
            <w:tcW w:w="1275" w:type="dxa"/>
            <w:tcBorders>
              <w:top w:val="single" w:color="auto" w:sz="4" w:space="0"/>
              <w:left w:val="nil"/>
              <w:bottom w:val="single" w:color="auto" w:sz="4" w:space="0"/>
              <w:right w:val="single" w:color="auto" w:sz="4" w:space="0"/>
            </w:tcBorders>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项目资金拨付及时率</w:t>
            </w:r>
          </w:p>
        </w:tc>
        <w:tc>
          <w:tcPr>
            <w:tcW w:w="1083" w:type="dxa"/>
            <w:tcBorders>
              <w:top w:val="single" w:color="auto" w:sz="4" w:space="0"/>
              <w:left w:val="nil"/>
              <w:bottom w:val="single" w:color="auto" w:sz="4" w:space="0"/>
              <w:right w:val="single" w:color="auto" w:sz="4" w:space="0"/>
            </w:tcBorders>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95%</w:t>
            </w:r>
          </w:p>
        </w:tc>
        <w:tc>
          <w:tcPr>
            <w:tcW w:w="1134" w:type="dxa"/>
            <w:tcBorders>
              <w:top w:val="single" w:color="auto" w:sz="4" w:space="0"/>
              <w:left w:val="nil"/>
              <w:bottom w:val="single" w:color="auto" w:sz="4" w:space="0"/>
              <w:right w:val="single" w:color="auto" w:sz="4" w:space="0"/>
            </w:tcBorders>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90</w:t>
            </w:r>
          </w:p>
        </w:tc>
        <w:tc>
          <w:tcPr>
            <w:tcW w:w="828" w:type="dxa"/>
            <w:tcBorders>
              <w:top w:val="single" w:color="auto" w:sz="4" w:space="0"/>
              <w:left w:val="nil"/>
              <w:bottom w:val="single" w:color="auto" w:sz="4" w:space="0"/>
              <w:right w:val="single" w:color="auto" w:sz="4" w:space="0"/>
            </w:tcBorders>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73" w:type="dxa"/>
            <w:tcBorders>
              <w:top w:val="single" w:color="auto" w:sz="4" w:space="0"/>
              <w:left w:val="nil"/>
              <w:bottom w:val="single" w:color="auto" w:sz="4" w:space="0"/>
              <w:right w:val="single" w:color="auto" w:sz="4" w:space="0"/>
            </w:tcBorders>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8</w:t>
            </w:r>
          </w:p>
        </w:tc>
        <w:tc>
          <w:tcPr>
            <w:tcW w:w="1418"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hint="eastAsia" w:eastAsia="仿宋_GB2312"/>
                <w:color w:val="000000"/>
                <w:kern w:val="0"/>
                <w:szCs w:val="21"/>
                <w:lang w:eastAsia="zh-CN"/>
              </w:rPr>
              <w:t>及时将项目资金拨付到位</w:t>
            </w: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vAlign w:val="center"/>
          </w:tcPr>
          <w:p>
            <w:pPr>
              <w:jc w:val="left"/>
              <w:rPr>
                <w:rFonts w:eastAsia="仿宋_GB2312"/>
                <w:color w:val="000000"/>
                <w:kern w:val="0"/>
                <w:szCs w:val="21"/>
              </w:rPr>
            </w:pPr>
          </w:p>
        </w:tc>
        <w:tc>
          <w:tcPr>
            <w:tcW w:w="1261" w:type="dxa"/>
            <w:tcBorders>
              <w:top w:val="single" w:color="auto" w:sz="4" w:space="0"/>
              <w:left w:val="nil"/>
              <w:bottom w:val="single" w:color="auto" w:sz="4" w:space="0"/>
              <w:right w:val="single" w:color="auto" w:sz="4" w:space="0"/>
            </w:tcBorders>
            <w:vAlign w:val="center"/>
          </w:tcPr>
          <w:p>
            <w:pPr>
              <w:widowControl/>
              <w:jc w:val="center"/>
              <w:rPr>
                <w:rFonts w:eastAsia="仿宋_GB2312"/>
                <w:color w:val="000000"/>
                <w:kern w:val="0"/>
                <w:szCs w:val="21"/>
              </w:rPr>
            </w:pPr>
            <w:r>
              <w:rPr>
                <w:rFonts w:eastAsia="仿宋_GB2312"/>
                <w:color w:val="000000"/>
                <w:kern w:val="0"/>
                <w:szCs w:val="21"/>
              </w:rPr>
              <w:t>成本指标</w:t>
            </w:r>
          </w:p>
        </w:tc>
        <w:tc>
          <w:tcPr>
            <w:tcW w:w="1275" w:type="dxa"/>
            <w:tcBorders>
              <w:top w:val="single" w:color="auto" w:sz="4" w:space="0"/>
              <w:left w:val="nil"/>
              <w:bottom w:val="single" w:color="auto" w:sz="4" w:space="0"/>
              <w:right w:val="single" w:color="auto" w:sz="4" w:space="0"/>
            </w:tcBorders>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成本控制率</w:t>
            </w:r>
          </w:p>
        </w:tc>
        <w:tc>
          <w:tcPr>
            <w:tcW w:w="1083" w:type="dxa"/>
            <w:tcBorders>
              <w:top w:val="single" w:color="auto" w:sz="4" w:space="0"/>
              <w:left w:val="nil"/>
              <w:bottom w:val="single" w:color="auto" w:sz="4" w:space="0"/>
              <w:right w:val="single" w:color="auto" w:sz="4" w:space="0"/>
            </w:tcBorders>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90%</w:t>
            </w:r>
          </w:p>
        </w:tc>
        <w:tc>
          <w:tcPr>
            <w:tcW w:w="1134" w:type="dxa"/>
            <w:tcBorders>
              <w:top w:val="single" w:color="auto" w:sz="4" w:space="0"/>
              <w:left w:val="nil"/>
              <w:bottom w:val="single" w:color="auto" w:sz="4" w:space="0"/>
              <w:right w:val="single" w:color="auto" w:sz="4" w:space="0"/>
            </w:tcBorders>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80%</w:t>
            </w:r>
          </w:p>
        </w:tc>
        <w:tc>
          <w:tcPr>
            <w:tcW w:w="828" w:type="dxa"/>
            <w:tcBorders>
              <w:top w:val="single" w:color="auto" w:sz="4" w:space="0"/>
              <w:left w:val="nil"/>
              <w:bottom w:val="single" w:color="auto" w:sz="4" w:space="0"/>
              <w:right w:val="single" w:color="auto" w:sz="4" w:space="0"/>
            </w:tcBorders>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73" w:type="dxa"/>
            <w:tcBorders>
              <w:top w:val="single" w:color="auto" w:sz="4" w:space="0"/>
              <w:left w:val="nil"/>
              <w:bottom w:val="single" w:color="auto" w:sz="4" w:space="0"/>
              <w:right w:val="single" w:color="auto" w:sz="4" w:space="0"/>
            </w:tcBorders>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8</w:t>
            </w:r>
          </w:p>
        </w:tc>
        <w:tc>
          <w:tcPr>
            <w:tcW w:w="1418"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hint="eastAsia" w:eastAsia="仿宋_GB2312"/>
                <w:color w:val="000000"/>
                <w:kern w:val="0"/>
                <w:szCs w:val="21"/>
                <w:lang w:eastAsia="zh-CN"/>
              </w:rPr>
              <w:t>节约开支，控制成本，减少浪费</w:t>
            </w: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vAlign w:val="center"/>
          </w:tcPr>
          <w:p>
            <w:pPr>
              <w:jc w:val="center"/>
              <w:rPr>
                <w:rFonts w:eastAsia="仿宋_GB2312"/>
                <w:color w:val="000000"/>
                <w:kern w:val="0"/>
                <w:szCs w:val="21"/>
              </w:rPr>
            </w:pPr>
          </w:p>
        </w:tc>
        <w:tc>
          <w:tcPr>
            <w:tcW w:w="992" w:type="dxa"/>
            <w:vMerge w:val="restart"/>
            <w:tcBorders>
              <w:top w:val="single" w:color="auto" w:sz="4" w:space="0"/>
              <w:left w:val="nil"/>
              <w:right w:val="single" w:color="auto" w:sz="4" w:space="0"/>
            </w:tcBorders>
            <w:vAlign w:val="center"/>
          </w:tcPr>
          <w:p>
            <w:pPr>
              <w:widowControl/>
              <w:jc w:val="center"/>
              <w:rPr>
                <w:rFonts w:eastAsia="仿宋_GB2312"/>
                <w:color w:val="000000"/>
                <w:kern w:val="0"/>
                <w:szCs w:val="21"/>
              </w:rPr>
            </w:pPr>
            <w:r>
              <w:rPr>
                <w:rFonts w:eastAsia="仿宋_GB2312"/>
                <w:color w:val="000000"/>
                <w:kern w:val="0"/>
                <w:szCs w:val="21"/>
              </w:rPr>
              <w:t>效益</w:t>
            </w:r>
          </w:p>
          <w:p>
            <w:pPr>
              <w:widowControl/>
              <w:jc w:val="center"/>
              <w:rPr>
                <w:rFonts w:eastAsia="仿宋_GB2312"/>
                <w:color w:val="000000"/>
                <w:kern w:val="0"/>
                <w:szCs w:val="21"/>
              </w:rPr>
            </w:pPr>
            <w:r>
              <w:rPr>
                <w:rFonts w:eastAsia="仿宋_GB2312"/>
                <w:color w:val="000000"/>
                <w:kern w:val="0"/>
                <w:szCs w:val="21"/>
              </w:rPr>
              <w:t>指标</w:t>
            </w:r>
          </w:p>
          <w:p>
            <w:pPr>
              <w:widowControl/>
              <w:jc w:val="left"/>
              <w:rPr>
                <w:rFonts w:eastAsia="仿宋_GB2312"/>
                <w:color w:val="000000"/>
                <w:kern w:val="0"/>
                <w:szCs w:val="21"/>
              </w:rPr>
            </w:pPr>
          </w:p>
          <w:p>
            <w:pPr>
              <w:widowControl/>
              <w:jc w:val="left"/>
              <w:rPr>
                <w:rFonts w:eastAsia="仿宋_GB2312"/>
                <w:color w:val="000000"/>
                <w:kern w:val="0"/>
                <w:szCs w:val="21"/>
              </w:rPr>
            </w:pPr>
            <w:r>
              <w:rPr>
                <w:rFonts w:eastAsia="仿宋_GB2312"/>
                <w:color w:val="000000"/>
                <w:kern w:val="0"/>
                <w:szCs w:val="21"/>
              </w:rPr>
              <w:t>（30分）</w:t>
            </w:r>
          </w:p>
          <w:p>
            <w:pPr>
              <w:jc w:val="left"/>
              <w:rPr>
                <w:rFonts w:eastAsia="仿宋_GB2312"/>
                <w:color w:val="000000"/>
                <w:kern w:val="0"/>
                <w:szCs w:val="21"/>
              </w:rPr>
            </w:pPr>
            <w:r>
              <w:rPr>
                <w:rFonts w:eastAsia="仿宋_GB2312"/>
                <w:color w:val="000000"/>
                <w:kern w:val="0"/>
                <w:szCs w:val="21"/>
              </w:rPr>
              <w:t>　</w:t>
            </w:r>
          </w:p>
        </w:tc>
        <w:tc>
          <w:tcPr>
            <w:tcW w:w="1261" w:type="dxa"/>
            <w:tcBorders>
              <w:top w:val="single" w:color="auto" w:sz="4" w:space="0"/>
              <w:left w:val="nil"/>
              <w:bottom w:val="single" w:color="auto" w:sz="4" w:space="0"/>
              <w:right w:val="single" w:color="auto" w:sz="4" w:space="0"/>
            </w:tcBorders>
            <w:vAlign w:val="center"/>
          </w:tcPr>
          <w:p>
            <w:pPr>
              <w:widowControl/>
              <w:jc w:val="center"/>
              <w:rPr>
                <w:rFonts w:eastAsia="仿宋_GB2312"/>
                <w:color w:val="000000"/>
                <w:kern w:val="0"/>
                <w:szCs w:val="21"/>
              </w:rPr>
            </w:pPr>
            <w:r>
              <w:rPr>
                <w:rFonts w:eastAsia="仿宋_GB2312"/>
                <w:color w:val="000000"/>
                <w:kern w:val="0"/>
                <w:szCs w:val="21"/>
              </w:rPr>
              <w:t>经济效</w:t>
            </w:r>
          </w:p>
          <w:p>
            <w:pPr>
              <w:widowControl/>
              <w:jc w:val="center"/>
              <w:rPr>
                <w:rFonts w:eastAsia="仿宋_GB2312"/>
                <w:color w:val="000000"/>
                <w:kern w:val="0"/>
                <w:szCs w:val="21"/>
              </w:rPr>
            </w:pPr>
            <w:r>
              <w:rPr>
                <w:rFonts w:eastAsia="仿宋_GB2312"/>
                <w:color w:val="000000"/>
                <w:kern w:val="0"/>
                <w:szCs w:val="21"/>
              </w:rPr>
              <w:t>益指标</w:t>
            </w:r>
          </w:p>
        </w:tc>
        <w:tc>
          <w:tcPr>
            <w:tcW w:w="1275" w:type="dxa"/>
            <w:tcBorders>
              <w:top w:val="single" w:color="auto" w:sz="4" w:space="0"/>
              <w:left w:val="nil"/>
              <w:bottom w:val="single" w:color="auto" w:sz="4" w:space="0"/>
              <w:right w:val="single" w:color="auto" w:sz="4" w:space="0"/>
            </w:tcBorders>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项目推进当地就业</w:t>
            </w:r>
          </w:p>
        </w:tc>
        <w:tc>
          <w:tcPr>
            <w:tcW w:w="1083" w:type="dxa"/>
            <w:tcBorders>
              <w:top w:val="single" w:color="auto" w:sz="4" w:space="0"/>
              <w:left w:val="nil"/>
              <w:bottom w:val="single" w:color="auto" w:sz="4" w:space="0"/>
              <w:right w:val="single" w:color="auto" w:sz="4" w:space="0"/>
            </w:tcBorders>
            <w:vAlign w:val="center"/>
          </w:tcPr>
          <w:p>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稳步</w:t>
            </w:r>
          </w:p>
        </w:tc>
        <w:tc>
          <w:tcPr>
            <w:tcW w:w="1134" w:type="dxa"/>
            <w:tcBorders>
              <w:top w:val="single" w:color="auto" w:sz="4" w:space="0"/>
              <w:left w:val="nil"/>
              <w:bottom w:val="single" w:color="auto" w:sz="4" w:space="0"/>
              <w:right w:val="single" w:color="auto" w:sz="4" w:space="0"/>
            </w:tcBorders>
            <w:vAlign w:val="center"/>
          </w:tcPr>
          <w:p>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稳步</w:t>
            </w:r>
          </w:p>
        </w:tc>
        <w:tc>
          <w:tcPr>
            <w:tcW w:w="828" w:type="dxa"/>
            <w:tcBorders>
              <w:top w:val="single" w:color="auto" w:sz="4" w:space="0"/>
              <w:left w:val="nil"/>
              <w:bottom w:val="single" w:color="auto" w:sz="4" w:space="0"/>
              <w:right w:val="single" w:color="auto" w:sz="4" w:space="0"/>
            </w:tcBorders>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873" w:type="dxa"/>
            <w:tcBorders>
              <w:top w:val="single" w:color="auto" w:sz="4" w:space="0"/>
              <w:left w:val="nil"/>
              <w:bottom w:val="single" w:color="auto" w:sz="4" w:space="0"/>
              <w:right w:val="single" w:color="auto" w:sz="4" w:space="0"/>
            </w:tcBorders>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4</w:t>
            </w:r>
          </w:p>
        </w:tc>
        <w:tc>
          <w:tcPr>
            <w:tcW w:w="1418" w:type="dxa"/>
            <w:tcBorders>
              <w:top w:val="single" w:color="auto" w:sz="4" w:space="0"/>
              <w:left w:val="nil"/>
              <w:bottom w:val="single" w:color="auto" w:sz="4" w:space="0"/>
              <w:right w:val="single" w:color="auto" w:sz="4" w:space="0"/>
            </w:tcBorders>
            <w:vAlign w:val="center"/>
          </w:tcPr>
          <w:p>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增加当地群众就业，减少外出务工</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vAlign w:val="center"/>
          </w:tcPr>
          <w:p>
            <w:pPr>
              <w:jc w:val="center"/>
              <w:rPr>
                <w:rFonts w:eastAsia="仿宋_GB2312"/>
                <w:color w:val="000000"/>
                <w:kern w:val="0"/>
                <w:szCs w:val="21"/>
              </w:rPr>
            </w:pPr>
          </w:p>
        </w:tc>
        <w:tc>
          <w:tcPr>
            <w:tcW w:w="992" w:type="dxa"/>
            <w:vMerge w:val="continue"/>
            <w:tcBorders>
              <w:left w:val="nil"/>
              <w:right w:val="single" w:color="auto" w:sz="4" w:space="0"/>
            </w:tcBorders>
            <w:vAlign w:val="center"/>
          </w:tcPr>
          <w:p>
            <w:pPr>
              <w:jc w:val="left"/>
              <w:rPr>
                <w:rFonts w:eastAsia="仿宋_GB2312"/>
                <w:color w:val="000000"/>
                <w:kern w:val="0"/>
                <w:szCs w:val="21"/>
              </w:rPr>
            </w:pPr>
          </w:p>
        </w:tc>
        <w:tc>
          <w:tcPr>
            <w:tcW w:w="1261" w:type="dxa"/>
            <w:tcBorders>
              <w:top w:val="single" w:color="auto" w:sz="4" w:space="0"/>
              <w:left w:val="nil"/>
              <w:bottom w:val="single" w:color="auto" w:sz="4" w:space="0"/>
              <w:right w:val="single" w:color="auto" w:sz="4" w:space="0"/>
            </w:tcBorders>
            <w:vAlign w:val="center"/>
          </w:tcPr>
          <w:p>
            <w:pPr>
              <w:widowControl/>
              <w:jc w:val="center"/>
              <w:rPr>
                <w:rFonts w:eastAsia="仿宋_GB2312"/>
                <w:color w:val="000000"/>
                <w:kern w:val="0"/>
                <w:szCs w:val="21"/>
              </w:rPr>
            </w:pPr>
            <w:r>
              <w:rPr>
                <w:rFonts w:eastAsia="仿宋_GB2312"/>
                <w:color w:val="000000"/>
                <w:kern w:val="0"/>
                <w:szCs w:val="21"/>
              </w:rPr>
              <w:t>社会效</w:t>
            </w:r>
          </w:p>
          <w:p>
            <w:pPr>
              <w:widowControl/>
              <w:jc w:val="center"/>
              <w:rPr>
                <w:rFonts w:eastAsia="仿宋_GB2312"/>
                <w:color w:val="000000"/>
                <w:kern w:val="0"/>
                <w:szCs w:val="21"/>
              </w:rPr>
            </w:pPr>
            <w:r>
              <w:rPr>
                <w:rFonts w:eastAsia="仿宋_GB2312"/>
                <w:color w:val="000000"/>
                <w:kern w:val="0"/>
                <w:szCs w:val="21"/>
              </w:rPr>
              <w:t>益指标</w:t>
            </w:r>
          </w:p>
        </w:tc>
        <w:tc>
          <w:tcPr>
            <w:tcW w:w="1275" w:type="dxa"/>
            <w:tcBorders>
              <w:top w:val="single" w:color="auto" w:sz="4" w:space="0"/>
              <w:left w:val="nil"/>
              <w:bottom w:val="single" w:color="auto" w:sz="4" w:space="0"/>
              <w:right w:val="single" w:color="auto" w:sz="4" w:space="0"/>
            </w:tcBorders>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人居环境</w:t>
            </w:r>
          </w:p>
        </w:tc>
        <w:tc>
          <w:tcPr>
            <w:tcW w:w="1083" w:type="dxa"/>
            <w:tcBorders>
              <w:top w:val="single" w:color="auto" w:sz="4" w:space="0"/>
              <w:left w:val="nil"/>
              <w:bottom w:val="single" w:color="auto" w:sz="4" w:space="0"/>
              <w:right w:val="single" w:color="auto" w:sz="4" w:space="0"/>
            </w:tcBorders>
            <w:vAlign w:val="center"/>
          </w:tcPr>
          <w:p>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提升</w:t>
            </w:r>
          </w:p>
        </w:tc>
        <w:tc>
          <w:tcPr>
            <w:tcW w:w="1134" w:type="dxa"/>
            <w:tcBorders>
              <w:top w:val="single" w:color="auto" w:sz="4" w:space="0"/>
              <w:left w:val="nil"/>
              <w:bottom w:val="single" w:color="auto" w:sz="4" w:space="0"/>
              <w:right w:val="single" w:color="auto" w:sz="4" w:space="0"/>
            </w:tcBorders>
            <w:vAlign w:val="center"/>
          </w:tcPr>
          <w:p>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提升</w:t>
            </w:r>
          </w:p>
        </w:tc>
        <w:tc>
          <w:tcPr>
            <w:tcW w:w="828" w:type="dxa"/>
            <w:tcBorders>
              <w:top w:val="single" w:color="auto" w:sz="4" w:space="0"/>
              <w:left w:val="nil"/>
              <w:bottom w:val="single" w:color="auto" w:sz="4" w:space="0"/>
              <w:right w:val="single" w:color="auto" w:sz="4" w:space="0"/>
            </w:tcBorders>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73" w:type="dxa"/>
            <w:tcBorders>
              <w:top w:val="single" w:color="auto" w:sz="4" w:space="0"/>
              <w:left w:val="nil"/>
              <w:bottom w:val="single" w:color="auto" w:sz="4" w:space="0"/>
              <w:right w:val="single" w:color="auto" w:sz="4" w:space="0"/>
            </w:tcBorders>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8</w:t>
            </w:r>
          </w:p>
        </w:tc>
        <w:tc>
          <w:tcPr>
            <w:tcW w:w="1418"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hint="eastAsia" w:eastAsia="仿宋_GB2312"/>
                <w:color w:val="000000"/>
                <w:kern w:val="0"/>
                <w:szCs w:val="21"/>
                <w:lang w:eastAsia="zh-CN"/>
              </w:rPr>
              <w:t>减少污染，节能减排</w:t>
            </w: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vAlign w:val="center"/>
          </w:tcPr>
          <w:p>
            <w:pPr>
              <w:jc w:val="center"/>
              <w:rPr>
                <w:rFonts w:eastAsia="仿宋_GB2312"/>
                <w:color w:val="000000"/>
                <w:kern w:val="0"/>
                <w:szCs w:val="21"/>
              </w:rPr>
            </w:pPr>
          </w:p>
        </w:tc>
        <w:tc>
          <w:tcPr>
            <w:tcW w:w="992" w:type="dxa"/>
            <w:vMerge w:val="continue"/>
            <w:tcBorders>
              <w:left w:val="nil"/>
              <w:right w:val="single" w:color="auto" w:sz="4" w:space="0"/>
            </w:tcBorders>
            <w:vAlign w:val="center"/>
          </w:tcPr>
          <w:p>
            <w:pPr>
              <w:jc w:val="left"/>
              <w:rPr>
                <w:rFonts w:eastAsia="仿宋_GB2312"/>
                <w:color w:val="000000"/>
                <w:kern w:val="0"/>
                <w:szCs w:val="21"/>
              </w:rPr>
            </w:pPr>
          </w:p>
        </w:tc>
        <w:tc>
          <w:tcPr>
            <w:tcW w:w="126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color w:val="000000"/>
                <w:kern w:val="0"/>
                <w:szCs w:val="21"/>
              </w:rPr>
            </w:pPr>
            <w:r>
              <w:rPr>
                <w:rFonts w:eastAsia="仿宋_GB2312"/>
                <w:color w:val="000000"/>
                <w:kern w:val="0"/>
                <w:szCs w:val="21"/>
              </w:rPr>
              <w:t>生态效</w:t>
            </w:r>
          </w:p>
          <w:p>
            <w:pPr>
              <w:widowControl/>
              <w:jc w:val="center"/>
              <w:rPr>
                <w:rFonts w:eastAsia="仿宋_GB2312"/>
                <w:color w:val="000000"/>
                <w:kern w:val="0"/>
                <w:szCs w:val="21"/>
              </w:rPr>
            </w:pPr>
            <w:r>
              <w:rPr>
                <w:rFonts w:eastAsia="仿宋_GB2312"/>
                <w:color w:val="000000"/>
                <w:kern w:val="0"/>
                <w:szCs w:val="21"/>
              </w:rPr>
              <w:t>益指标</w:t>
            </w:r>
          </w:p>
        </w:tc>
        <w:tc>
          <w:tcPr>
            <w:tcW w:w="1275"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color w:val="000000"/>
                <w:kern w:val="0"/>
                <w:szCs w:val="21"/>
              </w:rPr>
            </w:pPr>
            <w:r>
              <w:rPr>
                <w:rFonts w:hint="eastAsia" w:eastAsia="仿宋_GB2312"/>
                <w:color w:val="000000"/>
                <w:kern w:val="0"/>
                <w:szCs w:val="21"/>
              </w:rPr>
              <w:t>湿地生态系统功能改善可持续影响</w:t>
            </w:r>
          </w:p>
        </w:tc>
        <w:tc>
          <w:tcPr>
            <w:tcW w:w="108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明显</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明显</w:t>
            </w:r>
          </w:p>
        </w:tc>
        <w:tc>
          <w:tcPr>
            <w:tcW w:w="828"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73" w:type="dxa"/>
            <w:tcBorders>
              <w:top w:val="single" w:color="auto" w:sz="4" w:space="0"/>
              <w:left w:val="nil"/>
              <w:bottom w:val="single" w:color="auto" w:sz="4" w:space="0"/>
              <w:right w:val="single" w:color="auto" w:sz="4" w:space="0"/>
            </w:tcBorders>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8</w:t>
            </w:r>
          </w:p>
        </w:tc>
        <w:tc>
          <w:tcPr>
            <w:tcW w:w="1418" w:type="dxa"/>
            <w:tcBorders>
              <w:top w:val="single" w:color="auto" w:sz="4" w:space="0"/>
              <w:left w:val="nil"/>
              <w:bottom w:val="single" w:color="auto" w:sz="4" w:space="0"/>
              <w:right w:val="single" w:color="auto" w:sz="4" w:space="0"/>
            </w:tcBorders>
            <w:vAlign w:val="center"/>
          </w:tcPr>
          <w:p>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保持生态环境宜居性</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vAlign w:val="center"/>
          </w:tcPr>
          <w:p>
            <w:pPr>
              <w:widowControl/>
              <w:jc w:val="center"/>
              <w:rPr>
                <w:rFonts w:eastAsia="仿宋_GB2312"/>
                <w:color w:val="000000"/>
                <w:kern w:val="0"/>
                <w:szCs w:val="21"/>
              </w:rPr>
            </w:pPr>
          </w:p>
        </w:tc>
        <w:tc>
          <w:tcPr>
            <w:tcW w:w="992" w:type="dxa"/>
            <w:vMerge w:val="continue"/>
            <w:tcBorders>
              <w:left w:val="single" w:color="auto" w:sz="4" w:space="0"/>
              <w:right w:val="single" w:color="auto" w:sz="4" w:space="0"/>
            </w:tcBorders>
            <w:vAlign w:val="center"/>
          </w:tcPr>
          <w:p>
            <w:pPr>
              <w:widowControl/>
              <w:jc w:val="left"/>
              <w:rPr>
                <w:rFonts w:eastAsia="仿宋_GB2312"/>
                <w:color w:val="000000"/>
                <w:kern w:val="0"/>
                <w:szCs w:val="21"/>
              </w:rPr>
            </w:pPr>
          </w:p>
        </w:tc>
        <w:tc>
          <w:tcPr>
            <w:tcW w:w="1261" w:type="dxa"/>
            <w:tcBorders>
              <w:top w:val="single" w:color="auto" w:sz="4" w:space="0"/>
              <w:left w:val="single" w:color="auto" w:sz="4" w:space="0"/>
              <w:right w:val="single" w:color="auto" w:sz="4" w:space="0"/>
            </w:tcBorders>
            <w:vAlign w:val="center"/>
          </w:tcPr>
          <w:p>
            <w:pPr>
              <w:widowControl/>
              <w:jc w:val="center"/>
              <w:rPr>
                <w:rFonts w:eastAsia="仿宋_GB2312"/>
                <w:color w:val="000000"/>
                <w:kern w:val="0"/>
                <w:szCs w:val="21"/>
              </w:rPr>
            </w:pPr>
            <w:r>
              <w:rPr>
                <w:rFonts w:eastAsia="仿宋_GB2312"/>
                <w:color w:val="000000"/>
                <w:kern w:val="0"/>
                <w:szCs w:val="21"/>
              </w:rPr>
              <w:t>可持续影响指标</w:t>
            </w:r>
          </w:p>
        </w:tc>
        <w:tc>
          <w:tcPr>
            <w:tcW w:w="1275"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生态环境提升</w:t>
            </w:r>
          </w:p>
        </w:tc>
        <w:tc>
          <w:tcPr>
            <w:tcW w:w="108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显著</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显著</w:t>
            </w:r>
          </w:p>
        </w:tc>
        <w:tc>
          <w:tcPr>
            <w:tcW w:w="82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87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4</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减少对环境污染</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vAlign w:val="center"/>
          </w:tcPr>
          <w:p>
            <w:pPr>
              <w:jc w:val="left"/>
              <w:rPr>
                <w:rFonts w:eastAsia="仿宋_GB2312"/>
                <w:color w:val="000000"/>
                <w:kern w:val="0"/>
                <w:szCs w:val="21"/>
              </w:rPr>
            </w:pPr>
          </w:p>
        </w:tc>
        <w:tc>
          <w:tcPr>
            <w:tcW w:w="992" w:type="dxa"/>
            <w:tcBorders>
              <w:top w:val="nil"/>
              <w:left w:val="nil"/>
              <w:right w:val="single" w:color="auto" w:sz="4" w:space="0"/>
            </w:tcBorders>
            <w:vAlign w:val="center"/>
          </w:tcPr>
          <w:p>
            <w:pPr>
              <w:widowControl/>
              <w:jc w:val="center"/>
              <w:rPr>
                <w:rFonts w:eastAsia="仿宋_GB2312"/>
                <w:color w:val="000000"/>
                <w:kern w:val="0"/>
                <w:szCs w:val="21"/>
              </w:rPr>
            </w:pPr>
            <w:r>
              <w:rPr>
                <w:rFonts w:eastAsia="仿宋_GB2312"/>
                <w:color w:val="000000"/>
                <w:kern w:val="0"/>
                <w:szCs w:val="21"/>
              </w:rPr>
              <w:t>满意度</w:t>
            </w:r>
          </w:p>
          <w:p>
            <w:pPr>
              <w:widowControl/>
              <w:jc w:val="center"/>
              <w:rPr>
                <w:rFonts w:eastAsia="仿宋_GB2312"/>
                <w:color w:val="000000"/>
                <w:kern w:val="0"/>
                <w:szCs w:val="21"/>
              </w:rPr>
            </w:pPr>
            <w:r>
              <w:rPr>
                <w:rFonts w:eastAsia="仿宋_GB2312"/>
                <w:color w:val="000000"/>
                <w:kern w:val="0"/>
                <w:szCs w:val="21"/>
              </w:rPr>
              <w:t>指标</w:t>
            </w:r>
          </w:p>
          <w:p>
            <w:pPr>
              <w:widowControl/>
              <w:jc w:val="center"/>
              <w:rPr>
                <w:rFonts w:eastAsia="仿宋_GB2312"/>
                <w:color w:val="000000"/>
                <w:kern w:val="0"/>
                <w:szCs w:val="21"/>
              </w:rPr>
            </w:pPr>
            <w:r>
              <w:rPr>
                <w:rFonts w:eastAsia="仿宋_GB2312"/>
                <w:color w:val="000000"/>
                <w:kern w:val="0"/>
                <w:szCs w:val="21"/>
              </w:rPr>
              <w:t>（10分）</w:t>
            </w:r>
          </w:p>
        </w:tc>
        <w:tc>
          <w:tcPr>
            <w:tcW w:w="1261" w:type="dxa"/>
            <w:tcBorders>
              <w:top w:val="nil"/>
              <w:left w:val="nil"/>
              <w:right w:val="single" w:color="auto" w:sz="4" w:space="0"/>
            </w:tcBorders>
            <w:vAlign w:val="center"/>
          </w:tcPr>
          <w:p>
            <w:pPr>
              <w:widowControl/>
              <w:jc w:val="center"/>
              <w:rPr>
                <w:rFonts w:eastAsia="仿宋_GB2312"/>
                <w:color w:val="000000"/>
                <w:kern w:val="0"/>
                <w:szCs w:val="21"/>
              </w:rPr>
            </w:pPr>
            <w:r>
              <w:rPr>
                <w:rFonts w:eastAsia="仿宋_GB2312"/>
                <w:color w:val="000000"/>
                <w:kern w:val="0"/>
                <w:szCs w:val="21"/>
              </w:rPr>
              <w:t>服务对象满意度指标</w:t>
            </w:r>
          </w:p>
        </w:tc>
        <w:tc>
          <w:tcPr>
            <w:tcW w:w="1275" w:type="dxa"/>
            <w:tcBorders>
              <w:top w:val="nil"/>
              <w:left w:val="nil"/>
              <w:bottom w:val="single" w:color="auto" w:sz="4" w:space="0"/>
              <w:right w:val="single" w:color="auto" w:sz="4" w:space="0"/>
            </w:tcBorders>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社会群众满意度</w:t>
            </w:r>
          </w:p>
        </w:tc>
        <w:tc>
          <w:tcPr>
            <w:tcW w:w="1083" w:type="dxa"/>
            <w:tcBorders>
              <w:top w:val="nil"/>
              <w:left w:val="nil"/>
              <w:bottom w:val="single" w:color="auto" w:sz="4" w:space="0"/>
              <w:right w:val="single" w:color="auto" w:sz="4" w:space="0"/>
            </w:tcBorders>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95%</w:t>
            </w:r>
          </w:p>
        </w:tc>
        <w:tc>
          <w:tcPr>
            <w:tcW w:w="1134" w:type="dxa"/>
            <w:tcBorders>
              <w:top w:val="nil"/>
              <w:left w:val="nil"/>
              <w:bottom w:val="single" w:color="auto" w:sz="4" w:space="0"/>
              <w:right w:val="single" w:color="auto" w:sz="4" w:space="0"/>
            </w:tcBorders>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90%</w:t>
            </w:r>
          </w:p>
        </w:tc>
        <w:tc>
          <w:tcPr>
            <w:tcW w:w="828" w:type="dxa"/>
            <w:tcBorders>
              <w:top w:val="nil"/>
              <w:left w:val="nil"/>
              <w:bottom w:val="single" w:color="auto" w:sz="4" w:space="0"/>
              <w:right w:val="single" w:color="auto" w:sz="4" w:space="0"/>
            </w:tcBorders>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73" w:type="dxa"/>
            <w:tcBorders>
              <w:top w:val="nil"/>
              <w:left w:val="nil"/>
              <w:bottom w:val="single" w:color="auto" w:sz="4" w:space="0"/>
              <w:right w:val="single" w:color="auto" w:sz="4" w:space="0"/>
            </w:tcBorders>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8</w:t>
            </w:r>
          </w:p>
        </w:tc>
        <w:tc>
          <w:tcPr>
            <w:tcW w:w="1418" w:type="dxa"/>
            <w:tcBorders>
              <w:top w:val="nil"/>
              <w:left w:val="nil"/>
              <w:bottom w:val="single" w:color="auto" w:sz="4" w:space="0"/>
              <w:right w:val="single" w:color="auto" w:sz="4" w:space="0"/>
            </w:tcBorders>
            <w:vAlign w:val="center"/>
          </w:tcPr>
          <w:p>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提升当地群众幸福感</w:t>
            </w:r>
          </w:p>
        </w:tc>
      </w:tr>
      <w:tr>
        <w:tblPrEx>
          <w:tblCellMar>
            <w:top w:w="0" w:type="dxa"/>
            <w:left w:w="108" w:type="dxa"/>
            <w:bottom w:w="0" w:type="dxa"/>
            <w:right w:w="108" w:type="dxa"/>
          </w:tblCellMar>
        </w:tblPrEx>
        <w:trPr>
          <w:trHeight w:val="340" w:hRule="atLeast"/>
          <w:jc w:val="center"/>
        </w:trPr>
        <w:tc>
          <w:tcPr>
            <w:tcW w:w="6880" w:type="dxa"/>
            <w:gridSpan w:val="6"/>
            <w:tcBorders>
              <w:top w:val="single" w:color="auto" w:sz="4" w:space="0"/>
              <w:left w:val="single" w:color="auto" w:sz="4" w:space="0"/>
              <w:bottom w:val="single" w:color="auto" w:sz="4" w:space="0"/>
              <w:right w:val="single" w:color="000000" w:sz="4" w:space="0"/>
            </w:tcBorders>
            <w:vAlign w:val="center"/>
          </w:tcPr>
          <w:p>
            <w:pPr>
              <w:widowControl/>
              <w:jc w:val="center"/>
              <w:rPr>
                <w:rFonts w:eastAsia="仿宋_GB2312"/>
                <w:color w:val="000000"/>
                <w:kern w:val="0"/>
                <w:szCs w:val="21"/>
              </w:rPr>
            </w:pPr>
            <w:r>
              <w:rPr>
                <w:rFonts w:eastAsia="仿宋_GB2312"/>
                <w:color w:val="000000"/>
                <w:kern w:val="0"/>
                <w:szCs w:val="21"/>
              </w:rPr>
              <w:t>总分</w:t>
            </w:r>
          </w:p>
        </w:tc>
        <w:tc>
          <w:tcPr>
            <w:tcW w:w="828" w:type="dxa"/>
            <w:tcBorders>
              <w:top w:val="nil"/>
              <w:left w:val="nil"/>
              <w:bottom w:val="single" w:color="auto" w:sz="4" w:space="0"/>
              <w:right w:val="single" w:color="auto" w:sz="4" w:space="0"/>
            </w:tcBorders>
            <w:vAlign w:val="center"/>
          </w:tcPr>
          <w:p>
            <w:pPr>
              <w:widowControl/>
              <w:jc w:val="center"/>
              <w:rPr>
                <w:rFonts w:eastAsia="仿宋_GB2312"/>
                <w:color w:val="000000"/>
                <w:kern w:val="0"/>
                <w:szCs w:val="21"/>
              </w:rPr>
            </w:pPr>
            <w:r>
              <w:rPr>
                <w:rFonts w:eastAsia="仿宋_GB2312"/>
                <w:color w:val="000000"/>
                <w:kern w:val="0"/>
                <w:szCs w:val="21"/>
              </w:rPr>
              <w:t>100</w:t>
            </w:r>
          </w:p>
        </w:tc>
        <w:tc>
          <w:tcPr>
            <w:tcW w:w="873" w:type="dxa"/>
            <w:tcBorders>
              <w:top w:val="nil"/>
              <w:left w:val="nil"/>
              <w:bottom w:val="single" w:color="auto" w:sz="4" w:space="0"/>
              <w:right w:val="single" w:color="auto" w:sz="4" w:space="0"/>
            </w:tcBorders>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85</w:t>
            </w:r>
          </w:p>
        </w:tc>
        <w:tc>
          <w:tcPr>
            <w:tcW w:w="1418"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r>
    </w:tbl>
    <w:p>
      <w:pPr>
        <w:spacing w:before="156" w:beforeLines="50"/>
        <w:jc w:val="left"/>
      </w:pPr>
      <w:r>
        <w:rPr>
          <w:rFonts w:eastAsia="仿宋_GB2312"/>
          <w:sz w:val="24"/>
        </w:rPr>
        <w:t xml:space="preserve">填表人： </w:t>
      </w:r>
      <w:r>
        <w:rPr>
          <w:rFonts w:hint="eastAsia" w:eastAsia="仿宋_GB2312"/>
          <w:sz w:val="24"/>
          <w:lang w:eastAsia="zh-CN"/>
        </w:rPr>
        <w:t>汤美娟</w:t>
      </w:r>
      <w:bookmarkStart w:id="0" w:name="_GoBack"/>
      <w:bookmarkEnd w:id="0"/>
      <w:r>
        <w:rPr>
          <w:rFonts w:eastAsia="仿宋_GB2312"/>
          <w:sz w:val="24"/>
        </w:rPr>
        <w:t>填报日期：</w:t>
      </w:r>
      <w:r>
        <w:rPr>
          <w:rFonts w:hint="eastAsia" w:eastAsia="仿宋_GB2312"/>
          <w:sz w:val="24"/>
          <w:lang w:val="en-US" w:eastAsia="zh-CN"/>
        </w:rPr>
        <w:t>2022.3.28</w:t>
      </w:r>
      <w:r>
        <w:rPr>
          <w:rFonts w:eastAsia="仿宋_GB2312"/>
          <w:sz w:val="24"/>
        </w:rPr>
        <w:t xml:space="preserve"> 联系电话：</w:t>
      </w:r>
      <w:r>
        <w:rPr>
          <w:rFonts w:hint="eastAsia" w:eastAsia="仿宋_GB2312"/>
          <w:sz w:val="24"/>
          <w:lang w:val="en-US" w:eastAsia="zh-CN"/>
        </w:rPr>
        <w:t>15200627200</w:t>
      </w:r>
      <w:r>
        <w:rPr>
          <w:rFonts w:eastAsia="仿宋_GB2312"/>
          <w:sz w:val="24"/>
        </w:rPr>
        <w:t xml:space="preserve"> 单位负责人签字：</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343492"/>
    <w:rsid w:val="001346BF"/>
    <w:rsid w:val="00294ECA"/>
    <w:rsid w:val="002F73B0"/>
    <w:rsid w:val="00650033"/>
    <w:rsid w:val="006C3C44"/>
    <w:rsid w:val="006D4536"/>
    <w:rsid w:val="006E7751"/>
    <w:rsid w:val="00831D90"/>
    <w:rsid w:val="00A64061"/>
    <w:rsid w:val="00C65261"/>
    <w:rsid w:val="00E44089"/>
    <w:rsid w:val="00FF2312"/>
    <w:rsid w:val="0CFE4450"/>
    <w:rsid w:val="0E645BFC"/>
    <w:rsid w:val="0EEA2645"/>
    <w:rsid w:val="1BCF057D"/>
    <w:rsid w:val="221515FD"/>
    <w:rsid w:val="2BB07532"/>
    <w:rsid w:val="2BE249AF"/>
    <w:rsid w:val="305B5409"/>
    <w:rsid w:val="36363507"/>
    <w:rsid w:val="3B435A8F"/>
    <w:rsid w:val="3C343492"/>
    <w:rsid w:val="45590A76"/>
    <w:rsid w:val="487D713D"/>
    <w:rsid w:val="56C021A1"/>
    <w:rsid w:val="6C6475C8"/>
    <w:rsid w:val="6D336DB6"/>
    <w:rsid w:val="76EF4D30"/>
    <w:rsid w:val="7CE21EFC"/>
    <w:rsid w:val="7DC810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Normal Indent"/>
    <w:basedOn w:val="1"/>
    <w:link w:val="10"/>
    <w:qFormat/>
    <w:uiPriority w:val="0"/>
    <w:pPr>
      <w:widowControl/>
      <w:spacing w:line="500" w:lineRule="exact"/>
      <w:ind w:firstLine="561"/>
      <w:jc w:val="left"/>
    </w:pPr>
    <w:rPr>
      <w:rFonts w:ascii="宋体" w:hAnsi="宋体" w:cs="宋体"/>
      <w:kern w:val="0"/>
      <w:sz w:val="28"/>
      <w:szCs w:val="20"/>
      <w:lang w:val="en-GB"/>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rFonts w:ascii="Times New Roman" w:hAnsi="Times New Roman" w:eastAsia="宋体" w:cs="Times New Roman"/>
      <w:kern w:val="2"/>
      <w:sz w:val="18"/>
      <w:szCs w:val="18"/>
    </w:rPr>
  </w:style>
  <w:style w:type="character" w:customStyle="1" w:styleId="8">
    <w:name w:val="页脚 Char"/>
    <w:basedOn w:val="6"/>
    <w:link w:val="3"/>
    <w:qFormat/>
    <w:uiPriority w:val="0"/>
    <w:rPr>
      <w:rFonts w:ascii="Times New Roman" w:hAnsi="Times New Roman" w:eastAsia="宋体" w:cs="Times New Roman"/>
      <w:kern w:val="2"/>
      <w:sz w:val="18"/>
      <w:szCs w:val="18"/>
    </w:rPr>
  </w:style>
  <w:style w:type="paragraph" w:customStyle="1" w:styleId="9">
    <w:name w:val="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10">
    <w:name w:val="正文缩进 Char1"/>
    <w:basedOn w:val="6"/>
    <w:link w:val="2"/>
    <w:uiPriority w:val="0"/>
    <w:rPr>
      <w:rFonts w:ascii="宋体" w:hAnsi="宋体" w:eastAsia="宋体" w:cs="宋体"/>
      <w:sz w:val="28"/>
      <w:lang w:val="en-G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Pages>
  <Words>2802</Words>
  <Characters>2857</Characters>
  <Lines>21</Lines>
  <Paragraphs>6</Paragraphs>
  <TotalTime>15</TotalTime>
  <ScaleCrop>false</ScaleCrop>
  <LinksUpToDate>false</LinksUpToDate>
  <CharactersWithSpaces>2951</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2021-03-15T06:51:00Z</dcterms:created>
  <dc:creator>Administrator</dc:creator>
  <cp:lastModifiedBy>听你说</cp:lastModifiedBy>
  <dcterms:modified xsi:type="dcterms:W3CDTF">2022-03-29T06:41:57Z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D5C451E42D734DCA86DEB300C239C9BF</vt:lpwstr>
  </property>
</Properties>
</file>