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eastAsia="方正小标宋_GBK"/>
          <w:sz w:val="36"/>
          <w:szCs w:val="36"/>
          <w:lang w:val="en-US" w:eastAsia="zh-CN"/>
        </w:rPr>
      </w:pPr>
    </w:p>
    <w:p>
      <w:pPr>
        <w:spacing w:line="600" w:lineRule="exact"/>
        <w:jc w:val="center"/>
        <w:rPr>
          <w:rFonts w:hint="eastAsia" w:eastAsia="方正小标宋_GBK"/>
          <w:sz w:val="36"/>
          <w:szCs w:val="36"/>
          <w:lang w:val="en-US" w:eastAsia="zh-CN"/>
        </w:rPr>
      </w:pPr>
      <w:r>
        <w:rPr>
          <w:rFonts w:hint="eastAsia" w:eastAsia="方正小标宋_GBK"/>
          <w:sz w:val="36"/>
          <w:szCs w:val="36"/>
          <w:lang w:val="en-US" w:eastAsia="zh-CN"/>
        </w:rPr>
        <w:t>津市市畜牧水产事务中心</w:t>
      </w:r>
    </w:p>
    <w:p>
      <w:pPr>
        <w:spacing w:line="600" w:lineRule="exact"/>
        <w:jc w:val="center"/>
        <w:rPr>
          <w:rFonts w:eastAsia="方正小标宋_GBK"/>
          <w:sz w:val="32"/>
          <w:szCs w:val="32"/>
        </w:rPr>
      </w:pPr>
      <w:r>
        <w:rPr>
          <w:rFonts w:hint="eastAsia" w:eastAsia="方正小标宋_GBK"/>
          <w:sz w:val="36"/>
          <w:szCs w:val="36"/>
          <w:lang w:val="en-US" w:eastAsia="zh-CN"/>
        </w:rPr>
        <w:t>2021年度</w:t>
      </w:r>
      <w:r>
        <w:rPr>
          <w:rFonts w:eastAsia="方正小标宋_GBK"/>
          <w:sz w:val="36"/>
          <w:szCs w:val="36"/>
        </w:rPr>
        <w:t>部门整体支出绩效报告</w:t>
      </w:r>
    </w:p>
    <w:p>
      <w:pPr>
        <w:spacing w:line="600" w:lineRule="exact"/>
        <w:jc w:val="center"/>
        <w:rPr>
          <w:rFonts w:eastAsia="方正小标宋_GBK"/>
          <w:sz w:val="32"/>
          <w:szCs w:val="32"/>
        </w:rPr>
      </w:pPr>
    </w:p>
    <w:p>
      <w:pPr>
        <w:pStyle w:val="6"/>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1．主要职能。</w:t>
      </w:r>
      <w:r>
        <w:rPr>
          <w:rFonts w:hint="eastAsia" w:ascii="仿宋_GB2312" w:hAnsi="仿宋" w:eastAsia="仿宋_GB2312"/>
          <w:sz w:val="32"/>
          <w:szCs w:val="32"/>
          <w:lang w:val="en-US" w:eastAsia="zh-CN"/>
        </w:rPr>
        <w:t>依法承担全市畜禽水产品质量安全的监督管理；负责奶畜饲养以及生鲜乳生产环节、收购环节的监督管理；负责种畜禽、水产种苗的管理；负责渔业行政执法监督管理；负责动物防疫工作，指导动物防疫体系建设；负责动物、动物产品（不含出入境口岸动物检疫）的检疫工作和其他有关动物防疫的监督管理执法工作；组织重大动物疫情的监测、调查、控制、扑灭等应急工作。承担畜牧渔业和生猪定点屠宰管理方面行政许可事项的现场勘验、论证、鉴定、试验、审核等技术性工作;负责对生猪定点屠宰企业的生产经营行为进行监督管理，参与查处生猪屠宰违法行为等职责职能。</w:t>
      </w:r>
    </w:p>
    <w:p>
      <w:pPr>
        <w:snapToGrid w:val="0"/>
        <w:spacing w:line="520" w:lineRule="exact"/>
        <w:ind w:firstLine="640" w:firstLineChars="200"/>
        <w:rPr>
          <w:rFonts w:hint="eastAsia" w:ascii="仿宋_GB2312" w:hAnsi="仿宋" w:eastAsia="仿宋_GB2312"/>
          <w:sz w:val="32"/>
          <w:szCs w:val="32"/>
          <w:lang w:val="en-US" w:eastAsia="zh-CN"/>
        </w:rPr>
      </w:pPr>
      <w:r>
        <w:rPr>
          <w:rFonts w:hint="eastAsia" w:ascii="仿宋_GB2312" w:hAnsi="仿宋" w:eastAsia="仿宋_GB2312"/>
          <w:sz w:val="32"/>
          <w:szCs w:val="32"/>
        </w:rPr>
        <w:t>2．机构情况</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我单位下设五个职能股（室），即办公室、法制股、畜牧股、水产股、医政药政股。另外，中心所属二级事业单位五个，即津市市动物卫生监督所、津市市动物疫病预防控制中心、津市市渔政管理站、津市市城区动物防疫站，津市市定点屠宰办公室。</w:t>
      </w:r>
    </w:p>
    <w:p>
      <w:pPr>
        <w:snapToGrid w:val="0"/>
        <w:spacing w:line="520" w:lineRule="exact"/>
        <w:ind w:firstLine="640" w:firstLineChars="200"/>
        <w:rPr>
          <w:rFonts w:hint="eastAsia" w:ascii="仿宋_GB2312" w:hAnsi="仿宋" w:eastAsia="仿宋_GB2312" w:cs="Times New Roman"/>
          <w:sz w:val="32"/>
          <w:szCs w:val="32"/>
        </w:rPr>
      </w:pPr>
      <w:r>
        <w:rPr>
          <w:rFonts w:hint="eastAsia" w:ascii="仿宋_GB2312" w:hAnsi="仿宋" w:eastAsia="仿宋_GB2312" w:cs="Times New Roman"/>
          <w:sz w:val="32"/>
          <w:szCs w:val="32"/>
        </w:rPr>
        <w:t>3．人员情况，</w:t>
      </w:r>
      <w:r>
        <w:rPr>
          <w:rFonts w:hint="eastAsia" w:ascii="仿宋_GB2312" w:hAnsi="仿宋" w:eastAsia="仿宋_GB2312" w:cs="Times New Roman"/>
          <w:sz w:val="32"/>
          <w:szCs w:val="32"/>
          <w:lang w:val="en-US" w:eastAsia="zh-CN"/>
        </w:rPr>
        <w:t>我中心是财政全额预算拨款事业单位，编委核定全额拨款事业编制32人，2021年年末实有在编人员19人，借调1人，退休人员15人，临聘人员14人。</w:t>
      </w:r>
      <w:bookmarkStart w:id="0" w:name="_GoBack"/>
      <w:bookmarkEnd w:id="0"/>
    </w:p>
    <w:p>
      <w:pPr>
        <w:pStyle w:val="6"/>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6"/>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pStyle w:val="6"/>
        <w:widowControl/>
        <w:numPr>
          <w:ilvl w:val="0"/>
          <w:numId w:val="0"/>
        </w:numPr>
        <w:spacing w:line="600" w:lineRule="exact"/>
        <w:ind w:firstLine="640" w:firstLineChars="200"/>
        <w:rPr>
          <w:rFonts w:ascii="Times New Roman" w:hAnsi="Times New Roman" w:eastAsia="黑体"/>
          <w:sz w:val="32"/>
          <w:szCs w:val="32"/>
        </w:rPr>
      </w:pPr>
      <w:r>
        <w:rPr>
          <w:rFonts w:hint="eastAsia" w:ascii="仿宋_GB2312" w:hAnsi="新宋体" w:eastAsia="仿宋_GB2312"/>
          <w:sz w:val="32"/>
          <w:szCs w:val="32"/>
          <w:lang w:val="en-US" w:eastAsia="zh-CN"/>
        </w:rPr>
        <w:t>2021</w:t>
      </w:r>
      <w:r>
        <w:rPr>
          <w:rFonts w:hint="eastAsia" w:ascii="仿宋_GB2312" w:hAnsi="新宋体" w:eastAsia="仿宋_GB2312"/>
          <w:sz w:val="32"/>
          <w:szCs w:val="32"/>
        </w:rPr>
        <w:t>年</w:t>
      </w:r>
      <w:r>
        <w:rPr>
          <w:rFonts w:hint="eastAsia" w:ascii="仿宋_GB2312" w:hAnsi="新宋体" w:eastAsia="仿宋_GB2312"/>
          <w:sz w:val="32"/>
          <w:szCs w:val="32"/>
          <w:lang w:eastAsia="zh-CN"/>
        </w:rPr>
        <w:t>一般公共预算</w:t>
      </w:r>
      <w:r>
        <w:rPr>
          <w:rFonts w:hint="eastAsia" w:ascii="仿宋_GB2312" w:hAnsi="新宋体" w:eastAsia="仿宋_GB2312"/>
          <w:sz w:val="32"/>
          <w:szCs w:val="32"/>
        </w:rPr>
        <w:t>决算</w:t>
      </w:r>
      <w:r>
        <w:rPr>
          <w:rFonts w:hint="eastAsia" w:ascii="仿宋_GB2312" w:hAnsi="新宋体" w:eastAsia="仿宋_GB2312"/>
          <w:sz w:val="32"/>
          <w:szCs w:val="32"/>
          <w:lang w:eastAsia="zh-CN"/>
        </w:rPr>
        <w:t>支出数</w:t>
      </w:r>
      <w:r>
        <w:rPr>
          <w:rFonts w:hint="eastAsia" w:ascii="仿宋_GB2312" w:hAnsi="新宋体" w:eastAsia="仿宋_GB2312"/>
          <w:sz w:val="32"/>
          <w:szCs w:val="32"/>
          <w:lang w:val="en-US" w:eastAsia="zh-CN"/>
        </w:rPr>
        <w:t>1751.96</w:t>
      </w:r>
      <w:r>
        <w:rPr>
          <w:rFonts w:hint="eastAsia" w:ascii="仿宋_GB2312" w:hAnsi="新宋体" w:eastAsia="仿宋_GB2312"/>
          <w:sz w:val="32"/>
          <w:szCs w:val="32"/>
          <w:lang w:eastAsia="zh-CN"/>
        </w:rPr>
        <w:t>万</w:t>
      </w:r>
      <w:r>
        <w:rPr>
          <w:rFonts w:hint="eastAsia" w:ascii="仿宋_GB2312" w:hAnsi="新宋体" w:eastAsia="仿宋_GB2312"/>
          <w:sz w:val="32"/>
          <w:szCs w:val="32"/>
        </w:rPr>
        <w:t>元</w:t>
      </w:r>
      <w:r>
        <w:rPr>
          <w:rFonts w:hint="eastAsia" w:ascii="仿宋_GB2312" w:hAnsi="新宋体" w:eastAsia="仿宋_GB2312"/>
          <w:sz w:val="32"/>
          <w:szCs w:val="32"/>
          <w:lang w:val="en-US" w:eastAsia="zh-CN"/>
        </w:rPr>
        <w:t>，</w:t>
      </w:r>
      <w:r>
        <w:rPr>
          <w:rFonts w:hint="eastAsia" w:ascii="仿宋_GB2312" w:hAnsi="新宋体" w:eastAsia="仿宋_GB2312"/>
          <w:sz w:val="32"/>
          <w:szCs w:val="32"/>
        </w:rPr>
        <w:t>其中</w:t>
      </w:r>
      <w:r>
        <w:rPr>
          <w:rFonts w:hint="eastAsia" w:ascii="仿宋_GB2312" w:hAnsi="新宋体" w:eastAsia="仿宋_GB2312"/>
          <w:sz w:val="32"/>
          <w:szCs w:val="32"/>
          <w:lang w:eastAsia="zh-CN"/>
        </w:rPr>
        <w:t>基本支出</w:t>
      </w:r>
      <w:r>
        <w:rPr>
          <w:rFonts w:hint="eastAsia" w:ascii="仿宋_GB2312" w:hAnsi="新宋体" w:eastAsia="仿宋_GB2312"/>
          <w:sz w:val="32"/>
          <w:szCs w:val="32"/>
          <w:lang w:val="en-US" w:eastAsia="zh-CN"/>
        </w:rPr>
        <w:t>449.02</w:t>
      </w:r>
      <w:r>
        <w:rPr>
          <w:rFonts w:hint="eastAsia" w:ascii="仿宋_GB2312" w:hAnsi="新宋体" w:eastAsia="仿宋_GB2312"/>
          <w:sz w:val="32"/>
          <w:szCs w:val="32"/>
          <w:lang w:eastAsia="zh-CN"/>
        </w:rPr>
        <w:t>万</w:t>
      </w:r>
      <w:r>
        <w:rPr>
          <w:rFonts w:hint="eastAsia" w:ascii="仿宋_GB2312" w:hAnsi="新宋体" w:eastAsia="仿宋_GB2312"/>
          <w:sz w:val="32"/>
          <w:szCs w:val="32"/>
          <w:lang w:val="en-US" w:eastAsia="zh-CN"/>
        </w:rPr>
        <w:t>元，占总支出25.63%；包括</w:t>
      </w:r>
      <w:r>
        <w:rPr>
          <w:rFonts w:hint="eastAsia" w:ascii="仿宋_GB2312" w:hAnsi="新宋体" w:eastAsia="仿宋_GB2312"/>
          <w:sz w:val="32"/>
          <w:szCs w:val="32"/>
        </w:rPr>
        <w:t>人员工资及福利支</w:t>
      </w:r>
      <w:r>
        <w:rPr>
          <w:rFonts w:hint="eastAsia" w:ascii="仿宋_GB2312" w:hAnsi="新宋体" w:eastAsia="仿宋_GB2312"/>
          <w:sz w:val="32"/>
          <w:szCs w:val="32"/>
          <w:lang w:eastAsia="zh-CN"/>
        </w:rPr>
        <w:t>出</w:t>
      </w:r>
      <w:r>
        <w:rPr>
          <w:rFonts w:hint="eastAsia" w:ascii="仿宋_GB2312" w:hAnsi="新宋体" w:eastAsia="仿宋_GB2312"/>
          <w:sz w:val="32"/>
          <w:szCs w:val="32"/>
        </w:rPr>
        <w:t>，商品服务支出（办公费、电费、水费、差旅费、接待费、</w:t>
      </w:r>
      <w:r>
        <w:rPr>
          <w:rFonts w:hint="eastAsia" w:ascii="仿宋_GB2312" w:hAnsi="新宋体" w:eastAsia="仿宋_GB2312"/>
          <w:sz w:val="32"/>
          <w:szCs w:val="32"/>
          <w:lang w:eastAsia="zh-CN"/>
        </w:rPr>
        <w:t>印刷费和公务船维修和燃料费</w:t>
      </w:r>
      <w:r>
        <w:rPr>
          <w:rFonts w:hint="eastAsia" w:ascii="仿宋_GB2312" w:hAnsi="新宋体" w:eastAsia="仿宋_GB2312"/>
          <w:sz w:val="32"/>
          <w:szCs w:val="32"/>
        </w:rPr>
        <w:t>等）</w:t>
      </w:r>
      <w:r>
        <w:rPr>
          <w:rFonts w:hint="eastAsia" w:ascii="仿宋_GB2312" w:hAnsi="新宋体" w:eastAsia="仿宋_GB2312"/>
          <w:sz w:val="32"/>
          <w:szCs w:val="32"/>
          <w:lang w:eastAsia="zh-CN"/>
        </w:rPr>
        <w:t>。</w:t>
      </w:r>
    </w:p>
    <w:p>
      <w:pPr>
        <w:pStyle w:val="6"/>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widowControl/>
        <w:spacing w:line="600" w:lineRule="exact"/>
        <w:ind w:firstLine="640" w:firstLineChars="200"/>
        <w:jc w:val="both"/>
        <w:rPr>
          <w:highlight w:val="none"/>
        </w:rPr>
      </w:pPr>
      <w:r>
        <w:rPr>
          <w:rFonts w:hint="eastAsia" w:ascii="仿宋_GB2312" w:hAnsi="新宋体" w:eastAsia="仿宋_GB2312"/>
          <w:color w:val="auto"/>
          <w:sz w:val="32"/>
          <w:szCs w:val="32"/>
          <w:lang w:val="en-US" w:eastAsia="zh-CN"/>
        </w:rPr>
        <w:t>2021年一般公共预算决算支出数</w:t>
      </w:r>
      <w:r>
        <w:rPr>
          <w:rFonts w:hint="eastAsia" w:ascii="仿宋_GB2312" w:hAnsi="新宋体" w:eastAsia="仿宋_GB2312"/>
          <w:sz w:val="32"/>
          <w:szCs w:val="32"/>
          <w:lang w:val="en-US" w:eastAsia="zh-CN"/>
        </w:rPr>
        <w:t>1751.96</w:t>
      </w:r>
      <w:r>
        <w:rPr>
          <w:rFonts w:hint="eastAsia" w:ascii="仿宋_GB2312" w:hAnsi="新宋体" w:eastAsia="仿宋_GB2312"/>
          <w:color w:val="auto"/>
          <w:sz w:val="32"/>
          <w:szCs w:val="32"/>
          <w:lang w:val="en-US" w:eastAsia="zh-CN"/>
        </w:rPr>
        <w:t>万元，其中</w:t>
      </w:r>
      <w:r>
        <w:rPr>
          <w:rFonts w:hint="eastAsia" w:ascii="仿宋_GB2312" w:hAnsi="新宋体" w:eastAsia="仿宋_GB2312"/>
          <w:color w:val="auto"/>
          <w:sz w:val="32"/>
          <w:szCs w:val="32"/>
          <w:lang w:eastAsia="zh-CN"/>
        </w:rPr>
        <w:t>项目支出</w:t>
      </w:r>
      <w:r>
        <w:rPr>
          <w:rFonts w:hint="eastAsia" w:ascii="仿宋_GB2312" w:hAnsi="新宋体" w:eastAsia="仿宋_GB2312"/>
          <w:color w:val="auto"/>
          <w:sz w:val="32"/>
          <w:szCs w:val="32"/>
          <w:lang w:val="en-US" w:eastAsia="zh-CN"/>
        </w:rPr>
        <w:t>1302.93</w:t>
      </w:r>
      <w:r>
        <w:rPr>
          <w:rFonts w:hint="eastAsia" w:ascii="仿宋_GB2312" w:hAnsi="新宋体" w:eastAsia="仿宋_GB2312"/>
          <w:color w:val="auto"/>
          <w:sz w:val="32"/>
          <w:szCs w:val="32"/>
          <w:lang w:eastAsia="zh-CN"/>
        </w:rPr>
        <w:t>万</w:t>
      </w:r>
      <w:r>
        <w:rPr>
          <w:rFonts w:hint="eastAsia" w:ascii="仿宋_GB2312" w:hAnsi="新宋体" w:eastAsia="仿宋_GB2312"/>
          <w:color w:val="auto"/>
          <w:sz w:val="32"/>
          <w:szCs w:val="32"/>
          <w:lang w:val="en-US" w:eastAsia="zh-CN"/>
        </w:rPr>
        <w:t>元</w:t>
      </w:r>
      <w:r>
        <w:rPr>
          <w:rFonts w:hint="eastAsia" w:ascii="仿宋" w:hAnsi="仿宋" w:eastAsia="仿宋" w:cs="仿宋"/>
          <w:i w:val="0"/>
          <w:caps w:val="0"/>
          <w:color w:val="auto"/>
          <w:spacing w:val="0"/>
          <w:sz w:val="32"/>
          <w:szCs w:val="32"/>
        </w:rPr>
        <w:t>（包含上级资金</w:t>
      </w:r>
      <w:r>
        <w:rPr>
          <w:rFonts w:hint="eastAsia" w:ascii="仿宋" w:hAnsi="仿宋" w:eastAsia="仿宋" w:cs="仿宋"/>
          <w:i w:val="0"/>
          <w:caps w:val="0"/>
          <w:color w:val="auto"/>
          <w:spacing w:val="0"/>
          <w:sz w:val="32"/>
          <w:szCs w:val="32"/>
          <w:lang w:eastAsia="zh-CN"/>
        </w:rPr>
        <w:t>，上年结转资金</w:t>
      </w:r>
      <w:r>
        <w:rPr>
          <w:rFonts w:hint="eastAsia" w:ascii="仿宋" w:hAnsi="仿宋" w:eastAsia="仿宋" w:cs="仿宋"/>
          <w:i w:val="0"/>
          <w:caps w:val="0"/>
          <w:color w:val="auto"/>
          <w:spacing w:val="0"/>
          <w:sz w:val="32"/>
          <w:szCs w:val="32"/>
        </w:rPr>
        <w:t>）</w:t>
      </w:r>
      <w:r>
        <w:rPr>
          <w:rFonts w:hint="eastAsia" w:ascii="仿宋_GB2312" w:hAnsi="新宋体" w:eastAsia="仿宋_GB2312"/>
          <w:color w:val="auto"/>
          <w:sz w:val="32"/>
          <w:szCs w:val="32"/>
          <w:lang w:val="en-US" w:eastAsia="zh-CN"/>
        </w:rPr>
        <w:t>，占总支出74.37%；包括禁捕退捕专项、防灾救灾、成品油价格调整对渔业的补助、科技推广专项、病死猪无害化处理、生猪调出大县奖励等专项。</w:t>
      </w:r>
      <w:r>
        <w:rPr>
          <w:rFonts w:hint="eastAsia" w:ascii="仿宋_GB2312" w:hAnsi="新宋体" w:eastAsia="仿宋_GB2312"/>
          <w:color w:val="auto"/>
          <w:sz w:val="32"/>
          <w:szCs w:val="32"/>
          <w:highlight w:val="none"/>
          <w:lang w:val="en-US" w:eastAsia="zh-CN"/>
        </w:rPr>
        <w:t>2021年禁捕退捕支出546.51万元占一般公共预算项目支出的41.94%，是单位2021年支出的重要组成部分也是2021年单位工作的重心，项目支出主要用于长流域禁捕退捕的宣传及本市渔民船网、船具的回收、评估，渔民生活补助的发放等；2021年病虫害控制182.74万元占一般公共预算项目支出的14.03%,该专项包含动物防疫、养殖环节、屠宰环节的病死猪无害化集中处理补助资金；2021年防灾救灾40万元占一般公共预算项目支出的3.07%，主要用于自然灾害救治等方面；2021年成品油价格调整对渔业的补助150万元占用一般公共预算项目支出11.51%，项目支出主要用于尾水治理等方面；2021年生猪调出大县奖励资金271万元占一般公共预算项目支出20.8%，项目支出主要用于生猪调出大县奖励养殖场、户等。2021年其他专项支出112.68万元般公共预算项目支出的8.65%,主要是科技推广培训、执法监管、农业生产发展等专项支出。</w:t>
      </w:r>
    </w:p>
    <w:p>
      <w:pPr>
        <w:pStyle w:val="6"/>
        <w:widowControl/>
        <w:numPr>
          <w:ilvl w:val="0"/>
          <w:numId w:val="1"/>
        </w:numPr>
        <w:spacing w:line="600" w:lineRule="exact"/>
        <w:ind w:left="640" w:leftChars="0" w:firstLine="0" w:firstLineChars="0"/>
        <w:jc w:val="left"/>
        <w:rPr>
          <w:rFonts w:ascii="Times New Roman" w:hAnsi="Times New Roman" w:eastAsia="黑体"/>
          <w:sz w:val="32"/>
          <w:szCs w:val="32"/>
        </w:rPr>
      </w:pPr>
      <w:r>
        <w:rPr>
          <w:rFonts w:ascii="Times New Roman" w:hAnsi="Times New Roman" w:eastAsia="黑体"/>
          <w:sz w:val="32"/>
          <w:szCs w:val="32"/>
        </w:rPr>
        <w:t>政府性基金预算支出情况</w:t>
      </w:r>
    </w:p>
    <w:p>
      <w:pPr>
        <w:pStyle w:val="6"/>
        <w:widowControl/>
        <w:numPr>
          <w:ilvl w:val="0"/>
          <w:numId w:val="0"/>
        </w:numPr>
        <w:spacing w:line="600" w:lineRule="exact"/>
        <w:ind w:left="640" w:leftChars="0"/>
        <w:jc w:val="left"/>
        <w:rPr>
          <w:rFonts w:hint="default" w:ascii="Times New Roman" w:hAnsi="Times New Roman" w:eastAsia="黑体"/>
          <w:sz w:val="32"/>
          <w:szCs w:val="32"/>
          <w:lang w:val="en-US" w:eastAsia="zh-CN"/>
        </w:rPr>
      </w:pPr>
      <w:r>
        <w:rPr>
          <w:rFonts w:hint="eastAsia" w:ascii="仿宋_GB2312" w:hAnsi="新宋体" w:eastAsia="仿宋_GB2312" w:cs="Times New Roman"/>
          <w:color w:val="auto"/>
          <w:kern w:val="2"/>
          <w:sz w:val="32"/>
          <w:szCs w:val="32"/>
          <w:highlight w:val="none"/>
          <w:lang w:val="en-US" w:eastAsia="zh-CN" w:bidi="ar-SA"/>
        </w:rPr>
        <w:t>2021年无政府性基金预算支出。</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仿宋_GB2312" w:cs="Times New Roman"/>
          <w:b w:val="0"/>
          <w:bCs/>
          <w:spacing w:val="0"/>
          <w:sz w:val="32"/>
          <w:szCs w:val="32"/>
          <w:lang w:val="en-US" w:eastAsia="zh-CN"/>
        </w:rPr>
      </w:pPr>
      <w:r>
        <w:rPr>
          <w:rFonts w:hint="default" w:ascii="Times New Roman" w:hAnsi="Times New Roman" w:eastAsia="楷体_GB2312" w:cs="Times New Roman"/>
          <w:b w:val="0"/>
          <w:bCs/>
          <w:kern w:val="2"/>
          <w:sz w:val="32"/>
          <w:szCs w:val="32"/>
          <w:lang w:val="en-US" w:eastAsia="zh-CN" w:bidi="ar-SA"/>
        </w:rPr>
        <w:t>1.着力生猪稳产保供。</w:t>
      </w:r>
      <w:r>
        <w:rPr>
          <w:rFonts w:hint="default" w:ascii="Times New Roman" w:hAnsi="Times New Roman" w:eastAsia="仿宋_GB2312" w:cs="Times New Roman"/>
          <w:b w:val="0"/>
          <w:bCs/>
          <w:spacing w:val="0"/>
          <w:sz w:val="32"/>
          <w:szCs w:val="32"/>
        </w:rPr>
        <w:t>坚持不懈抓好生猪稳产保供，落实“菜篮子”市长负责制</w:t>
      </w:r>
      <w:r>
        <w:rPr>
          <w:rFonts w:hint="default" w:ascii="Times New Roman" w:hAnsi="Times New Roman" w:eastAsia="仿宋_GB2312" w:cs="Times New Roman"/>
          <w:b w:val="0"/>
          <w:bCs/>
          <w:spacing w:val="0"/>
          <w:sz w:val="32"/>
          <w:szCs w:val="32"/>
          <w:lang w:val="en-US" w:eastAsia="zh-CN"/>
        </w:rPr>
        <w:t>，荣获</w:t>
      </w:r>
      <w:r>
        <w:rPr>
          <w:rFonts w:hint="default" w:ascii="Times New Roman" w:hAnsi="Times New Roman" w:eastAsia="仿宋_GB2312" w:cs="Times New Roman"/>
          <w:b w:val="0"/>
          <w:bCs/>
          <w:spacing w:val="0"/>
          <w:sz w:val="32"/>
          <w:szCs w:val="32"/>
        </w:rPr>
        <w:t>“全国生猪调出大县”称号</w:t>
      </w:r>
      <w:r>
        <w:rPr>
          <w:rFonts w:hint="default" w:ascii="Times New Roman" w:hAnsi="Times New Roman" w:eastAsia="仿宋_GB2312" w:cs="Times New Roman"/>
          <w:b w:val="0"/>
          <w:bCs/>
          <w:spacing w:val="0"/>
          <w:sz w:val="32"/>
          <w:szCs w:val="32"/>
          <w:lang w:eastAsia="zh-CN"/>
        </w:rPr>
        <w:t>。</w:t>
      </w:r>
      <w:r>
        <w:rPr>
          <w:rFonts w:hint="default" w:ascii="Times New Roman" w:hAnsi="Times New Roman" w:eastAsia="仿宋_GB2312" w:cs="Times New Roman"/>
          <w:b w:val="0"/>
          <w:bCs/>
          <w:spacing w:val="0"/>
          <w:sz w:val="32"/>
          <w:szCs w:val="32"/>
          <w:lang w:val="en-US" w:eastAsia="zh-CN"/>
        </w:rPr>
        <w:t>改扩建生猪养殖场30家，新建</w:t>
      </w:r>
      <w:r>
        <w:rPr>
          <w:rFonts w:hint="default" w:ascii="Times New Roman" w:hAnsi="Times New Roman" w:eastAsia="仿宋" w:cs="Times New Roman"/>
          <w:b w:val="0"/>
          <w:bCs/>
          <w:spacing w:val="0"/>
          <w:sz w:val="32"/>
          <w:szCs w:val="32"/>
          <w:lang w:val="en-US" w:eastAsia="zh-CN"/>
        </w:rPr>
        <w:t>现代农业集团润和牧业（年出栏12万头）、新洲镇卢莉华养殖场（年出栏1万头）、药山镇贤仔养殖场（年出栏5000头）</w:t>
      </w:r>
      <w:r>
        <w:rPr>
          <w:rFonts w:hint="default" w:ascii="Times New Roman" w:hAnsi="Times New Roman" w:eastAsia="仿宋_GB2312" w:cs="Times New Roman"/>
          <w:b w:val="0"/>
          <w:bCs/>
          <w:spacing w:val="0"/>
          <w:sz w:val="32"/>
          <w:szCs w:val="32"/>
          <w:lang w:val="en-US" w:eastAsia="zh-CN"/>
        </w:rPr>
        <w:t>3家养猪场</w:t>
      </w:r>
      <w:r>
        <w:rPr>
          <w:rFonts w:hint="eastAsia" w:ascii="Times New Roman" w:hAnsi="Times New Roman" w:eastAsia="仿宋_GB2312" w:cs="Times New Roman"/>
          <w:b w:val="0"/>
          <w:bCs/>
          <w:spacing w:val="0"/>
          <w:sz w:val="32"/>
          <w:szCs w:val="32"/>
          <w:lang w:val="en-US" w:eastAsia="zh-CN"/>
        </w:rPr>
        <w:t>。</w:t>
      </w:r>
      <w:r>
        <w:rPr>
          <w:rFonts w:hint="eastAsia" w:ascii="Times New Roman" w:hAnsi="Times New Roman" w:eastAsia="仿宋" w:cs="Times New Roman"/>
          <w:b w:val="0"/>
          <w:bCs/>
          <w:spacing w:val="0"/>
          <w:sz w:val="32"/>
          <w:szCs w:val="32"/>
          <w:lang w:val="en-US" w:eastAsia="zh-CN"/>
        </w:rPr>
        <w:t>截至11月底，全市</w:t>
      </w:r>
      <w:r>
        <w:rPr>
          <w:rFonts w:hint="default" w:ascii="Times New Roman" w:hAnsi="Times New Roman" w:eastAsia="仿宋_GB2312" w:cs="Times New Roman"/>
          <w:b w:val="0"/>
          <w:bCs/>
          <w:spacing w:val="0"/>
          <w:sz w:val="32"/>
          <w:szCs w:val="32"/>
          <w:lang w:val="en-US" w:eastAsia="zh-CN"/>
        </w:rPr>
        <w:t>生猪规模养殖场</w:t>
      </w:r>
      <w:r>
        <w:rPr>
          <w:rStyle w:val="10"/>
          <w:rFonts w:hint="default" w:ascii="Times New Roman" w:hAnsi="Times New Roman" w:eastAsia="仿宋_GB2312" w:cs="Times New Roman"/>
          <w:b w:val="0"/>
          <w:bCs/>
          <w:color w:val="000000"/>
          <w:kern w:val="0"/>
          <w:sz w:val="32"/>
          <w:szCs w:val="32"/>
          <w:lang w:val="en-US"/>
        </w:rPr>
        <w:t>52</w:t>
      </w:r>
      <w:r>
        <w:rPr>
          <w:rStyle w:val="10"/>
          <w:rFonts w:hint="default" w:ascii="Times New Roman" w:hAnsi="Times New Roman" w:eastAsia="仿宋_GB2312" w:cs="Times New Roman"/>
          <w:b w:val="0"/>
          <w:bCs/>
          <w:color w:val="000000"/>
          <w:kern w:val="0"/>
          <w:sz w:val="32"/>
          <w:szCs w:val="32"/>
        </w:rPr>
        <w:t>家，</w:t>
      </w:r>
      <w:r>
        <w:rPr>
          <w:rStyle w:val="10"/>
          <w:rFonts w:hint="eastAsia" w:ascii="Times New Roman" w:hAnsi="Times New Roman" w:eastAsia="仿宋_GB2312" w:cs="Times New Roman"/>
          <w:b w:val="0"/>
          <w:bCs/>
          <w:color w:val="000000"/>
          <w:kern w:val="0"/>
          <w:sz w:val="32"/>
          <w:szCs w:val="32"/>
        </w:rPr>
        <w:t>其中</w:t>
      </w:r>
      <w:r>
        <w:rPr>
          <w:rFonts w:hint="default" w:ascii="Times New Roman" w:hAnsi="Times New Roman" w:eastAsia="仿宋" w:cs="Times New Roman"/>
          <w:b w:val="0"/>
          <w:bCs/>
          <w:color w:val="auto"/>
          <w:spacing w:val="0"/>
          <w:kern w:val="2"/>
          <w:sz w:val="32"/>
          <w:szCs w:val="32"/>
          <w:lang w:val="en-US" w:eastAsia="zh-CN"/>
        </w:rPr>
        <w:t>万头以上11家，10万头以上3家</w:t>
      </w:r>
      <w:r>
        <w:rPr>
          <w:rFonts w:hint="default" w:ascii="Times New Roman" w:hAnsi="Times New Roman" w:eastAsia="仿宋" w:cs="Times New Roman"/>
          <w:b w:val="0"/>
          <w:bCs/>
          <w:spacing w:val="0"/>
          <w:sz w:val="32"/>
          <w:szCs w:val="32"/>
          <w:lang w:val="en-US" w:eastAsia="zh-CN"/>
        </w:rPr>
        <w:t>（旺森农牧、佳和灵泉基地、佳和棠华基地）</w:t>
      </w:r>
      <w:r>
        <w:rPr>
          <w:rFonts w:hint="default" w:ascii="Times New Roman" w:hAnsi="Times New Roman" w:eastAsia="仿宋_GB2312" w:cs="Times New Roman"/>
          <w:b w:val="0"/>
          <w:bCs/>
          <w:spacing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w w:val="100"/>
          <w:sz w:val="32"/>
          <w:szCs w:val="32"/>
          <w:lang w:val="en-US" w:eastAsia="zh-CN"/>
        </w:rPr>
      </w:pPr>
      <w:r>
        <w:rPr>
          <w:rFonts w:hint="default" w:ascii="Times New Roman" w:hAnsi="Times New Roman" w:eastAsia="楷体_GB2312" w:cs="Times New Roman"/>
          <w:b w:val="0"/>
          <w:bCs/>
          <w:sz w:val="32"/>
          <w:szCs w:val="32"/>
          <w:lang w:val="en-US" w:eastAsia="zh-CN"/>
        </w:rPr>
        <w:t>2.</w:t>
      </w:r>
      <w:r>
        <w:rPr>
          <w:rFonts w:hint="default" w:ascii="Times New Roman" w:hAnsi="Times New Roman" w:eastAsia="楷体_GB2312" w:cs="Times New Roman"/>
          <w:b w:val="0"/>
          <w:bCs/>
          <w:sz w:val="32"/>
          <w:szCs w:val="32"/>
        </w:rPr>
        <w:t>环境整治成效明显。</w:t>
      </w:r>
      <w:r>
        <w:rPr>
          <w:rFonts w:hint="default" w:ascii="Times New Roman" w:hAnsi="Times New Roman" w:eastAsia="仿宋_GB2312" w:cs="Times New Roman"/>
          <w:b w:val="0"/>
          <w:bCs/>
          <w:spacing w:val="0"/>
          <w:kern w:val="2"/>
          <w:sz w:val="32"/>
          <w:szCs w:val="32"/>
          <w:lang w:val="en-US" w:eastAsia="zh-CN" w:bidi="ar-SA"/>
        </w:rPr>
        <w:t>加强粪污处理和资源化利用，</w:t>
      </w:r>
      <w:r>
        <w:rPr>
          <w:rFonts w:hint="default" w:ascii="Times New Roman" w:hAnsi="Times New Roman" w:eastAsia="仿宋_GB2312" w:cs="Times New Roman"/>
          <w:b w:val="0"/>
          <w:bCs/>
          <w:w w:val="100"/>
          <w:sz w:val="32"/>
          <w:szCs w:val="32"/>
          <w:lang w:val="en-US" w:eastAsia="zh-CN"/>
        </w:rPr>
        <w:t>对76家养殖场列出问题清单、责任清单，落实包保责任人，由6个指导组进行业务指导和督导，全面完成整改。</w:t>
      </w:r>
      <w:r>
        <w:rPr>
          <w:rFonts w:hint="default" w:ascii="Times New Roman" w:hAnsi="Times New Roman" w:eastAsia="仿宋_GB2312" w:cs="Times New Roman"/>
          <w:b w:val="0"/>
          <w:bCs/>
          <w:spacing w:val="0"/>
          <w:sz w:val="32"/>
          <w:szCs w:val="32"/>
          <w:lang w:val="en-US" w:eastAsia="zh-CN"/>
        </w:rPr>
        <w:t>环保部门严格执法，立案两起，处罚两起，刑拘一人。整改完成后，对</w:t>
      </w:r>
      <w:r>
        <w:rPr>
          <w:rFonts w:hint="default" w:ascii="Times New Roman" w:hAnsi="Times New Roman" w:eastAsia="仿宋_GB2312" w:cs="Times New Roman"/>
          <w:b w:val="0"/>
          <w:bCs/>
          <w:w w:val="100"/>
          <w:sz w:val="32"/>
          <w:szCs w:val="32"/>
          <w:lang w:val="en-US" w:eastAsia="zh-CN"/>
        </w:rPr>
        <w:t>50家生猪规模养殖场安装可视监控，</w:t>
      </w:r>
      <w:r>
        <w:rPr>
          <w:rFonts w:hint="default" w:ascii="Times New Roman" w:hAnsi="Times New Roman" w:eastAsia="仿宋_GB2312" w:cs="Times New Roman"/>
          <w:b w:val="0"/>
          <w:bCs/>
          <w:spacing w:val="0"/>
          <w:sz w:val="32"/>
          <w:szCs w:val="32"/>
          <w:lang w:val="en-US" w:eastAsia="zh-CN"/>
        </w:rPr>
        <w:t>在线监控污水处理处和出猪栏口。</w:t>
      </w:r>
      <w:r>
        <w:rPr>
          <w:rFonts w:hint="default" w:ascii="Times New Roman" w:hAnsi="Times New Roman" w:eastAsia="仿宋_GB2312" w:cs="Times New Roman"/>
          <w:b w:val="0"/>
          <w:bCs/>
          <w:w w:val="100"/>
          <w:sz w:val="32"/>
          <w:szCs w:val="32"/>
          <w:lang w:val="en-US" w:eastAsia="zh-CN"/>
        </w:rPr>
        <w:t>截止11月，全市畜禽资源化利用率91.6%，畜禽规模养殖场粪污治理设施配套率达到100%。</w:t>
      </w:r>
    </w:p>
    <w:p>
      <w:pPr>
        <w:pStyle w:val="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color w:val="auto"/>
          <w:spacing w:val="0"/>
          <w:w w:val="100"/>
          <w:sz w:val="32"/>
          <w:szCs w:val="32"/>
          <w:lang w:eastAsia="zh-CN"/>
        </w:rPr>
      </w:pPr>
      <w:r>
        <w:rPr>
          <w:rFonts w:hint="eastAsia" w:eastAsia="楷体_GB2312" w:cs="Times New Roman"/>
          <w:b w:val="0"/>
          <w:bCs/>
          <w:sz w:val="32"/>
          <w:szCs w:val="32"/>
          <w:lang w:val="en-US" w:eastAsia="zh-CN"/>
        </w:rPr>
        <w:t>3.</w:t>
      </w:r>
      <w:r>
        <w:rPr>
          <w:rFonts w:hint="default" w:ascii="Times New Roman" w:hAnsi="Times New Roman" w:eastAsia="楷体_GB2312" w:cs="Times New Roman"/>
          <w:b w:val="0"/>
          <w:bCs/>
          <w:sz w:val="32"/>
          <w:szCs w:val="32"/>
          <w:lang w:val="en-US" w:eastAsia="zh-CN"/>
        </w:rPr>
        <w:t>扎实推进禁捕退捕。</w:t>
      </w:r>
      <w:r>
        <w:rPr>
          <w:rFonts w:hint="default" w:ascii="Times New Roman" w:hAnsi="Times New Roman" w:eastAsia="仿宋_GB2312" w:cs="Times New Roman"/>
          <w:b w:val="0"/>
          <w:bCs/>
          <w:w w:val="100"/>
          <w:sz w:val="32"/>
          <w:szCs w:val="32"/>
          <w:lang w:val="en-US" w:eastAsia="zh-CN"/>
        </w:rPr>
        <w:t>高站位、高质量、高水平推进禁捕退捕各项工作，打击有力，船舶治理到位，渔民群体稳定。禁捕工作被新华社、湖南日报等新闻媒体专题报道。一是领导高度重视。</w:t>
      </w:r>
      <w:r>
        <w:rPr>
          <w:rFonts w:hint="default" w:ascii="Times New Roman" w:hAnsi="Times New Roman" w:eastAsia="仿宋_GB2312" w:cs="Times New Roman"/>
          <w:b w:val="0"/>
          <w:bCs/>
          <w:color w:val="auto"/>
          <w:w w:val="100"/>
          <w:sz w:val="32"/>
          <w:szCs w:val="32"/>
          <w:lang w:val="en-US" w:eastAsia="zh-CN"/>
        </w:rPr>
        <w:t>常态化</w:t>
      </w:r>
      <w:r>
        <w:rPr>
          <w:rFonts w:hint="default" w:ascii="Times New Roman" w:hAnsi="Times New Roman" w:eastAsia="仿宋_GB2312" w:cs="Times New Roman"/>
          <w:b w:val="0"/>
          <w:bCs/>
          <w:w w:val="100"/>
          <w:sz w:val="32"/>
          <w:szCs w:val="32"/>
          <w:lang w:val="en-US" w:eastAsia="zh-CN"/>
        </w:rPr>
        <w:t>召开市委常委、市政府常务和市委、市政府专题会议，定期研究部署禁捕退捕工作。主要领导坚持亲自挂帅、靠前指挥、现场办公、跟踪调度，保证了各项政策措施及时跟进。二是退捕高质量保障。实施扶持转产创业一批、产业吸纳一批、推荐就业一批、公益安置一批、托底保障一批举措，确保渔民安置保障。截至11月底，全市239户435 名退捕渔民，劳动能力内有就业意愿314人全部实现转产就业，其中灵活就业132人、企业吸纳15人、务农21人、自主创业22人、公益性岗位安置62人、政策兜底62人；临时救助19户、慰问困难退捕渔民50户、助学1人，落实保障补贴66.9万元。三是禁捕高压打击。部门上下联动、深入开展联合执法检查，重点打击非法捕捞和市场主体销售禁用网具、渔获物行为。今年来，已查处违法案件11起，其中行政立案5起，刑事立案6起，采取刑事强制措施8</w:t>
      </w:r>
      <w:r>
        <w:rPr>
          <w:rFonts w:hint="default" w:ascii="Times New Roman" w:hAnsi="Times New Roman" w:eastAsia="仿宋_GB2312" w:cs="Times New Roman"/>
          <w:b w:val="0"/>
          <w:bCs/>
          <w:color w:val="auto"/>
          <w:spacing w:val="0"/>
          <w:w w:val="100"/>
          <w:sz w:val="32"/>
          <w:szCs w:val="32"/>
        </w:rPr>
        <w:t>人</w:t>
      </w:r>
      <w:r>
        <w:rPr>
          <w:rFonts w:hint="default" w:ascii="Times New Roman" w:hAnsi="Times New Roman" w:eastAsia="仿宋_GB2312" w:cs="Times New Roman"/>
          <w:b w:val="0"/>
          <w:bCs/>
          <w:color w:val="auto"/>
          <w:spacing w:val="0"/>
          <w:w w:val="100"/>
          <w:sz w:val="32"/>
          <w:szCs w:val="32"/>
          <w:lang w:eastAsia="zh-CN"/>
        </w:rPr>
        <w:t>；从严</w:t>
      </w:r>
      <w:r>
        <w:rPr>
          <w:rFonts w:hint="default" w:ascii="Times New Roman" w:hAnsi="Times New Roman" w:eastAsia="仿宋_GB2312" w:cs="Times New Roman"/>
          <w:b w:val="0"/>
          <w:bCs/>
          <w:color w:val="auto"/>
          <w:spacing w:val="0"/>
          <w:w w:val="100"/>
          <w:sz w:val="32"/>
          <w:szCs w:val="32"/>
        </w:rPr>
        <w:t>查处违规垂钓行为，收缴违规钓具</w:t>
      </w:r>
      <w:r>
        <w:rPr>
          <w:rFonts w:hint="default" w:ascii="Times New Roman" w:hAnsi="Times New Roman" w:eastAsia="仿宋_GB2312" w:cs="Times New Roman"/>
          <w:b w:val="0"/>
          <w:bCs/>
          <w:color w:val="auto"/>
          <w:spacing w:val="0"/>
          <w:w w:val="100"/>
          <w:sz w:val="32"/>
          <w:szCs w:val="32"/>
          <w:lang w:val="en-US" w:eastAsia="zh-CN"/>
        </w:rPr>
        <w:t>137</w:t>
      </w:r>
      <w:r>
        <w:rPr>
          <w:rFonts w:hint="default" w:ascii="Times New Roman" w:hAnsi="Times New Roman" w:eastAsia="仿宋_GB2312" w:cs="Times New Roman"/>
          <w:b w:val="0"/>
          <w:bCs/>
          <w:color w:val="auto"/>
          <w:spacing w:val="0"/>
          <w:w w:val="100"/>
          <w:sz w:val="32"/>
          <w:szCs w:val="32"/>
        </w:rPr>
        <w:t>根</w:t>
      </w:r>
      <w:r>
        <w:rPr>
          <w:rFonts w:hint="default" w:ascii="Times New Roman" w:hAnsi="Times New Roman" w:eastAsia="仿宋_GB2312" w:cs="Times New Roman"/>
          <w:b w:val="0"/>
          <w:bCs/>
          <w:color w:val="auto"/>
          <w:spacing w:val="0"/>
          <w:w w:val="100"/>
          <w:sz w:val="32"/>
          <w:szCs w:val="32"/>
          <w:lang w:eastAsia="zh-CN"/>
        </w:rPr>
        <w:t>；</w:t>
      </w:r>
      <w:r>
        <w:rPr>
          <w:rFonts w:hint="default" w:ascii="Times New Roman" w:hAnsi="Times New Roman" w:eastAsia="仿宋_GB2312" w:cs="Times New Roman"/>
          <w:b w:val="0"/>
          <w:bCs/>
          <w:color w:val="auto"/>
          <w:spacing w:val="0"/>
          <w:w w:val="100"/>
          <w:sz w:val="32"/>
          <w:szCs w:val="32"/>
        </w:rPr>
        <w:t>规范水产品经营户</w:t>
      </w:r>
      <w:r>
        <w:rPr>
          <w:rFonts w:hint="default" w:ascii="Times New Roman" w:hAnsi="Times New Roman" w:eastAsia="仿宋_GB2312" w:cs="Times New Roman"/>
          <w:b w:val="0"/>
          <w:bCs/>
          <w:color w:val="auto"/>
          <w:spacing w:val="0"/>
          <w:w w:val="100"/>
          <w:sz w:val="32"/>
          <w:szCs w:val="32"/>
          <w:lang w:eastAsia="zh-CN"/>
        </w:rPr>
        <w:t>（店）、</w:t>
      </w:r>
      <w:r>
        <w:rPr>
          <w:rFonts w:hint="default" w:ascii="Times New Roman" w:hAnsi="Times New Roman" w:eastAsia="仿宋_GB2312" w:cs="Times New Roman"/>
          <w:b w:val="0"/>
          <w:bCs/>
          <w:color w:val="auto"/>
          <w:spacing w:val="0"/>
          <w:w w:val="100"/>
          <w:sz w:val="32"/>
          <w:szCs w:val="32"/>
        </w:rPr>
        <w:t xml:space="preserve">餐馆招牌 </w:t>
      </w:r>
      <w:r>
        <w:rPr>
          <w:rFonts w:hint="default" w:ascii="Times New Roman" w:hAnsi="Times New Roman" w:eastAsia="仿宋_GB2312" w:cs="Times New Roman"/>
          <w:b w:val="0"/>
          <w:bCs/>
          <w:color w:val="auto"/>
          <w:spacing w:val="0"/>
          <w:w w:val="100"/>
          <w:sz w:val="32"/>
          <w:szCs w:val="32"/>
          <w:lang w:val="en-US" w:eastAsia="zh-CN"/>
        </w:rPr>
        <w:t>21</w:t>
      </w:r>
      <w:r>
        <w:rPr>
          <w:rFonts w:hint="default" w:ascii="Times New Roman" w:hAnsi="Times New Roman" w:eastAsia="仿宋_GB2312" w:cs="Times New Roman"/>
          <w:b w:val="0"/>
          <w:bCs/>
          <w:color w:val="auto"/>
          <w:spacing w:val="0"/>
          <w:w w:val="100"/>
          <w:sz w:val="32"/>
          <w:szCs w:val="32"/>
        </w:rPr>
        <w:t>块，对电商平台开展行政指导</w:t>
      </w:r>
      <w:r>
        <w:rPr>
          <w:rFonts w:hint="default" w:ascii="Times New Roman" w:hAnsi="Times New Roman" w:eastAsia="仿宋_GB2312" w:cs="Times New Roman"/>
          <w:b w:val="0"/>
          <w:bCs/>
          <w:color w:val="auto"/>
          <w:spacing w:val="0"/>
          <w:w w:val="100"/>
          <w:sz w:val="32"/>
          <w:szCs w:val="32"/>
          <w:lang w:val="en-US" w:eastAsia="zh-CN"/>
        </w:rPr>
        <w:t>31</w:t>
      </w:r>
      <w:r>
        <w:rPr>
          <w:rFonts w:hint="default" w:ascii="Times New Roman" w:hAnsi="Times New Roman" w:eastAsia="仿宋_GB2312" w:cs="Times New Roman"/>
          <w:b w:val="0"/>
          <w:bCs/>
          <w:color w:val="auto"/>
          <w:spacing w:val="0"/>
          <w:w w:val="100"/>
          <w:sz w:val="32"/>
          <w:szCs w:val="32"/>
        </w:rPr>
        <w:t>次，下达责令整改通知书</w:t>
      </w:r>
      <w:r>
        <w:rPr>
          <w:rFonts w:hint="default" w:ascii="Times New Roman" w:hAnsi="Times New Roman" w:eastAsia="仿宋_GB2312" w:cs="Times New Roman"/>
          <w:b w:val="0"/>
          <w:bCs/>
          <w:color w:val="auto"/>
          <w:spacing w:val="0"/>
          <w:w w:val="100"/>
          <w:sz w:val="32"/>
          <w:szCs w:val="32"/>
          <w:lang w:val="en-US" w:eastAsia="zh-CN"/>
        </w:rPr>
        <w:t>36</w:t>
      </w:r>
      <w:r>
        <w:rPr>
          <w:rFonts w:hint="default" w:ascii="Times New Roman" w:hAnsi="Times New Roman" w:eastAsia="仿宋_GB2312" w:cs="Times New Roman"/>
          <w:b w:val="0"/>
          <w:bCs/>
          <w:color w:val="auto"/>
          <w:spacing w:val="0"/>
          <w:w w:val="100"/>
          <w:sz w:val="32"/>
          <w:szCs w:val="32"/>
        </w:rPr>
        <w:t>份</w:t>
      </w:r>
      <w:r>
        <w:rPr>
          <w:rFonts w:hint="default" w:ascii="Times New Roman" w:hAnsi="Times New Roman" w:eastAsia="仿宋_GB2312" w:cs="Times New Roman"/>
          <w:b w:val="0"/>
          <w:bCs/>
          <w:color w:val="auto"/>
          <w:spacing w:val="0"/>
          <w:w w:val="100"/>
          <w:sz w:val="32"/>
          <w:szCs w:val="32"/>
          <w:lang w:eastAsia="zh-CN"/>
        </w:rPr>
        <w:t>。</w:t>
      </w:r>
      <w:r>
        <w:rPr>
          <w:rFonts w:hint="default" w:ascii="Times New Roman" w:hAnsi="Times New Roman" w:eastAsia="仿宋_GB2312" w:cs="Times New Roman"/>
          <w:b w:val="0"/>
          <w:bCs/>
          <w:w w:val="100"/>
          <w:sz w:val="32"/>
          <w:szCs w:val="32"/>
          <w:lang w:val="en-US" w:eastAsia="zh-CN"/>
        </w:rPr>
        <w:t>四是设施高标准建设。</w:t>
      </w:r>
      <w:r>
        <w:rPr>
          <w:rFonts w:hint="default" w:ascii="Times New Roman" w:hAnsi="Times New Roman" w:eastAsia="仿宋_GB2312" w:cs="Times New Roman"/>
          <w:b w:val="0"/>
          <w:bCs/>
          <w:color w:val="auto"/>
          <w:spacing w:val="0"/>
          <w:w w:val="100"/>
          <w:sz w:val="32"/>
          <w:szCs w:val="32"/>
          <w:lang w:val="en-US" w:eastAsia="zh-CN"/>
        </w:rPr>
        <w:t>配备执法快艇、无人机等设备，</w:t>
      </w:r>
      <w:r>
        <w:rPr>
          <w:rFonts w:hint="default" w:ascii="Times New Roman" w:hAnsi="Times New Roman" w:eastAsia="仿宋_GB2312" w:cs="Times New Roman"/>
          <w:b w:val="0"/>
          <w:bCs/>
          <w:color w:val="auto"/>
          <w:spacing w:val="0"/>
          <w:w w:val="100"/>
          <w:sz w:val="32"/>
          <w:szCs w:val="32"/>
        </w:rPr>
        <w:t>全力推进渔政执法码头和智慧渔政视频监控系统“天网”工程建设</w:t>
      </w:r>
      <w:r>
        <w:rPr>
          <w:rFonts w:hint="default" w:ascii="Times New Roman" w:hAnsi="Times New Roman" w:eastAsia="仿宋_GB2312" w:cs="Times New Roman"/>
          <w:b w:val="0"/>
          <w:bCs/>
          <w:color w:val="auto"/>
          <w:spacing w:val="0"/>
          <w:w w:val="100"/>
          <w:sz w:val="32"/>
          <w:szCs w:val="32"/>
          <w:lang w:eastAsia="zh-CN"/>
        </w:rPr>
        <w:t>。</w:t>
      </w:r>
      <w:r>
        <w:rPr>
          <w:rFonts w:hint="default" w:ascii="Times New Roman" w:hAnsi="Times New Roman" w:eastAsia="仿宋_GB2312" w:cs="Times New Roman"/>
          <w:b w:val="0"/>
          <w:bCs/>
          <w:color w:val="auto"/>
          <w:spacing w:val="0"/>
          <w:w w:val="100"/>
          <w:sz w:val="32"/>
          <w:szCs w:val="32"/>
          <w:lang w:val="en-US" w:eastAsia="zh-CN"/>
        </w:rPr>
        <w:t>其中，“智慧渔政”视频监控系统于11月15日投入使用以来，充分发挥其预警功能，2分钟内即可快速响应。</w:t>
      </w:r>
      <w:r>
        <w:rPr>
          <w:rFonts w:hint="default" w:ascii="Times New Roman" w:hAnsi="Times New Roman" w:eastAsia="仿宋_GB2312" w:cs="Times New Roman"/>
          <w:b w:val="0"/>
          <w:bCs/>
          <w:color w:val="auto"/>
          <w:spacing w:val="0"/>
          <w:w w:val="100"/>
          <w:sz w:val="32"/>
          <w:szCs w:val="32"/>
        </w:rPr>
        <w:t>水上综合执法码头目前已完成</w:t>
      </w:r>
      <w:r>
        <w:rPr>
          <w:rFonts w:hint="default" w:ascii="Times New Roman" w:hAnsi="Times New Roman" w:eastAsia="仿宋_GB2312" w:cs="Times New Roman"/>
          <w:b w:val="0"/>
          <w:bCs/>
          <w:color w:val="auto"/>
          <w:spacing w:val="0"/>
          <w:w w:val="100"/>
          <w:sz w:val="32"/>
          <w:szCs w:val="32"/>
          <w:lang w:val="en-US" w:eastAsia="zh-CN"/>
        </w:rPr>
        <w:t>所有前期工作</w:t>
      </w:r>
      <w:r>
        <w:rPr>
          <w:rFonts w:hint="default" w:ascii="Times New Roman" w:hAnsi="Times New Roman" w:eastAsia="仿宋_GB2312" w:cs="Times New Roman"/>
          <w:b w:val="0"/>
          <w:bCs/>
          <w:color w:val="auto"/>
          <w:spacing w:val="0"/>
          <w:w w:val="100"/>
          <w:sz w:val="32"/>
          <w:szCs w:val="32"/>
          <w:lang w:eastAsia="zh-CN"/>
        </w:rPr>
        <w:t>，</w:t>
      </w:r>
      <w:r>
        <w:rPr>
          <w:rFonts w:hint="default" w:ascii="Times New Roman" w:hAnsi="Times New Roman" w:eastAsia="仿宋_GB2312" w:cs="Times New Roman"/>
          <w:b w:val="0"/>
          <w:bCs/>
          <w:color w:val="auto"/>
          <w:spacing w:val="0"/>
          <w:w w:val="100"/>
          <w:sz w:val="32"/>
          <w:szCs w:val="32"/>
          <w:lang w:val="en-US" w:eastAsia="zh-CN"/>
        </w:rPr>
        <w:t>待</w:t>
      </w:r>
      <w:r>
        <w:rPr>
          <w:rFonts w:hint="default" w:ascii="Times New Roman" w:hAnsi="Times New Roman" w:eastAsia="仿宋_GB2312" w:cs="Times New Roman"/>
          <w:b w:val="0"/>
          <w:bCs/>
          <w:color w:val="auto"/>
          <w:spacing w:val="0"/>
          <w:w w:val="100"/>
          <w:sz w:val="32"/>
          <w:szCs w:val="32"/>
          <w:lang w:eastAsia="zh-CN"/>
        </w:rPr>
        <w:t>招标程序</w:t>
      </w:r>
      <w:r>
        <w:rPr>
          <w:rFonts w:hint="default" w:ascii="Times New Roman" w:hAnsi="Times New Roman" w:eastAsia="仿宋_GB2312" w:cs="Times New Roman"/>
          <w:b w:val="0"/>
          <w:bCs/>
          <w:color w:val="auto"/>
          <w:spacing w:val="0"/>
          <w:w w:val="100"/>
          <w:sz w:val="32"/>
          <w:szCs w:val="32"/>
          <w:lang w:val="en-US" w:eastAsia="zh-CN"/>
        </w:rPr>
        <w:t>完成后即可开工</w:t>
      </w:r>
      <w:r>
        <w:rPr>
          <w:rFonts w:hint="default" w:ascii="Times New Roman" w:hAnsi="Times New Roman" w:eastAsia="仿宋_GB2312" w:cs="Times New Roman"/>
          <w:b w:val="0"/>
          <w:bCs/>
          <w:color w:val="auto"/>
          <w:spacing w:val="0"/>
          <w:w w:val="100"/>
          <w:sz w:val="32"/>
          <w:szCs w:val="32"/>
          <w:lang w:eastAsia="zh-CN"/>
        </w:rPr>
        <w:t>。</w:t>
      </w:r>
    </w:p>
    <w:p>
      <w:pPr>
        <w:pStyle w:val="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color w:val="auto"/>
          <w:spacing w:val="0"/>
          <w:w w:val="100"/>
          <w:sz w:val="32"/>
          <w:szCs w:val="32"/>
          <w:lang w:val="en-US" w:eastAsia="zh-CN"/>
        </w:rPr>
      </w:pPr>
      <w:r>
        <w:rPr>
          <w:rFonts w:hint="default" w:ascii="Times New Roman" w:hAnsi="Times New Roman" w:eastAsia="楷体_GB2312" w:cs="Times New Roman"/>
          <w:b w:val="0"/>
          <w:bCs/>
          <w:sz w:val="32"/>
          <w:szCs w:val="32"/>
          <w:lang w:val="en-US" w:eastAsia="zh-CN"/>
        </w:rPr>
        <w:t>4.聚力全产业链发展。</w:t>
      </w:r>
      <w:r>
        <w:rPr>
          <w:rFonts w:hint="default" w:ascii="Times New Roman" w:hAnsi="Times New Roman" w:eastAsia="仿宋_GB2312" w:cs="Times New Roman"/>
          <w:b w:val="0"/>
          <w:bCs/>
          <w:color w:val="auto"/>
          <w:spacing w:val="0"/>
          <w:w w:val="100"/>
          <w:sz w:val="32"/>
          <w:szCs w:val="32"/>
          <w:lang w:val="en-US" w:eastAsia="zh-CN"/>
        </w:rPr>
        <w:t>投资近10亿元的100万头生猪屠宰加工及5万吨物流冷链项目落地开工，计划打造生猪养殖、屠宰、加工、配送一条龙的生猪产业链条和湘西北澧水流域最大的冷链物流集散中心。深圳望家欢集团投资10亿元生猪肉兔健康养殖暨年1000万只肉兔加工项目正式签约，</w:t>
      </w:r>
      <w:r>
        <w:rPr>
          <w:rFonts w:hint="default" w:ascii="Times New Roman" w:hAnsi="Times New Roman" w:eastAsia="仿宋_GB2312" w:cs="Times New Roman"/>
          <w:b w:val="0"/>
          <w:bCs/>
          <w:w w:val="100"/>
          <w:sz w:val="32"/>
          <w:szCs w:val="32"/>
          <w:lang w:val="en-US" w:eastAsia="zh-CN"/>
        </w:rPr>
        <w:t>汇海年产23万吨环保型</w:t>
      </w:r>
      <w:r>
        <w:rPr>
          <w:rFonts w:hint="default" w:ascii="Times New Roman" w:hAnsi="Times New Roman" w:eastAsia="仿宋_GB2312" w:cs="Times New Roman"/>
          <w:b w:val="0"/>
          <w:bCs/>
          <w:color w:val="auto"/>
          <w:w w:val="100"/>
          <w:sz w:val="32"/>
          <w:szCs w:val="32"/>
          <w:lang w:val="en-US" w:eastAsia="zh-CN"/>
        </w:rPr>
        <w:t>配合</w:t>
      </w:r>
      <w:r>
        <w:rPr>
          <w:rFonts w:hint="default" w:ascii="Times New Roman" w:hAnsi="Times New Roman" w:eastAsia="仿宋_GB2312" w:cs="Times New Roman"/>
          <w:b w:val="0"/>
          <w:bCs/>
          <w:w w:val="100"/>
          <w:sz w:val="32"/>
          <w:szCs w:val="32"/>
          <w:lang w:val="en-US" w:eastAsia="zh-CN"/>
        </w:rPr>
        <w:t>饲料项目年底即将试运行，将有力推进津市养殖业高质量发展。</w:t>
      </w:r>
    </w:p>
    <w:p>
      <w:pPr>
        <w:pStyle w:val="9"/>
        <w:ind w:firstLine="640" w:firstLineChars="200"/>
        <w:rPr>
          <w:rFonts w:hint="default"/>
          <w:b w:val="0"/>
          <w:bCs/>
          <w:lang w:val="en-US" w:eastAsia="zh-CN"/>
        </w:rPr>
      </w:pPr>
      <w:r>
        <w:rPr>
          <w:rFonts w:hint="default" w:ascii="Times New Roman" w:hAnsi="Times New Roman" w:eastAsia="楷体_GB2312" w:cs="Times New Roman"/>
          <w:b w:val="0"/>
          <w:bCs/>
          <w:sz w:val="32"/>
          <w:szCs w:val="32"/>
          <w:lang w:val="en-US" w:eastAsia="zh-CN"/>
        </w:rPr>
        <w:t>5.</w:t>
      </w:r>
      <w:r>
        <w:rPr>
          <w:rFonts w:hint="default" w:ascii="Times New Roman" w:hAnsi="Times New Roman" w:eastAsia="楷体_GB2312" w:cs="Times New Roman"/>
          <w:b w:val="0"/>
          <w:bCs/>
          <w:kern w:val="2"/>
          <w:sz w:val="32"/>
          <w:szCs w:val="32"/>
          <w:lang w:val="en-US" w:eastAsia="zh-CN" w:bidi="ar-SA"/>
        </w:rPr>
        <w:t>抓好疫病防控和食品安全</w:t>
      </w:r>
      <w:r>
        <w:rPr>
          <w:rFonts w:hint="default" w:ascii="Times New Roman" w:hAnsi="Times New Roman" w:eastAsia="仿宋" w:cs="Times New Roman"/>
          <w:b w:val="0"/>
          <w:bCs/>
          <w:spacing w:val="0"/>
          <w:sz w:val="32"/>
          <w:szCs w:val="32"/>
          <w:lang w:eastAsia="zh-CN"/>
        </w:rPr>
        <w:t>。</w:t>
      </w:r>
      <w:r>
        <w:rPr>
          <w:rFonts w:hint="default" w:ascii="Times New Roman" w:hAnsi="Times New Roman" w:eastAsia="仿宋_GB2312" w:cs="Times New Roman"/>
          <w:b w:val="0"/>
          <w:bCs/>
          <w:w w:val="100"/>
          <w:kern w:val="2"/>
          <w:sz w:val="32"/>
          <w:szCs w:val="32"/>
          <w:lang w:val="en-US" w:eastAsia="zh-CN" w:bidi="ar-SA"/>
        </w:rPr>
        <w:t>严防死守，确保了全年未发生重大动物疫情和畜禽水产品安全事故。</w:t>
      </w:r>
      <w:r>
        <w:rPr>
          <w:rFonts w:hint="default" w:ascii="Times New Roman" w:hAnsi="Times New Roman" w:eastAsia="仿宋" w:cs="Times New Roman"/>
          <w:b w:val="0"/>
          <w:bCs/>
          <w:spacing w:val="0"/>
          <w:sz w:val="32"/>
          <w:szCs w:val="32"/>
          <w:lang w:val="en-US" w:eastAsia="zh-CN"/>
        </w:rPr>
        <w:t>一是</w:t>
      </w:r>
      <w:r>
        <w:rPr>
          <w:rFonts w:hint="default" w:ascii="Times New Roman" w:hAnsi="Times New Roman" w:eastAsia="仿宋_GB2312" w:cs="Times New Roman"/>
          <w:b w:val="0"/>
          <w:bCs/>
          <w:w w:val="100"/>
          <w:sz w:val="32"/>
          <w:szCs w:val="32"/>
          <w:lang w:val="en-US" w:eastAsia="zh-CN"/>
        </w:rPr>
        <w:t>持续开展非洲猪瘟防控联合执法行动，严厉打击违规调运生猪、生猪产品等违法行为，开展联合执法行动41次。</w:t>
      </w:r>
      <w:r>
        <w:rPr>
          <w:rFonts w:hint="default" w:ascii="Times New Roman" w:hAnsi="Times New Roman" w:eastAsia="仿宋" w:cs="Times New Roman"/>
          <w:b w:val="0"/>
          <w:bCs/>
          <w:spacing w:val="0"/>
          <w:sz w:val="32"/>
          <w:szCs w:val="32"/>
          <w:lang w:val="en-US" w:eastAsia="zh-CN"/>
        </w:rPr>
        <w:t>二是</w:t>
      </w:r>
      <w:r>
        <w:rPr>
          <w:rFonts w:hint="default" w:ascii="Times New Roman" w:hAnsi="Times New Roman" w:eastAsia="仿宋_GB2312" w:cs="Times New Roman"/>
          <w:b w:val="0"/>
          <w:bCs/>
          <w:w w:val="100"/>
          <w:sz w:val="32"/>
          <w:szCs w:val="32"/>
          <w:lang w:val="en-US" w:eastAsia="zh-CN"/>
        </w:rPr>
        <w:t>圆满完成春秋两季防疫工作任务，畜禽强制免疫密度、牲畜免疫证发放、畜禽防疫档案建立、畜禽标识挂标均达到100%</w:t>
      </w:r>
      <w:r>
        <w:rPr>
          <w:rFonts w:hint="default" w:ascii="Times New Roman" w:hAnsi="Times New Roman" w:eastAsia="仿宋_GB2312" w:cs="Times New Roman"/>
          <w:b w:val="0"/>
          <w:bCs/>
          <w:color w:val="auto"/>
          <w:w w:val="100"/>
          <w:sz w:val="32"/>
          <w:szCs w:val="32"/>
          <w:lang w:val="en-US" w:eastAsia="zh-CN"/>
        </w:rPr>
        <w:t>。三是</w:t>
      </w:r>
      <w:r>
        <w:rPr>
          <w:rFonts w:hint="default" w:ascii="Times New Roman" w:hAnsi="Times New Roman" w:eastAsia="仿宋" w:cs="Times New Roman"/>
          <w:b w:val="0"/>
          <w:bCs/>
          <w:color w:val="auto"/>
          <w:spacing w:val="0"/>
          <w:w w:val="100"/>
          <w:sz w:val="32"/>
          <w:szCs w:val="32"/>
          <w:lang w:eastAsia="zh-CN"/>
        </w:rPr>
        <w:t>开</w:t>
      </w:r>
      <w:r>
        <w:rPr>
          <w:rFonts w:hint="default" w:ascii="Times New Roman" w:hAnsi="Times New Roman" w:eastAsia="仿宋" w:cs="Times New Roman"/>
          <w:b w:val="0"/>
          <w:bCs/>
          <w:spacing w:val="0"/>
          <w:w w:val="100"/>
          <w:sz w:val="32"/>
          <w:szCs w:val="32"/>
          <w:lang w:eastAsia="zh-CN"/>
        </w:rPr>
        <w:t>展动物疫病的例行监测和流行病学调查。全年采集畜禽血清样7500份</w:t>
      </w:r>
      <w:r>
        <w:rPr>
          <w:rFonts w:hint="eastAsia" w:ascii="Times New Roman" w:hAnsi="Times New Roman" w:eastAsia="仿宋" w:cs="Times New Roman"/>
          <w:b w:val="0"/>
          <w:bCs/>
          <w:spacing w:val="0"/>
          <w:w w:val="100"/>
          <w:sz w:val="32"/>
          <w:szCs w:val="32"/>
          <w:lang w:eastAsia="zh-CN"/>
        </w:rPr>
        <w:t>，</w:t>
      </w:r>
      <w:r>
        <w:rPr>
          <w:rFonts w:hint="default" w:ascii="Times New Roman" w:hAnsi="Times New Roman" w:eastAsia="仿宋" w:cs="Times New Roman"/>
          <w:b w:val="0"/>
          <w:bCs/>
          <w:spacing w:val="0"/>
          <w:w w:val="100"/>
          <w:sz w:val="32"/>
          <w:szCs w:val="32"/>
          <w:lang w:eastAsia="zh-CN"/>
        </w:rPr>
        <w:t>其中检测非洲猪瘟样品3600份，监测结果均为阴性。</w:t>
      </w:r>
      <w:r>
        <w:rPr>
          <w:rFonts w:hint="default" w:ascii="Times New Roman" w:hAnsi="Times New Roman" w:eastAsia="仿宋_GB2312" w:cs="Times New Roman"/>
          <w:b w:val="0"/>
          <w:bCs/>
          <w:color w:val="auto"/>
          <w:w w:val="100"/>
          <w:sz w:val="32"/>
          <w:szCs w:val="32"/>
          <w:lang w:val="en-US" w:eastAsia="zh-CN"/>
        </w:rPr>
        <w:t>全市动物血吸虫查病2100头，阳性数均为零；化疗动物4200头。</w:t>
      </w:r>
      <w:r>
        <w:rPr>
          <w:rFonts w:hint="default" w:ascii="Times New Roman" w:hAnsi="Times New Roman" w:eastAsia="仿宋_GB2312" w:cs="Times New Roman"/>
          <w:b w:val="0"/>
          <w:bCs/>
          <w:w w:val="100"/>
          <w:sz w:val="32"/>
          <w:szCs w:val="32"/>
          <w:lang w:val="en-US" w:eastAsia="zh-CN"/>
        </w:rPr>
        <w:t>四是强化养殖场投入品的监管，</w:t>
      </w:r>
      <w:r>
        <w:rPr>
          <w:rFonts w:hint="default" w:ascii="Times New Roman" w:hAnsi="Times New Roman" w:eastAsia="仿宋" w:cs="Times New Roman"/>
          <w:b w:val="0"/>
          <w:bCs/>
          <w:spacing w:val="0"/>
          <w:w w:val="100"/>
          <w:sz w:val="32"/>
          <w:szCs w:val="32"/>
          <w:lang w:val="en-US" w:eastAsia="zh-CN"/>
        </w:rPr>
        <w:t>开展农资打假、瘦肉精检测等专项行动</w:t>
      </w:r>
      <w:r>
        <w:rPr>
          <w:rFonts w:hint="eastAsia" w:ascii="Times New Roman" w:hAnsi="Times New Roman" w:eastAsia="仿宋" w:cs="Times New Roman"/>
          <w:b w:val="0"/>
          <w:bCs/>
          <w:spacing w:val="0"/>
          <w:w w:val="100"/>
          <w:sz w:val="32"/>
          <w:szCs w:val="32"/>
          <w:lang w:val="en-US" w:eastAsia="zh-CN"/>
        </w:rPr>
        <w:t>，</w:t>
      </w:r>
      <w:r>
        <w:rPr>
          <w:rFonts w:hint="default" w:ascii="Times New Roman" w:hAnsi="Times New Roman" w:eastAsia="仿宋" w:cs="Times New Roman"/>
          <w:b w:val="0"/>
          <w:bCs/>
          <w:spacing w:val="0"/>
          <w:w w:val="100"/>
          <w:sz w:val="32"/>
          <w:szCs w:val="32"/>
          <w:lang w:val="en-US" w:eastAsia="zh-CN"/>
        </w:rPr>
        <w:t>检查经营企业61家次，检查规模养殖场主体49家次。三是严格风险监督。今年，完成抽样检测样品286个，其中兽药饲料样17个，生猪尿样28个，畜禽肉品样132个，禽蛋样21个，水产品样88个，检测合格率均为100%。</w:t>
      </w:r>
    </w:p>
    <w:p>
      <w:pPr>
        <w:pStyle w:val="6"/>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numPr>
          <w:ilvl w:val="0"/>
          <w:numId w:val="0"/>
        </w:numPr>
        <w:spacing w:line="600" w:lineRule="exact"/>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绩效观念不深入。我中心在日常工作中存在一定程度的“重分配、轻管理、重支出、轻绩效”的情况，造成该问题的主要原因是自身绩效理念较薄弱，单位绩效目标编制仍缺失，需要进一步加强对资金绩效管理的重视程度。</w:t>
      </w:r>
    </w:p>
    <w:p>
      <w:pPr>
        <w:pStyle w:val="2"/>
      </w:pPr>
      <w:r>
        <w:rPr>
          <w:rFonts w:hint="eastAsia" w:ascii="仿宋" w:hAnsi="仿宋" w:eastAsia="仿宋" w:cs="仿宋"/>
          <w:sz w:val="32"/>
          <w:szCs w:val="32"/>
          <w:lang w:val="en-US" w:eastAsia="zh-CN"/>
        </w:rPr>
        <w:t xml:space="preserve">    2、内控制度需进一步完善。随着资金管理工作的进一步推进，我中心内部控制制度进行了相应的优化，建立健全了财务管理制度、固定资产管理制度、费用报销规定等制度，但仍需进一步强化财务约束监督体制。</w:t>
      </w:r>
    </w:p>
    <w:p>
      <w:pPr>
        <w:widowControl/>
        <w:numPr>
          <w:ilvl w:val="0"/>
          <w:numId w:val="2"/>
        </w:numPr>
        <w:spacing w:line="600" w:lineRule="exact"/>
        <w:ind w:firstLine="640" w:firstLineChars="200"/>
        <w:jc w:val="left"/>
        <w:rPr>
          <w:rFonts w:eastAsia="黑体"/>
          <w:sz w:val="32"/>
          <w:szCs w:val="32"/>
        </w:rPr>
      </w:pPr>
      <w:r>
        <w:rPr>
          <w:rFonts w:eastAsia="黑体"/>
          <w:sz w:val="32"/>
          <w:szCs w:val="32"/>
        </w:rPr>
        <w:t>下一步改进措施</w:t>
      </w:r>
    </w:p>
    <w:p>
      <w:pPr>
        <w:widowControl/>
        <w:numPr>
          <w:ilvl w:val="0"/>
          <w:numId w:val="3"/>
        </w:numPr>
        <w:spacing w:line="600" w:lineRule="exact"/>
        <w:ind w:firstLine="645"/>
        <w:jc w:val="left"/>
        <w:rPr>
          <w:rFonts w:hint="eastAsia" w:ascii="仿宋_GB2312" w:hAnsi="仿宋_GB2312" w:eastAsia="仿宋_GB2312" w:cs="Times New Roman"/>
          <w:color w:val="auto"/>
          <w:kern w:val="2"/>
          <w:sz w:val="32"/>
          <w:szCs w:val="32"/>
          <w:lang w:val="en-US" w:eastAsia="zh-CN"/>
        </w:rPr>
      </w:pPr>
      <w:r>
        <w:rPr>
          <w:rFonts w:hint="eastAsia" w:ascii="仿宋_GB2312" w:hAnsi="仿宋_GB2312" w:eastAsia="仿宋_GB2312" w:cs="Times New Roman"/>
          <w:color w:val="auto"/>
          <w:kern w:val="2"/>
          <w:sz w:val="32"/>
          <w:szCs w:val="32"/>
          <w:lang w:val="en-US" w:eastAsia="zh-CN"/>
        </w:rPr>
        <w:t>进一步增强绩效管理理念。更加科学合理的编制绩效目标，在管理和使用预算资金的过程中，将更加突出资金使用绩效，做到“花钱必问效”。加强与财政的沟通协调，按照绩效评价原则，开展资金安全性、规范性的监督，确保专项资金的使用符合绩效管理要求。</w:t>
      </w:r>
    </w:p>
    <w:p>
      <w:pPr>
        <w:pStyle w:val="2"/>
        <w:numPr>
          <w:ilvl w:val="0"/>
          <w:numId w:val="0"/>
        </w:numPr>
        <w:ind w:firstLine="640" w:firstLineChars="200"/>
      </w:pPr>
      <w:r>
        <w:rPr>
          <w:rFonts w:hint="eastAsia" w:ascii="仿宋" w:hAnsi="仿宋" w:eastAsia="仿宋" w:cs="仿宋"/>
          <w:sz w:val="32"/>
          <w:szCs w:val="32"/>
          <w:lang w:val="en-US" w:eastAsia="zh-CN"/>
        </w:rPr>
        <w:t>2、进一步完善内部管理制度，提升管理效能。进一步加强项目资金管理，严格实行项目管理程序化，实现项目申报、实施、拨付、评价全流程监督与控制，规范项目资金管理，提高项目资金的使用效益。</w:t>
      </w:r>
    </w:p>
    <w:p>
      <w:pPr>
        <w:widowControl/>
        <w:spacing w:line="600" w:lineRule="exact"/>
        <w:ind w:firstLine="645"/>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pStyle w:val="2"/>
        <w:ind w:firstLine="640" w:firstLineChars="200"/>
        <w:rPr>
          <w:rFonts w:hint="eastAsia" w:ascii="宋体" w:hAnsi="宋体" w:eastAsia="宋体" w:cs="宋体"/>
          <w:b w:val="0"/>
          <w:bCs w:val="0"/>
          <w:sz w:val="32"/>
          <w:szCs w:val="32"/>
          <w:lang w:eastAsia="zh-CN"/>
        </w:rPr>
      </w:pPr>
      <w:r>
        <w:rPr>
          <w:rFonts w:hint="eastAsia" w:ascii="宋体" w:hAnsi="宋体" w:eastAsia="宋体" w:cs="宋体"/>
          <w:b w:val="0"/>
          <w:bCs w:val="0"/>
          <w:sz w:val="32"/>
          <w:szCs w:val="32"/>
          <w:lang w:eastAsia="zh-CN"/>
        </w:rPr>
        <w:t>无</w:t>
      </w:r>
    </w:p>
    <w:p>
      <w:pPr>
        <w:rPr>
          <w:rFonts w:hint="eastAsia" w:ascii="宋体" w:hAnsi="宋体" w:eastAsia="宋体" w:cs="宋体"/>
          <w:b w:val="0"/>
          <w:bCs w:val="0"/>
          <w:sz w:val="32"/>
          <w:szCs w:val="32"/>
          <w:lang w:eastAsia="zh-CN"/>
        </w:rPr>
      </w:pPr>
    </w:p>
    <w:p>
      <w:pPr>
        <w:pStyle w:val="2"/>
        <w:rPr>
          <w:rFonts w:hint="default"/>
          <w:lang w:val="en-US" w:eastAsia="zh-CN"/>
        </w:rPr>
      </w:pPr>
      <w:r>
        <w:rPr>
          <w:rFonts w:hint="eastAsia" w:ascii="宋体" w:hAnsi="宋体" w:cs="宋体"/>
          <w:b w:val="0"/>
          <w:bCs w:val="0"/>
          <w:sz w:val="32"/>
          <w:szCs w:val="32"/>
          <w:lang w:val="en-US" w:eastAsia="zh-CN"/>
        </w:rPr>
        <w:t xml:space="preserve">                                     2022年3月30日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B43376"/>
    <w:multiLevelType w:val="singleLevel"/>
    <w:tmpl w:val="E7B43376"/>
    <w:lvl w:ilvl="0" w:tentative="0">
      <w:start w:val="1"/>
      <w:numFmt w:val="chineseCounting"/>
      <w:suff w:val="nothing"/>
      <w:lvlText w:val="%1、"/>
      <w:lvlJc w:val="left"/>
      <w:rPr>
        <w:rFonts w:hint="eastAsia"/>
      </w:rPr>
    </w:lvl>
  </w:abstractNum>
  <w:abstractNum w:abstractNumId="1">
    <w:nsid w:val="5051A32D"/>
    <w:multiLevelType w:val="singleLevel"/>
    <w:tmpl w:val="5051A32D"/>
    <w:lvl w:ilvl="0" w:tentative="0">
      <w:start w:val="6"/>
      <w:numFmt w:val="chineseCounting"/>
      <w:suff w:val="nothing"/>
      <w:lvlText w:val="%1、"/>
      <w:lvlJc w:val="left"/>
      <w:rPr>
        <w:rFonts w:hint="eastAsia"/>
      </w:rPr>
    </w:lvl>
  </w:abstractNum>
  <w:abstractNum w:abstractNumId="2">
    <w:nsid w:val="605D9099"/>
    <w:multiLevelType w:val="singleLevel"/>
    <w:tmpl w:val="605D9099"/>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27F1C3A"/>
    <w:rsid w:val="03E448AE"/>
    <w:rsid w:val="05F12157"/>
    <w:rsid w:val="070E04CB"/>
    <w:rsid w:val="0AC46FD9"/>
    <w:rsid w:val="0D343082"/>
    <w:rsid w:val="11154971"/>
    <w:rsid w:val="13AD0236"/>
    <w:rsid w:val="1C381D54"/>
    <w:rsid w:val="1D187DD7"/>
    <w:rsid w:val="26E825C8"/>
    <w:rsid w:val="288504E7"/>
    <w:rsid w:val="2AFC2AE6"/>
    <w:rsid w:val="2DA03402"/>
    <w:rsid w:val="2E3946DC"/>
    <w:rsid w:val="308F78B9"/>
    <w:rsid w:val="36781D78"/>
    <w:rsid w:val="36EA75A1"/>
    <w:rsid w:val="3A076E09"/>
    <w:rsid w:val="3A7E52C6"/>
    <w:rsid w:val="3B5A188F"/>
    <w:rsid w:val="3B8F3226"/>
    <w:rsid w:val="3CC66AB0"/>
    <w:rsid w:val="40624D42"/>
    <w:rsid w:val="42EF50AF"/>
    <w:rsid w:val="4581260C"/>
    <w:rsid w:val="473F6B78"/>
    <w:rsid w:val="53225A65"/>
    <w:rsid w:val="53F87A3F"/>
    <w:rsid w:val="543409F8"/>
    <w:rsid w:val="55607561"/>
    <w:rsid w:val="558477DD"/>
    <w:rsid w:val="568A6C6D"/>
    <w:rsid w:val="5A9D5D9B"/>
    <w:rsid w:val="5AC726D1"/>
    <w:rsid w:val="5E6C7060"/>
    <w:rsid w:val="62665583"/>
    <w:rsid w:val="62A75240"/>
    <w:rsid w:val="6A7259FE"/>
    <w:rsid w:val="6A8E255C"/>
    <w:rsid w:val="6CF16632"/>
    <w:rsid w:val="6D4A785D"/>
    <w:rsid w:val="6FE34645"/>
    <w:rsid w:val="700E14C5"/>
    <w:rsid w:val="74F01E8B"/>
    <w:rsid w:val="7B4E2AF6"/>
    <w:rsid w:val="7D056D7A"/>
    <w:rsid w:val="7D570F3F"/>
    <w:rsid w:val="7EAE5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0"/>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3">
    <w:name w:val="footer"/>
    <w:basedOn w:val="1"/>
    <w:qFormat/>
    <w:uiPriority w:val="99"/>
    <w:pPr>
      <w:tabs>
        <w:tab w:val="center" w:pos="4153"/>
        <w:tab w:val="right" w:pos="8306"/>
      </w:tabs>
      <w:snapToGrid w:val="0"/>
      <w:jc w:val="left"/>
    </w:pPr>
    <w:rPr>
      <w:sz w:val="18"/>
      <w:szCs w:val="18"/>
    </w:rPr>
  </w:style>
  <w:style w:type="paragraph" w:styleId="6">
    <w:name w:val="List Paragraph"/>
    <w:basedOn w:val="1"/>
    <w:qFormat/>
    <w:uiPriority w:val="99"/>
    <w:pPr>
      <w:ind w:firstLine="420" w:firstLineChars="200"/>
    </w:pPr>
    <w:rPr>
      <w:rFonts w:ascii="Calibri" w:hAnsi="Calibri" w:eastAsia="宋体" w:cs="Times New Roman"/>
      <w:szCs w:val="22"/>
    </w:rPr>
  </w:style>
  <w:style w:type="paragraph" w:customStyle="1" w:styleId="7">
    <w:name w:val="BodyText1I2"/>
    <w:basedOn w:val="8"/>
    <w:next w:val="9"/>
    <w:qFormat/>
    <w:uiPriority w:val="99"/>
    <w:pPr>
      <w:ind w:firstLine="420" w:firstLineChars="200"/>
    </w:pPr>
  </w:style>
  <w:style w:type="paragraph" w:customStyle="1" w:styleId="8">
    <w:name w:val="BodyTextIndent"/>
    <w:basedOn w:val="1"/>
    <w:qFormat/>
    <w:uiPriority w:val="99"/>
    <w:pPr>
      <w:spacing w:after="120"/>
      <w:ind w:left="420" w:leftChars="200"/>
    </w:pPr>
  </w:style>
  <w:style w:type="paragraph" w:customStyle="1" w:styleId="9">
    <w:name w:val="BodyText"/>
    <w:basedOn w:val="1"/>
    <w:next w:val="1"/>
    <w:qFormat/>
    <w:uiPriority w:val="99"/>
    <w:pPr>
      <w:spacing w:after="120"/>
    </w:pPr>
  </w:style>
  <w:style w:type="character" w:customStyle="1" w:styleId="10">
    <w:name w:val="NormalCharacter"/>
    <w:link w:val="1"/>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3016</Words>
  <Characters>3233</Characters>
  <Lines>0</Lines>
  <Paragraphs>0</Paragraphs>
  <TotalTime>0</TotalTime>
  <ScaleCrop>false</ScaleCrop>
  <LinksUpToDate>false</LinksUpToDate>
  <CharactersWithSpaces>3276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123</cp:lastModifiedBy>
  <dcterms:modified xsi:type="dcterms:W3CDTF">2022-04-01T08:09:41Z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