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spacing w:line="600" w:lineRule="exact"/>
        <w:jc w:val="center"/>
        <w:rPr>
          <w:rFonts w:eastAsia="方正小标宋_GBK"/>
          <w:sz w:val="36"/>
          <w:szCs w:val="36"/>
        </w:rPr>
      </w:pPr>
      <w:r>
        <w:rPr>
          <w:rFonts w:eastAsia="方正小标宋_GBK"/>
          <w:sz w:val="36"/>
          <w:szCs w:val="36"/>
          <w:lang w:val="en-US" w:eastAsia="zh-CN"/>
        </w:rPr>
        <w:t>津市市信访局</w:t>
      </w:r>
      <w:r>
        <w:rPr>
          <w:rFonts w:eastAsia="方正小标宋_GBK" w:hint="eastAsia"/>
          <w:sz w:val="36"/>
          <w:szCs w:val="36"/>
          <w:lang w:val="en-US" w:eastAsia="zh-CN"/>
        </w:rPr>
        <w:t>2021年度</w:t>
      </w:r>
      <w:r>
        <w:rPr>
          <w:rFonts w:eastAsia="方正小标宋_GBK"/>
          <w:sz w:val="36"/>
          <w:szCs w:val="36"/>
        </w:rPr>
        <w:t>部门整体支出</w:t>
      </w:r>
    </w:p>
    <w:p>
      <w:pPr>
        <w:spacing w:line="600" w:lineRule="exact"/>
        <w:jc w:val="center"/>
        <w:rPr>
          <w:rFonts w:eastAsia="方正小标宋_GBK"/>
          <w:sz w:val="32"/>
          <w:szCs w:val="32"/>
        </w:rPr>
      </w:pPr>
      <w:r>
        <w:rPr>
          <w:rFonts w:eastAsia="方正小标宋_GBK"/>
          <w:sz w:val="36"/>
          <w:szCs w:val="36"/>
        </w:rPr>
        <w:t>绩效报告</w:t>
      </w:r>
    </w:p>
    <w:p>
      <w:pPr>
        <w:spacing w:line="600" w:lineRule="exact"/>
        <w:jc w:val="center"/>
        <w:rPr>
          <w:rFonts w:eastAsia="方正小标宋_GBK"/>
          <w:sz w:val="32"/>
          <w:szCs w:val="32"/>
        </w:rPr>
      </w:pPr>
    </w:p>
    <w:p>
      <w:pPr>
        <w:pStyle w:val="15"/>
        <w:widowControl/>
        <w:numPr>
          <w:ilvl w:val="0"/>
          <w:numId w:val="1"/>
        </w:numPr>
        <w:spacing w:line="600" w:lineRule="exact"/>
        <w:ind w:firstLineChars="0"/>
        <w:rPr>
          <w:rFonts w:ascii="Times New Roman" w:eastAsia="黑体" w:hAnsi="Times New Roman"/>
          <w:sz w:val="32"/>
          <w:szCs w:val="32"/>
        </w:rPr>
      </w:pPr>
      <w:r>
        <w:rPr>
          <w:rFonts w:ascii="Times New Roman" w:eastAsia="黑体" w:hAnsi="Times New Roman"/>
          <w:sz w:val="32"/>
          <w:szCs w:val="32"/>
        </w:rPr>
        <w:t>部门、单位基本情况</w:t>
      </w:r>
    </w:p>
    <w:p>
      <w:pPr>
        <w:snapToGrid w:val="0"/>
        <w:spacing w:line="520" w:lineRule="exact"/>
        <w:ind w:firstLineChars="200" w:firstLine="640"/>
        <w:rPr>
          <w:rFonts w:ascii="楷体_GB2312" w:eastAsia="楷体_GB2312" w:hint="eastAsia"/>
          <w:b/>
          <w:sz w:val="32"/>
          <w:szCs w:val="32"/>
        </w:rPr>
      </w:pPr>
      <w:r>
        <w:rPr>
          <w:rFonts w:ascii="楷体_GB2312" w:eastAsia="楷体_GB2312" w:hint="eastAsia"/>
          <w:b/>
          <w:sz w:val="32"/>
          <w:szCs w:val="32"/>
        </w:rPr>
        <w:t>（一）</w:t>
      </w:r>
      <w:r>
        <w:rPr>
          <w:rFonts w:ascii="楷体_GB2312" w:eastAsia="楷体_GB2312"/>
          <w:b/>
          <w:sz w:val="32"/>
          <w:szCs w:val="32"/>
        </w:rPr>
        <w:t>主要职能</w:t>
      </w:r>
      <w:r>
        <w:rPr>
          <w:rFonts w:ascii="楷体_GB2312" w:eastAsia="楷体_GB2312" w:hint="eastAsia"/>
          <w:b/>
          <w:sz w:val="32"/>
          <w:szCs w:val="32"/>
        </w:rPr>
        <w:t>。</w:t>
      </w:r>
    </w:p>
    <w:p>
      <w:pPr>
        <w:snapToGrid w:val="0"/>
        <w:spacing w:line="520" w:lineRule="exact"/>
        <w:ind w:firstLineChars="200" w:firstLine="640"/>
        <w:rPr>
          <w:rFonts w:ascii="仿宋" w:eastAsia="仿宋" w:hint="eastAsia"/>
          <w:sz w:val="32"/>
          <w:szCs w:val="32"/>
          <w:lang w:bidi="ar-SA"/>
        </w:rPr>
      </w:pPr>
      <w:r>
        <w:rPr>
          <w:rFonts w:ascii="仿宋" w:eastAsia="仿宋" w:hint="eastAsia"/>
          <w:sz w:val="32"/>
          <w:szCs w:val="32"/>
          <w:lang w:bidi="ar-SA"/>
        </w:rPr>
        <w:t>1、负责处理人民群众来信，接待群众来访，为领导同志接待上访群众做好组织服务工作。2、承办上级党委、政府、信访机构及市委、市政府交办的信访事项，督促检查领导同志批示件的落实情况；向乡镇、街道和市直部门交办、转送信访事项，督促检查处理落实情况。3、综合、反映群众来信来访中提出的重要意见、建议和问题，开展调查研究，为市委、市政府政府提供信访信息，为市委、市人民政府决策和指导工作提供服务。4、协同有关部门处理跨地区、跨部门的重大信访问题；协调处理群众来市到常赴省进京等上访和异常、突发性信访事项；协调全市各党政机关的信访工作。5、研究、起草有关信访工作的文件规定；开展信访工作宣传、研讨、信访干部培训；指导全市信访业务和信访办公自动化建设，总结推广信访工作经验，提出加强和改进信访工作的意见，对信访工作中失职、渎职行为提出处理建议。6、承担市处理信访突出问题及群体性事件联席会议、市信访事项复查复核委员会的日常工作，开展矛盾纠纷排查化解，督促落实联席会议决定的事项。7、承办市委、市政府交办的其他事项。</w:t>
      </w:r>
      <w:bookmarkStart w:id="0" w:name="_GoBack"/>
      <w:bookmarkEnd w:id="0"/>
    </w:p>
    <w:p>
      <w:pPr>
        <w:snapToGrid w:val="0"/>
        <w:spacing w:line="520" w:lineRule="exact"/>
        <w:ind w:firstLineChars="200" w:firstLine="640"/>
        <w:rPr>
          <w:rFonts w:ascii="仿宋" w:eastAsia="仿宋" w:cs="Times New Roman"/>
          <w:sz w:val="32"/>
          <w:szCs w:val="32"/>
        </w:rPr>
      </w:pPr>
      <w:r>
        <w:rPr>
          <w:rFonts w:ascii="仿宋" w:eastAsia="仿宋" w:cs="Times New Roman"/>
          <w:b/>
          <w:bCs/>
          <w:sz w:val="32"/>
          <w:szCs w:val="32"/>
        </w:rPr>
        <w:t>（二）</w:t>
      </w:r>
      <w:r>
        <w:rPr>
          <w:rFonts w:ascii="仿宋" w:eastAsia="仿宋" w:cs="Times New Roman" w:hint="eastAsia"/>
          <w:b/>
          <w:bCs/>
          <w:sz w:val="32"/>
          <w:szCs w:val="32"/>
        </w:rPr>
        <w:t>机构情况。</w:t>
      </w:r>
      <w:r>
        <w:rPr>
          <w:rFonts w:ascii="仿宋" w:eastAsia="仿宋" w:cs="Times New Roman"/>
          <w:sz w:val="32"/>
          <w:szCs w:val="32"/>
        </w:rPr>
        <w:t>信访</w:t>
      </w:r>
      <w:r>
        <w:rPr>
          <w:rFonts w:ascii="仿宋" w:eastAsia="仿宋" w:cs="Times New Roman" w:hint="eastAsia"/>
          <w:sz w:val="32"/>
          <w:szCs w:val="32"/>
        </w:rPr>
        <w:t>局共设独立编制机构</w:t>
      </w:r>
      <w:r>
        <w:rPr>
          <w:rFonts w:ascii="仿宋" w:eastAsia="仿宋" w:cs="Times New Roman"/>
          <w:sz w:val="32"/>
          <w:szCs w:val="32"/>
        </w:rPr>
        <w:t>2</w:t>
      </w:r>
      <w:r>
        <w:rPr>
          <w:rFonts w:ascii="仿宋" w:eastAsia="仿宋" w:cs="Times New Roman" w:hint="eastAsia"/>
          <w:sz w:val="32"/>
          <w:szCs w:val="32"/>
        </w:rPr>
        <w:t>个，其中行政机构1个（</w:t>
      </w:r>
      <w:r>
        <w:rPr>
          <w:rFonts w:ascii="仿宋" w:eastAsia="仿宋" w:cs="Times New Roman"/>
          <w:sz w:val="32"/>
          <w:szCs w:val="32"/>
          <w:lang w:eastAsia="zh-CN"/>
        </w:rPr>
        <w:t>津市市信访局</w:t>
      </w:r>
      <w:r>
        <w:rPr>
          <w:rFonts w:ascii="仿宋" w:eastAsia="仿宋" w:cs="Times New Roman" w:hint="eastAsia"/>
          <w:sz w:val="32"/>
          <w:szCs w:val="32"/>
        </w:rPr>
        <w:t>），事业机构</w:t>
      </w:r>
      <w:r>
        <w:rPr>
          <w:rFonts w:ascii="仿宋" w:eastAsia="仿宋" w:cs="Times New Roman"/>
          <w:sz w:val="32"/>
          <w:szCs w:val="32"/>
        </w:rPr>
        <w:t>1</w:t>
      </w:r>
      <w:r>
        <w:rPr>
          <w:rFonts w:ascii="仿宋" w:eastAsia="仿宋" w:cs="Times New Roman" w:hint="eastAsia"/>
          <w:sz w:val="32"/>
          <w:szCs w:val="32"/>
        </w:rPr>
        <w:t>个（</w:t>
      </w:r>
      <w:r>
        <w:rPr>
          <w:rFonts w:ascii="仿宋" w:eastAsia="仿宋" w:cs="Times New Roman"/>
          <w:sz w:val="32"/>
          <w:szCs w:val="32"/>
        </w:rPr>
        <w:t>津市市人民来访接访中心</w:t>
      </w:r>
      <w:r>
        <w:rPr>
          <w:rFonts w:ascii="仿宋" w:eastAsia="仿宋" w:cs="Times New Roman" w:hint="eastAsia"/>
          <w:sz w:val="32"/>
          <w:szCs w:val="32"/>
        </w:rPr>
        <w:t>）。</w:t>
      </w:r>
    </w:p>
    <w:p>
      <w:pPr>
        <w:spacing w:line="540" w:lineRule="exact"/>
        <w:ind w:left="0" w:firstLineChars="150" w:firstLine="480"/>
        <w:rPr>
          <w:rFonts w:ascii="仿宋_GB2312" w:eastAsia="仿宋_GB2312" w:cs="黑体" w:hint="eastAsia"/>
          <w:color w:val="3D3D3D"/>
          <w:kern w:val="0"/>
          <w:sz w:val="32"/>
          <w:szCs w:val="32"/>
        </w:rPr>
      </w:pPr>
      <w:r>
        <w:rPr>
          <w:rFonts w:ascii="仿宋" w:eastAsia="仿宋" w:cs="Times New Roman"/>
          <w:b/>
          <w:bCs/>
          <w:sz w:val="32"/>
          <w:szCs w:val="32"/>
        </w:rPr>
        <w:t>（三）</w:t>
      </w:r>
      <w:r>
        <w:rPr>
          <w:rFonts w:ascii="仿宋" w:eastAsia="仿宋" w:cs="Times New Roman" w:hint="eastAsia"/>
          <w:b/>
          <w:bCs/>
          <w:sz w:val="32"/>
          <w:szCs w:val="32"/>
        </w:rPr>
        <w:t>人员情况。</w:t>
      </w:r>
      <w:r>
        <w:rPr>
          <w:rFonts w:ascii="仿宋" w:eastAsia="仿宋" w:cs="Times New Roman" w:hint="eastAsia"/>
          <w:sz w:val="32"/>
          <w:szCs w:val="32"/>
        </w:rPr>
        <w:t>全局共有干部职工</w:t>
      </w:r>
      <w:r>
        <w:rPr>
          <w:rFonts w:ascii="仿宋" w:eastAsia="仿宋" w:cs="Times New Roman"/>
          <w:sz w:val="32"/>
          <w:szCs w:val="32"/>
        </w:rPr>
        <w:t>15</w:t>
      </w:r>
      <w:r>
        <w:rPr>
          <w:rFonts w:ascii="仿宋" w:eastAsia="仿宋" w:cs="Times New Roman" w:hint="eastAsia"/>
          <w:sz w:val="32"/>
          <w:szCs w:val="32"/>
        </w:rPr>
        <w:t>人，其中行政人员</w:t>
      </w:r>
      <w:r>
        <w:rPr>
          <w:rFonts w:ascii="仿宋" w:eastAsia="仿宋" w:cs="Times New Roman"/>
          <w:sz w:val="32"/>
          <w:szCs w:val="32"/>
        </w:rPr>
        <w:t>6</w:t>
      </w:r>
      <w:r>
        <w:rPr>
          <w:rFonts w:ascii="仿宋" w:eastAsia="仿宋" w:cs="Times New Roman" w:hint="eastAsia"/>
          <w:sz w:val="32"/>
          <w:szCs w:val="32"/>
        </w:rPr>
        <w:t>人，事业人员</w:t>
      </w:r>
      <w:r>
        <w:rPr>
          <w:rFonts w:ascii="仿宋" w:eastAsia="仿宋" w:cs="Times New Roman"/>
          <w:sz w:val="32"/>
          <w:szCs w:val="32"/>
        </w:rPr>
        <w:t>5</w:t>
      </w:r>
      <w:r>
        <w:rPr>
          <w:rFonts w:ascii="仿宋" w:eastAsia="仿宋" w:cs="Times New Roman" w:hint="eastAsia"/>
          <w:sz w:val="32"/>
          <w:szCs w:val="32"/>
        </w:rPr>
        <w:t>人。</w:t>
      </w:r>
      <w:r>
        <w:rPr>
          <w:rFonts w:eastAsia="仿宋_GB2312"/>
          <w:sz w:val="31"/>
          <w:szCs w:val="31"/>
          <w:shd w:val="clear" w:color="auto" w:fill="FFFFFF"/>
          <w:lang w:eastAsia="zh-CN"/>
        </w:rPr>
        <w:t>临聘人员2人，信访代办员2人。</w:t>
      </w:r>
    </w:p>
    <w:p>
      <w:pPr>
        <w:pStyle w:val="1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pPr>
        <w:autoSpaceDE w:val="0"/>
        <w:autoSpaceDN w:val="0"/>
        <w:adjustRightInd w:val="0"/>
        <w:spacing w:line="520" w:lineRule="exact"/>
        <w:ind w:firstLine="480"/>
        <w:rPr>
          <w:rFonts w:ascii="黑体" w:eastAsia="黑体" w:cs="Times New Roman" w:hint="eastAsia"/>
          <w:kern w:val="0"/>
          <w:sz w:val="32"/>
          <w:szCs w:val="32"/>
          <w:lang w:val="zh-CN"/>
        </w:rPr>
      </w:pPr>
      <w:r>
        <w:rPr>
          <w:rFonts w:ascii="黑体" w:eastAsia="黑体" w:cs="Times New Roman" w:hint="eastAsia"/>
          <w:kern w:val="0"/>
          <w:sz w:val="32"/>
          <w:szCs w:val="32"/>
          <w:lang w:val="zh-CN"/>
        </w:rPr>
        <w:t>2021年部门整体支出情况</w:t>
      </w:r>
    </w:p>
    <w:p>
      <w:pPr>
        <w:autoSpaceDE w:val="0"/>
        <w:autoSpaceDN w:val="0"/>
        <w:adjustRightInd w:val="0"/>
        <w:spacing w:line="520" w:lineRule="exact"/>
        <w:ind w:firstLine="480"/>
        <w:rPr>
          <w:rFonts w:ascii="仿宋" w:eastAsia="仿宋"/>
          <w:kern w:val="0"/>
          <w:sz w:val="32"/>
          <w:szCs w:val="32"/>
          <w:lang w:val="zh-CN"/>
        </w:rPr>
      </w:pPr>
      <w:r>
        <w:rPr>
          <w:rFonts w:ascii="仿宋" w:eastAsia="仿宋" w:cs="Times New Roman"/>
          <w:kern w:val="0"/>
          <w:sz w:val="32"/>
          <w:szCs w:val="32"/>
          <w:lang w:val="zh-CN"/>
        </w:rPr>
        <w:t>2021年度收入总计</w:t>
      </w:r>
      <w:r>
        <w:rPr>
          <w:rFonts w:eastAsia="仿宋_GB2312"/>
          <w:sz w:val="31"/>
          <w:szCs w:val="31"/>
          <w:shd w:val="clear" w:color="auto" w:fill="FFFFFF"/>
        </w:rPr>
        <w:t>321.48</w:t>
      </w:r>
      <w:r>
        <w:rPr>
          <w:rFonts w:ascii="仿宋" w:eastAsia="仿宋" w:cs="Times New Roman"/>
          <w:kern w:val="0"/>
          <w:sz w:val="32"/>
          <w:szCs w:val="32"/>
          <w:lang w:val="zh-CN"/>
        </w:rPr>
        <w:t>万元，其中：财政补助收入</w:t>
      </w:r>
      <w:r>
        <w:rPr>
          <w:rFonts w:eastAsia="仿宋_GB2312"/>
          <w:sz w:val="31"/>
          <w:szCs w:val="31"/>
          <w:shd w:val="clear" w:color="auto" w:fill="FFFFFF"/>
        </w:rPr>
        <w:t>321.48</w:t>
      </w:r>
      <w:r>
        <w:rPr>
          <w:rFonts w:ascii="仿宋" w:eastAsia="仿宋" w:cs="Times New Roman"/>
          <w:kern w:val="0"/>
          <w:sz w:val="32"/>
          <w:szCs w:val="32"/>
          <w:lang w:val="zh-CN"/>
        </w:rPr>
        <w:t>万元，其他收入0万元；支出总计</w:t>
      </w:r>
      <w:r>
        <w:rPr>
          <w:rFonts w:eastAsia="仿宋_GB2312"/>
          <w:sz w:val="32"/>
          <w:szCs w:val="32"/>
          <w:lang w:val="en-US" w:eastAsia="zh-CN"/>
        </w:rPr>
        <w:t>341.91万</w:t>
      </w:r>
      <w:r>
        <w:rPr>
          <w:rFonts w:ascii="仿宋" w:eastAsia="仿宋" w:cs="Times New Roman"/>
          <w:kern w:val="0"/>
          <w:sz w:val="32"/>
          <w:szCs w:val="32"/>
          <w:lang w:val="zh-CN"/>
        </w:rPr>
        <w:t>元，其中：基本支出</w:t>
      </w:r>
      <w:r>
        <w:rPr>
          <w:rFonts w:eastAsia="仿宋_GB2312"/>
          <w:sz w:val="32"/>
          <w:szCs w:val="32"/>
          <w:lang w:val="en-US" w:eastAsia="zh-CN"/>
        </w:rPr>
        <w:t>199.01</w:t>
      </w:r>
      <w:r>
        <w:rPr>
          <w:rFonts w:ascii="仿宋" w:eastAsia="仿宋" w:cs="Times New Roman"/>
          <w:kern w:val="0"/>
          <w:sz w:val="32"/>
          <w:szCs w:val="32"/>
          <w:lang w:val="zh-CN"/>
        </w:rPr>
        <w:t>万元，项目支出</w:t>
      </w:r>
      <w:r>
        <w:rPr>
          <w:rFonts w:eastAsia="仿宋_GB2312"/>
          <w:sz w:val="32"/>
          <w:szCs w:val="32"/>
          <w:lang w:val="en-US" w:eastAsia="zh-CN"/>
        </w:rPr>
        <w:t>142.9</w:t>
      </w:r>
      <w:r>
        <w:rPr>
          <w:rFonts w:ascii="仿宋" w:eastAsia="仿宋" w:cs="Times New Roman"/>
          <w:kern w:val="0"/>
          <w:sz w:val="32"/>
          <w:szCs w:val="32"/>
          <w:lang w:val="zh-CN"/>
        </w:rPr>
        <w:t>万元。201</w:t>
      </w:r>
      <w:r>
        <w:rPr>
          <w:rFonts w:ascii="仿宋" w:eastAsia="仿宋" w:cs="Times New Roman" w:hint="eastAsia"/>
          <w:kern w:val="0"/>
          <w:sz w:val="32"/>
          <w:szCs w:val="32"/>
          <w:lang w:val="zh-CN"/>
        </w:rPr>
        <w:t>8</w:t>
      </w:r>
      <w:r>
        <w:rPr>
          <w:rFonts w:ascii="仿宋" w:eastAsia="仿宋" w:cs="Times New Roman"/>
          <w:kern w:val="0"/>
          <w:sz w:val="32"/>
          <w:szCs w:val="32"/>
          <w:lang w:val="zh-CN"/>
        </w:rPr>
        <w:t>年度部门决算报表反映结转和结余</w:t>
      </w:r>
      <w:r>
        <w:rPr>
          <w:rFonts w:ascii="仿宋" w:eastAsia="仿宋" w:cs="Times New Roman" w:hint="eastAsia"/>
          <w:kern w:val="0"/>
          <w:sz w:val="32"/>
          <w:szCs w:val="32"/>
          <w:lang w:val="zh-CN"/>
        </w:rPr>
        <w:t>680.76</w:t>
      </w:r>
      <w:r>
        <w:rPr>
          <w:rFonts w:ascii="仿宋" w:eastAsia="仿宋" w:cs="Times New Roman"/>
          <w:kern w:val="0"/>
          <w:sz w:val="32"/>
          <w:szCs w:val="32"/>
          <w:lang w:val="zh-CN"/>
        </w:rPr>
        <w:t>万元。</w:t>
      </w:r>
    </w:p>
    <w:p>
      <w:pPr>
        <w:pStyle w:val="1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pPr>
        <w:pStyle w:val="15"/>
        <w:widowControl/>
        <w:spacing w:line="600" w:lineRule="exact"/>
        <w:ind w:firstLineChars="200" w:firstLine="640"/>
        <w:rPr>
          <w:rFonts w:ascii="仿宋" w:eastAsia="仿宋"/>
          <w:sz w:val="32"/>
          <w:szCs w:val="32"/>
        </w:rPr>
      </w:pPr>
      <w:r>
        <w:rPr>
          <w:rFonts w:ascii="仿宋" w:eastAsia="仿宋" w:cs="Times New Roman"/>
          <w:kern w:val="0"/>
          <w:sz w:val="32"/>
          <w:szCs w:val="32"/>
          <w:lang w:val="zh-CN"/>
        </w:rPr>
        <w:t>2021年度基本支出199.01万元，主要包括：</w:t>
      </w:r>
      <w:r>
        <w:rPr>
          <w:rFonts w:ascii="仿宋" w:eastAsia="仿宋" w:cs="Times New Roman" w:hint="eastAsia"/>
          <w:sz w:val="32"/>
          <w:szCs w:val="32"/>
        </w:rPr>
        <w:t>工资福利支出</w:t>
      </w:r>
      <w:r>
        <w:rPr>
          <w:rFonts w:ascii="仿宋" w:eastAsia="仿宋" w:cs="Times New Roman"/>
          <w:sz w:val="32"/>
          <w:szCs w:val="32"/>
        </w:rPr>
        <w:t>116.87</w:t>
      </w:r>
      <w:r>
        <w:rPr>
          <w:rFonts w:ascii="仿宋" w:eastAsia="仿宋" w:cs="Times New Roman" w:hint="eastAsia"/>
          <w:sz w:val="32"/>
          <w:szCs w:val="32"/>
        </w:rPr>
        <w:t>万元，商品和服务支出</w:t>
      </w:r>
      <w:r>
        <w:rPr>
          <w:rFonts w:ascii="仿宋" w:eastAsia="仿宋"/>
          <w:sz w:val="32"/>
          <w:szCs w:val="32"/>
        </w:rPr>
        <w:t>77.34</w:t>
      </w:r>
      <w:r>
        <w:rPr>
          <w:rFonts w:ascii="仿宋" w:eastAsia="仿宋" w:cs="Times New Roman" w:hint="eastAsia"/>
          <w:sz w:val="32"/>
          <w:szCs w:val="32"/>
        </w:rPr>
        <w:t>万元， 对个人和家庭的补助</w:t>
      </w:r>
      <w:r>
        <w:rPr>
          <w:rFonts w:ascii="仿宋" w:eastAsia="仿宋" w:cs="Times New Roman"/>
          <w:sz w:val="32"/>
          <w:szCs w:val="32"/>
        </w:rPr>
        <w:t>0.68</w:t>
      </w:r>
      <w:r>
        <w:rPr>
          <w:rFonts w:ascii="仿宋" w:eastAsia="仿宋" w:cs="Times New Roman" w:hint="eastAsia"/>
          <w:sz w:val="32"/>
          <w:szCs w:val="32"/>
        </w:rPr>
        <w:t>万元，资本性支出</w:t>
      </w:r>
      <w:r>
        <w:rPr>
          <w:rFonts w:ascii="仿宋" w:eastAsia="仿宋" w:cs="Times New Roman"/>
          <w:sz w:val="32"/>
          <w:szCs w:val="32"/>
        </w:rPr>
        <w:t>4.12</w:t>
      </w:r>
      <w:r>
        <w:rPr>
          <w:rFonts w:ascii="仿宋" w:eastAsia="仿宋" w:cs="Times New Roman" w:hint="eastAsia"/>
          <w:sz w:val="32"/>
          <w:szCs w:val="32"/>
        </w:rPr>
        <w:t>万元</w:t>
      </w:r>
      <w:r>
        <w:rPr>
          <w:rFonts w:ascii="仿宋" w:eastAsia="仿宋" w:hint="eastAsia"/>
          <w:sz w:val="32"/>
          <w:szCs w:val="32"/>
        </w:rPr>
        <w:t>。</w:t>
      </w:r>
    </w:p>
    <w:p>
      <w:pPr>
        <w:keepNext w:val="0"/>
        <w:keepLines w:val="0"/>
        <w:pageBreakBefore w:val="0"/>
        <w:widowControl w:val="0"/>
        <w:shd w:val="clear" w:color="auto" w:fill="auto"/>
        <w:kinsoku/>
        <w:wordWrap/>
        <w:overflowPunct/>
        <w:topLinePunct w:val="0"/>
        <w:autoSpaceDE/>
        <w:autoSpaceDN/>
        <w:adjustRightInd/>
        <w:snapToGrid w:val="0"/>
        <w:spacing w:line="560" w:lineRule="exact"/>
        <w:ind w:left="0" w:firstLine="639"/>
        <w:rPr>
          <w:rFonts w:ascii="仿宋_GB2312" w:eastAsia="仿宋_GB2312" w:hint="eastAsia"/>
          <w:kern w:val="0"/>
          <w:sz w:val="32"/>
          <w:szCs w:val="32"/>
        </w:rPr>
      </w:pPr>
      <w:r>
        <w:rPr>
          <w:rFonts w:ascii="仿宋_GB2312" w:eastAsia="仿宋_GB2312" w:cs="Times New Roman" w:hint="eastAsia"/>
          <w:color w:val="auto"/>
          <w:kern w:val="0"/>
          <w:sz w:val="32"/>
          <w:szCs w:val="32"/>
          <w:lang w:val="en-US" w:eastAsia="zh-CN"/>
        </w:rPr>
        <w:t>20</w:t>
      </w:r>
      <w:r>
        <w:rPr>
          <w:rFonts w:ascii="仿宋_GB2312" w:eastAsia="仿宋_GB2312" w:cs="Times New Roman"/>
          <w:color w:val="auto"/>
          <w:kern w:val="0"/>
          <w:sz w:val="32"/>
          <w:szCs w:val="32"/>
          <w:lang w:val="en-US" w:eastAsia="zh-CN"/>
        </w:rPr>
        <w:t>21</w:t>
      </w:r>
      <w:r>
        <w:rPr>
          <w:rFonts w:ascii="仿宋_GB2312" w:eastAsia="仿宋_GB2312" w:cs="Times New Roman" w:hint="eastAsia"/>
          <w:color w:val="auto"/>
          <w:kern w:val="0"/>
          <w:sz w:val="32"/>
          <w:szCs w:val="32"/>
          <w:lang w:val="en-US" w:eastAsia="zh-CN"/>
        </w:rPr>
        <w:t>年</w:t>
      </w:r>
      <w:r>
        <w:rPr>
          <w:rFonts w:ascii="仿宋_GB2312" w:eastAsia="仿宋_GB2312" w:cs="Times New Roman"/>
          <w:color w:val="auto"/>
          <w:kern w:val="0"/>
          <w:sz w:val="32"/>
          <w:szCs w:val="32"/>
          <w:lang w:val="en-US" w:eastAsia="zh-CN"/>
        </w:rPr>
        <w:t>信访局</w:t>
      </w:r>
      <w:r>
        <w:rPr>
          <w:rFonts w:ascii="仿宋_GB2312" w:eastAsia="仿宋_GB2312" w:cs="Times New Roman" w:hint="eastAsia"/>
          <w:color w:val="auto"/>
          <w:kern w:val="0"/>
          <w:sz w:val="32"/>
          <w:szCs w:val="32"/>
          <w:lang w:val="en-US" w:eastAsia="zh-CN"/>
        </w:rPr>
        <w:t>部门工资福利支出较年初预算</w:t>
      </w:r>
      <w:r>
        <w:rPr>
          <w:rFonts w:ascii="仿宋_GB2312" w:eastAsia="仿宋_GB2312" w:cs="Times New Roman"/>
          <w:color w:val="auto"/>
          <w:kern w:val="0"/>
          <w:sz w:val="32"/>
          <w:szCs w:val="32"/>
          <w:lang w:val="en-US" w:eastAsia="zh-CN"/>
        </w:rPr>
        <w:t>增加8.44</w:t>
      </w:r>
      <w:r>
        <w:rPr>
          <w:rFonts w:ascii="仿宋_GB2312" w:eastAsia="仿宋_GB2312" w:cs="Times New Roman" w:hint="eastAsia"/>
          <w:color w:val="auto"/>
          <w:kern w:val="0"/>
          <w:sz w:val="32"/>
          <w:szCs w:val="32"/>
          <w:lang w:val="en-US" w:eastAsia="zh-CN"/>
        </w:rPr>
        <w:t>万元，人员经费控制较好</w:t>
      </w:r>
      <w:r>
        <w:rPr>
          <w:rFonts w:ascii="仿宋_GB2312" w:eastAsia="仿宋_GB2312" w:cs="Times New Roman"/>
          <w:color w:val="auto"/>
          <w:kern w:val="0"/>
          <w:sz w:val="32"/>
          <w:szCs w:val="32"/>
          <w:lang w:val="en-US" w:eastAsia="zh-CN"/>
        </w:rPr>
        <w:t>。</w:t>
      </w:r>
    </w:p>
    <w:p>
      <w:pPr>
        <w:pStyle w:val="15"/>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pPr>
        <w:keepNext w:val="0"/>
        <w:keepLines w:val="0"/>
        <w:pageBreakBefore w:val="0"/>
        <w:widowControl w:val="0"/>
        <w:kinsoku/>
        <w:overflowPunct/>
        <w:topLinePunct w:val="0"/>
        <w:autoSpaceDE/>
        <w:autoSpaceDN/>
        <w:bidi w:val="0"/>
        <w:adjustRightInd/>
        <w:spacing w:line="560" w:lineRule="exact"/>
        <w:ind w:left="0" w:firstLineChars="200" w:firstLine="640"/>
        <w:outlineLvl w:val="0"/>
        <w:rPr>
          <w:rFonts w:ascii="仿宋_GB2312" w:eastAsia="仿宋_GB2312" w:cs="Times New Roman" w:hint="eastAsia"/>
          <w:color w:val="auto"/>
          <w:sz w:val="32"/>
          <w:szCs w:val="32"/>
        </w:rPr>
      </w:pPr>
      <w:r>
        <w:rPr>
          <w:rFonts w:ascii="仿宋_GB2312" w:eastAsia="仿宋_GB2312" w:cs="Times New Roman" w:hint="eastAsia"/>
          <w:color w:val="auto"/>
          <w:sz w:val="32"/>
          <w:szCs w:val="32"/>
        </w:rPr>
        <w:t>1. 项目支出预</w:t>
      </w:r>
      <w:r>
        <w:rPr>
          <w:rFonts w:ascii="仿宋_GB2312" w:eastAsia="仿宋_GB2312" w:cs="Times New Roman" w:hint="eastAsia"/>
          <w:color w:val="auto"/>
          <w:sz w:val="32"/>
          <w:szCs w:val="32"/>
          <w:lang w:eastAsia="zh-CN"/>
        </w:rPr>
        <w:t>、</w:t>
      </w:r>
      <w:r>
        <w:rPr>
          <w:rFonts w:ascii="仿宋_GB2312" w:eastAsia="仿宋_GB2312" w:cs="Times New Roman" w:hint="eastAsia"/>
          <w:color w:val="auto"/>
          <w:sz w:val="32"/>
          <w:szCs w:val="32"/>
        </w:rPr>
        <w:t>决算情况</w:t>
      </w:r>
    </w:p>
    <w:p>
      <w:pPr>
        <w:keepNext w:val="0"/>
        <w:keepLines w:val="0"/>
        <w:pageBreakBefore w:val="0"/>
        <w:widowControl w:val="0"/>
        <w:kinsoku/>
        <w:overflowPunct/>
        <w:topLinePunct w:val="0"/>
        <w:autoSpaceDE/>
        <w:autoSpaceDN/>
        <w:bidi w:val="0"/>
        <w:adjustRightInd/>
        <w:spacing w:line="560" w:lineRule="exact"/>
        <w:ind w:left="0" w:firstLineChars="200" w:firstLine="640"/>
        <w:outlineLvl w:val="0"/>
        <w:rPr>
          <w:rFonts w:ascii="仿宋_GB2312" w:eastAsia="仿宋_GB2312" w:cs="Times New Roman"/>
          <w:color w:val="auto"/>
          <w:sz w:val="32"/>
          <w:szCs w:val="32"/>
          <w:lang w:val="en-US" w:eastAsia="zh-CN"/>
        </w:rPr>
      </w:pPr>
      <w:r>
        <w:rPr>
          <w:rFonts w:ascii="仿宋_GB2312" w:eastAsia="仿宋_GB2312" w:cs="Times New Roman" w:hint="eastAsia"/>
          <w:color w:val="auto"/>
          <w:sz w:val="32"/>
          <w:szCs w:val="32"/>
        </w:rPr>
        <w:t>20</w:t>
      </w:r>
      <w:r>
        <w:rPr>
          <w:rFonts w:ascii="仿宋_GB2312" w:eastAsia="仿宋_GB2312" w:cs="Times New Roman"/>
          <w:color w:val="auto"/>
          <w:sz w:val="32"/>
          <w:szCs w:val="32"/>
        </w:rPr>
        <w:t>21</w:t>
      </w:r>
      <w:r>
        <w:rPr>
          <w:rFonts w:ascii="仿宋_GB2312" w:eastAsia="仿宋_GB2312" w:cs="Times New Roman" w:hint="eastAsia"/>
          <w:color w:val="auto"/>
          <w:sz w:val="32"/>
          <w:szCs w:val="32"/>
        </w:rPr>
        <w:t>年</w:t>
      </w:r>
      <w:r>
        <w:rPr>
          <w:rFonts w:ascii="仿宋_GB2312" w:eastAsia="仿宋_GB2312" w:cs="Times New Roman"/>
          <w:color w:val="auto"/>
          <w:sz w:val="32"/>
          <w:szCs w:val="32"/>
          <w:lang w:eastAsia="zh-CN"/>
        </w:rPr>
        <w:t>津市市信访局</w:t>
      </w:r>
      <w:r>
        <w:rPr>
          <w:rFonts w:ascii="仿宋_GB2312" w:eastAsia="仿宋_GB2312" w:cs="Times New Roman" w:hint="eastAsia"/>
          <w:color w:val="auto"/>
          <w:sz w:val="32"/>
          <w:szCs w:val="32"/>
          <w:lang w:eastAsia="zh-CN"/>
        </w:rPr>
        <w:t>部门</w:t>
      </w:r>
      <w:r>
        <w:rPr>
          <w:rFonts w:ascii="仿宋_GB2312" w:eastAsia="仿宋_GB2312" w:cs="Times New Roman" w:hint="eastAsia"/>
          <w:color w:val="auto"/>
          <w:sz w:val="32"/>
          <w:szCs w:val="32"/>
          <w:lang w:val="en-US" w:eastAsia="zh-CN"/>
        </w:rPr>
        <w:t>预算调整后的</w:t>
      </w:r>
      <w:r>
        <w:rPr>
          <w:rFonts w:ascii="仿宋_GB2312" w:eastAsia="仿宋_GB2312" w:cs="Times New Roman" w:hint="eastAsia"/>
          <w:color w:val="auto"/>
          <w:sz w:val="32"/>
          <w:szCs w:val="32"/>
        </w:rPr>
        <w:t>项目支出</w:t>
      </w:r>
      <w:r>
        <w:rPr>
          <w:rFonts w:ascii="仿宋_GB2312" w:eastAsia="仿宋_GB2312" w:cs="Times New Roman"/>
          <w:color w:val="auto"/>
          <w:sz w:val="32"/>
          <w:szCs w:val="32"/>
          <w:lang w:eastAsia="zh-CN"/>
        </w:rPr>
        <w:t>142.09</w:t>
      </w:r>
      <w:r>
        <w:rPr>
          <w:rFonts w:ascii="仿宋_GB2312" w:eastAsia="仿宋_GB2312" w:cs="Times New Roman" w:hint="eastAsia"/>
          <w:color w:val="auto"/>
          <w:sz w:val="32"/>
          <w:szCs w:val="32"/>
          <w:lang w:val="en-US" w:eastAsia="zh-CN"/>
        </w:rPr>
        <w:t>万元，</w:t>
      </w:r>
      <w:r>
        <w:rPr>
          <w:rFonts w:ascii="仿宋_GB2312" w:eastAsia="仿宋_GB2312" w:cs="Times New Roman" w:hint="eastAsia"/>
          <w:color w:val="auto"/>
          <w:sz w:val="32"/>
          <w:szCs w:val="32"/>
        </w:rPr>
        <w:t>上年结转</w:t>
      </w:r>
      <w:r>
        <w:rPr>
          <w:rFonts w:ascii="仿宋_GB2312" w:eastAsia="仿宋_GB2312" w:cs="Times New Roman"/>
          <w:color w:val="auto"/>
          <w:sz w:val="32"/>
          <w:szCs w:val="32"/>
          <w:lang w:val="en-US" w:eastAsia="zh-CN"/>
        </w:rPr>
        <w:t>10.09</w:t>
      </w:r>
      <w:r>
        <w:rPr>
          <w:rFonts w:ascii="仿宋_GB2312" w:eastAsia="仿宋_GB2312" w:cs="Times New Roman" w:hint="eastAsia"/>
          <w:color w:val="auto"/>
          <w:sz w:val="32"/>
          <w:szCs w:val="32"/>
          <w:lang w:val="en-US" w:eastAsia="zh-CN"/>
        </w:rPr>
        <w:t xml:space="preserve"> </w:t>
      </w:r>
      <w:r>
        <w:rPr>
          <w:rFonts w:ascii="仿宋_GB2312" w:eastAsia="仿宋_GB2312" w:cs="Times New Roman" w:hint="eastAsia"/>
          <w:color w:val="auto"/>
          <w:sz w:val="32"/>
          <w:szCs w:val="32"/>
        </w:rPr>
        <w:t>万元，本年项目支出可</w:t>
      </w:r>
      <w:r>
        <w:rPr>
          <w:rFonts w:ascii="仿宋_GB2312" w:eastAsia="仿宋_GB2312" w:cs="Times New Roman" w:hint="eastAsia"/>
          <w:color w:val="auto"/>
          <w:sz w:val="32"/>
          <w:szCs w:val="32"/>
          <w:lang w:val="en-US" w:eastAsia="zh-CN"/>
        </w:rPr>
        <w:t>执行</w:t>
      </w:r>
      <w:r>
        <w:rPr>
          <w:rFonts w:ascii="仿宋_GB2312" w:eastAsia="仿宋_GB2312" w:cs="Times New Roman" w:hint="eastAsia"/>
          <w:color w:val="auto"/>
          <w:sz w:val="32"/>
          <w:szCs w:val="32"/>
        </w:rPr>
        <w:t>总额</w:t>
      </w:r>
      <w:r>
        <w:rPr>
          <w:rFonts w:ascii="仿宋_GB2312" w:eastAsia="仿宋_GB2312" w:cs="Times New Roman"/>
          <w:color w:val="auto"/>
          <w:sz w:val="32"/>
          <w:szCs w:val="32"/>
          <w:lang w:eastAsia="zh-CN"/>
        </w:rPr>
        <w:t>152.18</w:t>
      </w:r>
      <w:r>
        <w:rPr>
          <w:rFonts w:ascii="仿宋_GB2312" w:eastAsia="仿宋_GB2312" w:cs="Times New Roman" w:hint="eastAsia"/>
          <w:color w:val="auto"/>
          <w:sz w:val="32"/>
          <w:szCs w:val="32"/>
        </w:rPr>
        <w:t>万元。20</w:t>
      </w:r>
      <w:r>
        <w:rPr>
          <w:rFonts w:ascii="仿宋_GB2312" w:eastAsia="仿宋_GB2312" w:cs="Times New Roman"/>
          <w:color w:val="auto"/>
          <w:sz w:val="32"/>
          <w:szCs w:val="32"/>
        </w:rPr>
        <w:t>21</w:t>
      </w:r>
      <w:r>
        <w:rPr>
          <w:rFonts w:ascii="仿宋_GB2312" w:eastAsia="仿宋_GB2312" w:cs="Times New Roman" w:hint="eastAsia"/>
          <w:color w:val="auto"/>
          <w:sz w:val="32"/>
          <w:szCs w:val="32"/>
        </w:rPr>
        <w:t>年项目支出决算金额</w:t>
      </w:r>
      <w:r>
        <w:rPr>
          <w:rFonts w:ascii="仿宋_GB2312" w:eastAsia="仿宋_GB2312" w:cs="Times New Roman"/>
          <w:color w:val="auto"/>
          <w:sz w:val="32"/>
          <w:szCs w:val="32"/>
          <w:lang w:eastAsia="zh-CN"/>
        </w:rPr>
        <w:t>142.09</w:t>
      </w:r>
      <w:r>
        <w:rPr>
          <w:rFonts w:ascii="仿宋_GB2312" w:eastAsia="仿宋_GB2312" w:cs="Times New Roman" w:hint="eastAsia"/>
          <w:color w:val="auto"/>
          <w:sz w:val="32"/>
          <w:szCs w:val="32"/>
        </w:rPr>
        <w:t>万元，年末结转结</w:t>
      </w:r>
      <w:r>
        <w:rPr>
          <w:rFonts w:ascii="仿宋_GB2312" w:eastAsia="仿宋_GB2312" w:cs="Times New Roman"/>
          <w:color w:val="auto"/>
          <w:sz w:val="32"/>
          <w:szCs w:val="32"/>
        </w:rPr>
        <w:t>0</w:t>
      </w:r>
      <w:r>
        <w:rPr>
          <w:rFonts w:ascii="仿宋_GB2312" w:eastAsia="仿宋_GB2312" w:cs="Times New Roman" w:hint="eastAsia"/>
          <w:color w:val="auto"/>
          <w:sz w:val="32"/>
          <w:szCs w:val="32"/>
        </w:rPr>
        <w:t>余万元</w:t>
      </w:r>
      <w:r>
        <w:rPr>
          <w:rFonts w:ascii="仿宋_GB2312" w:eastAsia="仿宋_GB2312" w:cs="Times New Roman"/>
          <w:color w:val="auto"/>
          <w:sz w:val="32"/>
          <w:szCs w:val="32"/>
        </w:rPr>
        <w:t>，主要是财政统计方式调整</w:t>
      </w:r>
      <w:r>
        <w:rPr>
          <w:rFonts w:ascii="仿宋_GB2312" w:eastAsia="仿宋_GB2312" w:cs="Times New Roman" w:hint="eastAsia"/>
          <w:color w:val="auto"/>
          <w:sz w:val="32"/>
          <w:szCs w:val="32"/>
          <w:lang w:val="en-US" w:eastAsia="zh-CN"/>
        </w:rPr>
        <w:t>。</w:t>
      </w:r>
    </w:p>
    <w:p>
      <w:pPr>
        <w:keepNext w:val="0"/>
        <w:keepLines w:val="0"/>
        <w:pageBreakBefore w:val="0"/>
        <w:widowControl w:val="0"/>
        <w:kinsoku/>
        <w:overflowPunct/>
        <w:topLinePunct w:val="0"/>
        <w:autoSpaceDE/>
        <w:autoSpaceDN/>
        <w:bidi w:val="0"/>
        <w:adjustRightInd/>
        <w:spacing w:line="560" w:lineRule="exact"/>
        <w:ind w:left="0" w:firstLineChars="200" w:firstLine="640"/>
        <w:outlineLvl w:val="0"/>
        <w:rPr>
          <w:rFonts w:ascii="仿宋_GB2312" w:eastAsia="仿宋_GB2312" w:cs="Times New Roman" w:hint="eastAsia"/>
          <w:color w:val="auto"/>
          <w:sz w:val="32"/>
          <w:szCs w:val="32"/>
        </w:rPr>
      </w:pPr>
      <w:r>
        <w:rPr>
          <w:rFonts w:ascii="仿宋_GB2312" w:eastAsia="仿宋_GB2312" w:cs="Times New Roman" w:hint="eastAsia"/>
          <w:color w:val="auto"/>
          <w:sz w:val="32"/>
          <w:szCs w:val="32"/>
          <w:lang w:val="en-US" w:eastAsia="zh-CN"/>
        </w:rPr>
        <w:t xml:space="preserve">2. </w:t>
      </w:r>
      <w:r>
        <w:rPr>
          <w:rFonts w:ascii="仿宋_GB2312" w:eastAsia="仿宋_GB2312" w:cs="Times New Roman" w:hint="eastAsia"/>
          <w:color w:val="auto"/>
          <w:sz w:val="32"/>
          <w:szCs w:val="32"/>
        </w:rPr>
        <w:t>项目资金管理情况</w:t>
      </w:r>
    </w:p>
    <w:p>
      <w:pPr>
        <w:widowControl/>
        <w:spacing w:line="600" w:lineRule="exact"/>
        <w:ind w:firstLineChars="200" w:firstLine="640"/>
        <w:jc w:val="left"/>
        <w:rPr>
          <w:rFonts w:ascii="仿宋_GB2312" w:eastAsia="仿宋_GB2312" w:cs="Times New Roman"/>
          <w:color w:val="auto"/>
          <w:kern w:val="2"/>
          <w:sz w:val="32"/>
          <w:szCs w:val="32"/>
          <w:lang w:val="en-US" w:eastAsia="zh-CN"/>
        </w:rPr>
      </w:pPr>
      <w:r>
        <w:rPr>
          <w:rFonts w:ascii="仿宋_GB2312" w:eastAsia="仿宋_GB2312" w:cs="Times New Roman" w:hint="eastAsia"/>
          <w:color w:val="auto"/>
          <w:kern w:val="2"/>
          <w:sz w:val="32"/>
          <w:szCs w:val="32"/>
          <w:lang w:val="en-US" w:eastAsia="zh-CN"/>
        </w:rPr>
        <w:t>部门内控制度</w:t>
      </w:r>
      <w:r>
        <w:rPr>
          <w:rFonts w:ascii="仿宋_GB2312" w:eastAsia="仿宋_GB2312" w:cs="Times New Roman"/>
          <w:color w:val="auto"/>
          <w:kern w:val="2"/>
          <w:sz w:val="32"/>
          <w:szCs w:val="32"/>
          <w:lang w:val="en-US" w:eastAsia="zh-CN"/>
        </w:rPr>
        <w:t>完善，</w:t>
      </w:r>
      <w:r>
        <w:rPr>
          <w:rFonts w:ascii="仿宋_GB2312" w:eastAsia="仿宋_GB2312" w:cs="Times New Roman" w:hint="eastAsia"/>
          <w:color w:val="auto"/>
          <w:kern w:val="2"/>
          <w:sz w:val="32"/>
          <w:szCs w:val="32"/>
          <w:lang w:val="en-US" w:eastAsia="zh-CN"/>
        </w:rPr>
        <w:t>项目资金管理</w:t>
      </w:r>
      <w:r>
        <w:rPr>
          <w:rFonts w:ascii="仿宋_GB2312" w:eastAsia="仿宋_GB2312" w:cs="Times New Roman"/>
          <w:color w:val="auto"/>
          <w:kern w:val="2"/>
          <w:sz w:val="32"/>
          <w:szCs w:val="32"/>
          <w:lang w:val="en-US" w:eastAsia="zh-CN"/>
        </w:rPr>
        <w:t>较好</w:t>
      </w:r>
      <w:r>
        <w:rPr>
          <w:rFonts w:ascii="仿宋_GB2312" w:eastAsia="仿宋_GB2312" w:cs="Times New Roman" w:hint="eastAsia"/>
          <w:color w:val="auto"/>
          <w:kern w:val="2"/>
          <w:sz w:val="32"/>
          <w:szCs w:val="32"/>
          <w:lang w:val="en-US" w:eastAsia="zh-CN"/>
        </w:rPr>
        <w:t>，项目资金使用</w:t>
      </w:r>
      <w:r>
        <w:rPr>
          <w:rFonts w:ascii="仿宋_GB2312" w:eastAsia="仿宋_GB2312" w:cs="Times New Roman"/>
          <w:color w:val="auto"/>
          <w:kern w:val="2"/>
          <w:sz w:val="32"/>
          <w:szCs w:val="32"/>
          <w:lang w:val="en-US" w:eastAsia="zh-CN"/>
        </w:rPr>
        <w:t>能够做到</w:t>
      </w:r>
      <w:r>
        <w:rPr>
          <w:rFonts w:ascii="仿宋_GB2312" w:eastAsia="仿宋_GB2312" w:cs="Times New Roman" w:hint="eastAsia"/>
          <w:color w:val="auto"/>
          <w:kern w:val="2"/>
          <w:sz w:val="32"/>
          <w:szCs w:val="32"/>
          <w:lang w:val="en-US" w:eastAsia="zh-CN"/>
        </w:rPr>
        <w:t>专款专用，大部分用于</w:t>
      </w:r>
      <w:r>
        <w:rPr>
          <w:rFonts w:ascii="仿宋_GB2312" w:eastAsia="仿宋_GB2312" w:cs="Times New Roman"/>
          <w:color w:val="auto"/>
          <w:kern w:val="2"/>
          <w:sz w:val="32"/>
          <w:szCs w:val="32"/>
          <w:lang w:eastAsia="zh-CN"/>
        </w:rPr>
        <w:t>信访联席办</w:t>
      </w:r>
      <w:r>
        <w:rPr>
          <w:rFonts w:ascii="仿宋_GB2312" w:eastAsia="仿宋_GB2312" w:cs="Times New Roman" w:hint="eastAsia"/>
          <w:color w:val="auto"/>
          <w:kern w:val="2"/>
          <w:sz w:val="32"/>
          <w:szCs w:val="32"/>
          <w:lang w:val="en-US" w:eastAsia="zh-CN"/>
        </w:rPr>
        <w:t>公用经费和</w:t>
      </w:r>
      <w:r>
        <w:rPr>
          <w:rFonts w:ascii="仿宋_GB2312" w:eastAsia="仿宋_GB2312" w:cs="Times New Roman"/>
          <w:color w:val="auto"/>
          <w:kern w:val="2"/>
          <w:sz w:val="32"/>
          <w:szCs w:val="32"/>
          <w:lang w:val="en-US" w:eastAsia="zh-CN"/>
        </w:rPr>
        <w:t>驻京驻长工作</w:t>
      </w:r>
      <w:r>
        <w:rPr>
          <w:rFonts w:ascii="仿宋_GB2312" w:eastAsia="仿宋_GB2312" w:cs="Times New Roman" w:hint="eastAsia"/>
          <w:color w:val="auto"/>
          <w:kern w:val="2"/>
          <w:sz w:val="32"/>
          <w:szCs w:val="32"/>
          <w:lang w:val="en-US" w:eastAsia="zh-CN"/>
        </w:rPr>
        <w:t>经费。</w:t>
      </w:r>
    </w:p>
    <w:p>
      <w:pPr>
        <w:pStyle w:val="15"/>
        <w:widowControl/>
        <w:spacing w:line="600" w:lineRule="exact"/>
        <w:ind w:left="640" w:firstLineChars="0" w:firstLine="0"/>
        <w:jc w:val="left"/>
        <w:rPr>
          <w:rFonts w:eastAsia="仿宋_GB2312"/>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pPr>
        <w:widowControl/>
        <w:spacing w:line="600" w:lineRule="exact"/>
        <w:ind w:firstLine="645"/>
        <w:jc w:val="left"/>
        <w:rPr>
          <w:rFonts w:ascii="仿宋_GB2312" w:eastAsia="仿宋_GB2312" w:hint="eastAsia"/>
          <w:sz w:val="32"/>
          <w:szCs w:val="32"/>
          <w:lang w:eastAsia="zh-CN"/>
        </w:rPr>
      </w:pPr>
      <w:r>
        <w:rPr>
          <w:rFonts w:ascii="仿宋_GB2312" w:eastAsia="仿宋_GB2312"/>
          <w:sz w:val="32"/>
          <w:szCs w:val="32"/>
          <w:lang w:eastAsia="zh-CN"/>
        </w:rPr>
        <w:t>2021年无政府预算支出情况</w:t>
      </w:r>
    </w:p>
    <w:p>
      <w:pPr>
        <w:widowControl/>
        <w:spacing w:line="600" w:lineRule="exact"/>
        <w:ind w:firstLine="645"/>
        <w:jc w:val="left"/>
        <w:rPr>
          <w:rFonts w:eastAsia="黑体"/>
          <w:sz w:val="32"/>
          <w:szCs w:val="32"/>
        </w:rPr>
      </w:pPr>
      <w:r>
        <w:rPr>
          <w:rFonts w:eastAsia="黑体" w:hint="eastAsia"/>
          <w:sz w:val="32"/>
          <w:szCs w:val="32"/>
          <w:lang w:eastAsia="zh-CN"/>
        </w:rPr>
        <w:t>四</w:t>
      </w:r>
      <w:r>
        <w:rPr>
          <w:rFonts w:eastAsia="黑体"/>
          <w:sz w:val="32"/>
          <w:szCs w:val="32"/>
        </w:rPr>
        <w:t>、部门整体支出绩效情况</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20</w:t>
      </w:r>
      <w:r>
        <w:rPr>
          <w:rFonts w:ascii="仿宋_GB2312" w:eastAsia="仿宋_GB2312"/>
          <w:sz w:val="32"/>
          <w:szCs w:val="32"/>
        </w:rPr>
        <w:t>21</w:t>
      </w:r>
      <w:r>
        <w:rPr>
          <w:rFonts w:ascii="仿宋_GB2312" w:eastAsia="仿宋_GB2312" w:hint="eastAsia"/>
          <w:sz w:val="32"/>
          <w:szCs w:val="32"/>
        </w:rPr>
        <w:t>年，我单位积极履职，强化管理，较好的完成了年度工作目标。通过加强预算收支管理，不断建立健全内部管理制度，梳理内部管理流程，部门整体支出管理水平得到提升。根据部门整体支出绩效评价指标体系，我单位20</w:t>
      </w:r>
      <w:r>
        <w:rPr>
          <w:rFonts w:ascii="仿宋_GB2312" w:eastAsia="仿宋_GB2312"/>
          <w:sz w:val="32"/>
          <w:szCs w:val="32"/>
        </w:rPr>
        <w:t>21</w:t>
      </w:r>
      <w:r>
        <w:rPr>
          <w:rFonts w:ascii="仿宋_GB2312" w:eastAsia="仿宋_GB2312" w:hint="eastAsia"/>
          <w:sz w:val="32"/>
          <w:szCs w:val="32"/>
        </w:rPr>
        <w:t>年度评价得分</w:t>
      </w:r>
      <w:r>
        <w:rPr>
          <w:rFonts w:ascii="仿宋_GB2312" w:eastAsia="仿宋_GB2312"/>
          <w:sz w:val="32"/>
          <w:szCs w:val="32"/>
        </w:rPr>
        <w:t>98</w:t>
      </w:r>
      <w:r>
        <w:rPr>
          <w:rFonts w:ascii="仿宋_GB2312" w:eastAsia="仿宋_GB2312" w:hint="eastAsia"/>
          <w:sz w:val="32"/>
          <w:szCs w:val="32"/>
        </w:rPr>
        <w:t>分。部门整体支出绩效情况如下：</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1. 预算配置控制较好得</w:t>
      </w:r>
      <w:r>
        <w:rPr>
          <w:rFonts w:ascii="仿宋_GB2312" w:eastAsia="仿宋_GB2312"/>
          <w:sz w:val="32"/>
          <w:szCs w:val="32"/>
        </w:rPr>
        <w:t>18</w:t>
      </w:r>
      <w:r>
        <w:rPr>
          <w:rFonts w:ascii="仿宋_GB2312" w:eastAsia="仿宋_GB2312" w:hint="eastAsia"/>
          <w:sz w:val="32"/>
          <w:szCs w:val="32"/>
        </w:rPr>
        <w:t>分。其中：在职人员控制率：在职</w:t>
      </w:r>
      <w:r>
        <w:rPr>
          <w:rFonts w:ascii="仿宋_GB2312" w:eastAsia="仿宋_GB2312"/>
          <w:sz w:val="32"/>
          <w:szCs w:val="32"/>
        </w:rPr>
        <w:t>10</w:t>
      </w:r>
      <w:r>
        <w:rPr>
          <w:rFonts w:ascii="仿宋_GB2312" w:eastAsia="仿宋_GB2312" w:hint="eastAsia"/>
          <w:sz w:val="32"/>
          <w:szCs w:val="32"/>
        </w:rPr>
        <w:t>人/编制1</w:t>
      </w:r>
      <w:r>
        <w:rPr>
          <w:rFonts w:ascii="仿宋_GB2312" w:eastAsia="仿宋_GB2312"/>
          <w:sz w:val="32"/>
          <w:szCs w:val="32"/>
        </w:rPr>
        <w:t>2</w:t>
      </w:r>
      <w:r>
        <w:rPr>
          <w:rFonts w:ascii="仿宋_GB2312" w:eastAsia="仿宋_GB2312" w:hint="eastAsia"/>
          <w:sz w:val="32"/>
          <w:szCs w:val="32"/>
        </w:rPr>
        <w:t>人*100%=</w:t>
      </w:r>
      <w:r>
        <w:rPr>
          <w:rFonts w:ascii="仿宋_GB2312" w:eastAsia="仿宋_GB2312"/>
          <w:sz w:val="32"/>
          <w:szCs w:val="32"/>
        </w:rPr>
        <w:t>83.3</w:t>
      </w:r>
      <w:r>
        <w:rPr>
          <w:rFonts w:ascii="仿宋_GB2312" w:eastAsia="仿宋_GB2312" w:hint="eastAsia"/>
          <w:sz w:val="32"/>
          <w:szCs w:val="32"/>
        </w:rPr>
        <w:t>%，得</w:t>
      </w:r>
      <w:r>
        <w:rPr>
          <w:rFonts w:ascii="仿宋_GB2312" w:eastAsia="仿宋_GB2312"/>
          <w:sz w:val="32"/>
          <w:szCs w:val="32"/>
        </w:rPr>
        <w:t>8</w:t>
      </w:r>
      <w:r>
        <w:rPr>
          <w:rFonts w:ascii="仿宋_GB2312" w:eastAsia="仿宋_GB2312" w:hint="eastAsia"/>
          <w:sz w:val="32"/>
          <w:szCs w:val="32"/>
        </w:rPr>
        <w:t>分；“三公”经费预算数</w:t>
      </w:r>
      <w:r>
        <w:rPr>
          <w:rFonts w:ascii="仿宋_GB2312" w:eastAsia="仿宋_GB2312"/>
          <w:sz w:val="32"/>
          <w:szCs w:val="32"/>
        </w:rPr>
        <w:t>为1.14万元</w:t>
      </w:r>
      <w:r>
        <w:rPr>
          <w:rFonts w:ascii="仿宋_GB2312" w:eastAsia="仿宋_GB2312" w:hint="eastAsia"/>
          <w:sz w:val="32"/>
          <w:szCs w:val="32"/>
        </w:rPr>
        <w:t>，</w:t>
      </w:r>
      <w:r>
        <w:rPr>
          <w:rFonts w:ascii="仿宋_GB2312" w:eastAsia="仿宋_GB2312"/>
          <w:sz w:val="32"/>
          <w:szCs w:val="32"/>
        </w:rPr>
        <w:t>年末1.11万元，</w:t>
      </w:r>
      <w:r>
        <w:rPr>
          <w:rFonts w:ascii="仿宋_GB2312" w:eastAsia="仿宋_GB2312"/>
          <w:sz w:val="32"/>
          <w:szCs w:val="32"/>
        </w:rPr>
        <w:t>基本吻合</w:t>
      </w:r>
      <w:r>
        <w:rPr>
          <w:rFonts w:ascii="仿宋_GB2312" w:eastAsia="仿宋_GB2312" w:hint="eastAsia"/>
          <w:sz w:val="32"/>
          <w:szCs w:val="32"/>
        </w:rPr>
        <w:t>，得</w:t>
      </w:r>
      <w:r>
        <w:rPr>
          <w:rFonts w:ascii="仿宋_GB2312" w:eastAsia="仿宋_GB2312"/>
          <w:sz w:val="32"/>
          <w:szCs w:val="32"/>
        </w:rPr>
        <w:t>10</w:t>
      </w:r>
      <w:r>
        <w:rPr>
          <w:rFonts w:ascii="仿宋_GB2312" w:eastAsia="仿宋_GB2312" w:hint="eastAsia"/>
          <w:sz w:val="32"/>
          <w:szCs w:val="32"/>
        </w:rPr>
        <w:t>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2. 预算执行比较到位得20分。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（1）预算完成率=（上年结转</w:t>
      </w:r>
      <w:r>
        <w:rPr>
          <w:rFonts w:ascii="仿宋_GB2312" w:eastAsia="仿宋_GB2312"/>
          <w:sz w:val="32"/>
          <w:szCs w:val="32"/>
        </w:rPr>
        <w:t>20.43</w:t>
      </w:r>
      <w:r>
        <w:rPr>
          <w:rFonts w:ascii="仿宋_GB2312" w:eastAsia="仿宋_GB2312" w:hint="eastAsia"/>
          <w:sz w:val="32"/>
          <w:szCs w:val="32"/>
        </w:rPr>
        <w:t>万元+年初预算数</w:t>
      </w:r>
      <w:r>
        <w:rPr>
          <w:rFonts w:ascii="仿宋_GB2312" w:eastAsia="仿宋_GB2312"/>
          <w:sz w:val="32"/>
          <w:szCs w:val="32"/>
        </w:rPr>
        <w:t>214.49</w:t>
      </w:r>
      <w:r>
        <w:rPr>
          <w:rFonts w:ascii="仿宋_GB2312" w:eastAsia="仿宋_GB2312" w:hint="eastAsia"/>
          <w:sz w:val="32"/>
          <w:szCs w:val="32"/>
        </w:rPr>
        <w:t>万元+本年追加预算0万元-年末结余0万元）/(上年结转0万元+年初预算数</w:t>
      </w:r>
      <w:r>
        <w:rPr>
          <w:rFonts w:ascii="仿宋_GB2312" w:eastAsia="仿宋_GB2312"/>
          <w:sz w:val="32"/>
          <w:szCs w:val="32"/>
        </w:rPr>
        <w:t>214.49</w:t>
      </w:r>
      <w:r>
        <w:rPr>
          <w:rFonts w:ascii="仿宋_GB2312" w:eastAsia="仿宋_GB2312" w:hint="eastAsia"/>
          <w:sz w:val="32"/>
          <w:szCs w:val="32"/>
        </w:rPr>
        <w:t>万元+本年追加预算0万元)*100%=100%，得5分。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（2）预算控制率=（本年追加预算0万元/年初预算数</w:t>
      </w:r>
      <w:r>
        <w:rPr>
          <w:rFonts w:ascii="仿宋_GB2312" w:eastAsia="仿宋_GB2312"/>
          <w:sz w:val="32"/>
          <w:szCs w:val="32"/>
        </w:rPr>
        <w:t>214.49</w:t>
      </w:r>
      <w:r>
        <w:rPr>
          <w:rFonts w:ascii="仿宋_GB2312" w:eastAsia="仿宋_GB2312" w:hint="eastAsia"/>
          <w:sz w:val="32"/>
          <w:szCs w:val="32"/>
        </w:rPr>
        <w:t>万元）*100%= 0，得5分，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（3）本年没有新建楼堂馆所按满分计得10分。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3. 预算管理急需加强，制度执行总体较为有效，但仍需进一步强化。得</w:t>
      </w:r>
      <w:r>
        <w:rPr>
          <w:rFonts w:ascii="仿宋_GB2312" w:eastAsia="仿宋_GB2312"/>
          <w:sz w:val="32"/>
          <w:szCs w:val="32"/>
        </w:rPr>
        <w:t>3</w:t>
      </w:r>
      <w:r>
        <w:rPr>
          <w:rFonts w:ascii="仿宋_GB2312" w:eastAsia="仿宋_GB2312" w:hint="eastAsia"/>
          <w:sz w:val="32"/>
          <w:szCs w:val="32"/>
        </w:rPr>
        <w:t>5分。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（1）公用经费控制率=（实际支出公用经费总额</w:t>
      </w:r>
      <w:r>
        <w:rPr>
          <w:rFonts w:ascii="仿宋_GB2312" w:eastAsia="仿宋_GB2312"/>
          <w:sz w:val="32"/>
          <w:szCs w:val="32"/>
        </w:rPr>
        <w:t>81.46</w:t>
      </w:r>
      <w:r>
        <w:rPr>
          <w:rFonts w:ascii="仿宋_GB2312" w:eastAsia="仿宋_GB2312" w:hint="eastAsia"/>
          <w:sz w:val="32"/>
          <w:szCs w:val="32"/>
        </w:rPr>
        <w:t>万元/预算安排公用经费总额</w:t>
      </w:r>
      <w:r>
        <w:rPr>
          <w:rFonts w:ascii="仿宋_GB2312" w:eastAsia="仿宋_GB2312"/>
          <w:sz w:val="32"/>
          <w:szCs w:val="32"/>
        </w:rPr>
        <w:t>13.06</w:t>
      </w:r>
      <w:r>
        <w:rPr>
          <w:rFonts w:ascii="仿宋_GB2312" w:eastAsia="仿宋_GB2312" w:hint="eastAsia"/>
          <w:sz w:val="32"/>
          <w:szCs w:val="32"/>
        </w:rPr>
        <w:t>万元）*100%=</w:t>
      </w:r>
      <w:r>
        <w:rPr>
          <w:rFonts w:ascii="仿宋_GB2312" w:eastAsia="仿宋_GB2312"/>
          <w:sz w:val="32"/>
          <w:szCs w:val="32"/>
        </w:rPr>
        <w:t>623</w:t>
      </w:r>
      <w:r>
        <w:rPr>
          <w:rFonts w:ascii="仿宋_GB2312" w:eastAsia="仿宋_GB2312" w:hint="eastAsia"/>
          <w:sz w:val="32"/>
          <w:szCs w:val="32"/>
        </w:rPr>
        <w:t>.</w:t>
      </w:r>
      <w:r>
        <w:rPr>
          <w:rFonts w:ascii="仿宋_GB2312" w:eastAsia="仿宋_GB2312"/>
          <w:sz w:val="32"/>
          <w:szCs w:val="32"/>
        </w:rPr>
        <w:t>7</w:t>
      </w:r>
      <w:r>
        <w:rPr>
          <w:rFonts w:ascii="仿宋_GB2312" w:eastAsia="仿宋_GB2312" w:hint="eastAsia"/>
          <w:sz w:val="32"/>
          <w:szCs w:val="32"/>
        </w:rPr>
        <w:t>3%，得0分；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（2） “三公”经费控制率=（“三公经费”实际支出数</w:t>
      </w:r>
      <w:r>
        <w:rPr>
          <w:rFonts w:ascii="仿宋_GB2312" w:eastAsia="仿宋_GB2312"/>
          <w:sz w:val="32"/>
          <w:szCs w:val="32"/>
        </w:rPr>
        <w:t>1.11</w:t>
      </w:r>
      <w:r>
        <w:rPr>
          <w:rFonts w:ascii="仿宋_GB2312" w:eastAsia="仿宋_GB2312" w:hint="eastAsia"/>
          <w:sz w:val="32"/>
          <w:szCs w:val="32"/>
        </w:rPr>
        <w:t>万元/“三公经费”预算安排数</w:t>
      </w:r>
      <w:r>
        <w:rPr>
          <w:rFonts w:ascii="仿宋_GB2312" w:eastAsia="仿宋_GB2312"/>
          <w:sz w:val="32"/>
          <w:szCs w:val="32"/>
        </w:rPr>
        <w:t>1.14</w:t>
      </w:r>
      <w:r>
        <w:rPr>
          <w:rFonts w:ascii="仿宋_GB2312" w:eastAsia="仿宋_GB2312" w:hint="eastAsia"/>
          <w:sz w:val="32"/>
          <w:szCs w:val="32"/>
        </w:rPr>
        <w:t>万元）*100%=</w:t>
      </w:r>
      <w:r>
        <w:rPr>
          <w:rFonts w:ascii="仿宋_GB2312" w:eastAsia="仿宋_GB2312"/>
          <w:sz w:val="32"/>
          <w:szCs w:val="32"/>
        </w:rPr>
        <w:t>99.99</w:t>
      </w:r>
      <w:r>
        <w:rPr>
          <w:rFonts w:ascii="仿宋_GB2312" w:eastAsia="仿宋_GB2312" w:hint="eastAsia"/>
          <w:sz w:val="32"/>
          <w:szCs w:val="32"/>
        </w:rPr>
        <w:t>%，计</w:t>
      </w:r>
      <w:r>
        <w:rPr>
          <w:rFonts w:ascii="仿宋_GB2312" w:eastAsia="仿宋_GB2312"/>
          <w:sz w:val="32"/>
          <w:szCs w:val="32"/>
        </w:rPr>
        <w:t>10</w:t>
      </w:r>
      <w:r>
        <w:rPr>
          <w:rFonts w:ascii="仿宋_GB2312" w:eastAsia="仿宋_GB2312" w:hint="eastAsia"/>
          <w:sz w:val="32"/>
          <w:szCs w:val="32"/>
        </w:rPr>
        <w:t>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（3）政府采购执行率=（实际政府采购金额</w:t>
      </w:r>
      <w:r>
        <w:rPr>
          <w:rFonts w:ascii="仿宋_GB2312" w:eastAsia="仿宋_GB2312"/>
          <w:sz w:val="32"/>
          <w:szCs w:val="32"/>
        </w:rPr>
        <w:t>4.12万元</w:t>
      </w:r>
      <w:r>
        <w:rPr>
          <w:rFonts w:ascii="仿宋_GB2312" w:eastAsia="仿宋_GB2312" w:hint="eastAsia"/>
          <w:sz w:val="32"/>
          <w:szCs w:val="32"/>
        </w:rPr>
        <w:t>与政府采购预算金额</w:t>
      </w:r>
      <w:r>
        <w:rPr>
          <w:rFonts w:ascii="仿宋_GB2312" w:eastAsia="仿宋_GB2312"/>
          <w:sz w:val="32"/>
          <w:szCs w:val="32"/>
        </w:rPr>
        <w:t>万元</w:t>
      </w:r>
      <w:r>
        <w:rPr>
          <w:rFonts w:ascii="仿宋_GB2312" w:eastAsia="仿宋_GB2312" w:hint="eastAsia"/>
          <w:sz w:val="32"/>
          <w:szCs w:val="32"/>
        </w:rPr>
        <w:t xml:space="preserve"> ）*100%=100%，得6分。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4）管理制度健全性得8分：有内部财务管理制度、内部控制制度、会计核算制度等管理制度，2分；有本部门厉行节约制度，2分；相关管理制度合法、合规、完整，2分；相关管理制度有执行，执行力度还待加强，有考核制度，记２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5）资金使用合规性得６分：本年度支出的所有资金均由县财政局国库支付，支出符合国家财经法规和财务管理制度规定以及有关专项资金管理办法的规定；资金拨付有完整的审批程序和手续；支出符合部门预算批复的用途；资金使用无截留、挤占、挪用、虚列支出等情况。</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（6）预决算信息公开性得5分：一是按规定在</w:t>
      </w:r>
      <w:r>
        <w:rPr>
          <w:rFonts w:ascii="仿宋_GB2312" w:eastAsia="仿宋_GB2312"/>
          <w:sz w:val="32"/>
          <w:szCs w:val="32"/>
        </w:rPr>
        <w:t>市</w:t>
      </w:r>
      <w:r>
        <w:rPr>
          <w:rFonts w:ascii="仿宋_GB2312" w:eastAsia="仿宋_GB2312" w:hint="eastAsia"/>
          <w:sz w:val="32"/>
          <w:szCs w:val="32"/>
        </w:rPr>
        <w:t>政府门户网站公开信息；二是基础数据信息和会计信息资料真实、完整、准确。</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4.职责履行得8分：20</w:t>
      </w:r>
      <w:r>
        <w:rPr>
          <w:rFonts w:ascii="仿宋_GB2312" w:eastAsia="仿宋_GB2312"/>
          <w:sz w:val="32"/>
          <w:szCs w:val="32"/>
        </w:rPr>
        <w:t>21</w:t>
      </w:r>
      <w:r>
        <w:rPr>
          <w:rFonts w:ascii="仿宋_GB2312" w:eastAsia="仿宋_GB2312" w:hint="eastAsia"/>
          <w:sz w:val="32"/>
          <w:szCs w:val="32"/>
        </w:rPr>
        <w:t>年我单位在全体干部职工的共同努力下圆满出色完成了各项工作目标和任务。</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5.履职效益得17分。</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（1）经济效益、社会效益得６分：我单位的各方面工作都得到社会大众的肯定和好评。</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（2）机关工作整体满意度得5分：我单位不断改善行政管理、严格经费及资产管理，改进文风会风，精简会议，提高了行政效率，降低了行政成本。</w:t>
      </w:r>
    </w:p>
    <w:p>
      <w:pPr>
        <w:widowControl/>
        <w:spacing w:line="600" w:lineRule="exact"/>
        <w:ind w:firstLine="645"/>
        <w:jc w:val="left"/>
        <w:rPr>
          <w:rFonts w:ascii="仿宋_GB2312" w:eastAsia="仿宋_GB2312" w:hint="eastAsia"/>
          <w:sz w:val="32"/>
          <w:szCs w:val="32"/>
        </w:rPr>
      </w:pPr>
      <w:r>
        <w:rPr>
          <w:rFonts w:ascii="仿宋_GB2312" w:eastAsia="仿宋_GB2312" w:hint="eastAsia"/>
          <w:sz w:val="32"/>
          <w:szCs w:val="32"/>
        </w:rPr>
        <w:t>（3）社会公众或服务对象满意度得６分：在社会调查中满意度为</w:t>
      </w:r>
      <w:r>
        <w:rPr>
          <w:rFonts w:ascii="仿宋_GB2312" w:eastAsia="仿宋_GB2312"/>
          <w:sz w:val="32"/>
          <w:szCs w:val="32"/>
        </w:rPr>
        <w:t>90</w:t>
      </w:r>
      <w:r>
        <w:rPr>
          <w:rFonts w:ascii="仿宋_GB2312" w:eastAsia="仿宋_GB2312" w:hint="eastAsia"/>
          <w:sz w:val="32"/>
          <w:szCs w:val="32"/>
        </w:rPr>
        <w:t>%，得６分。</w:t>
      </w:r>
    </w:p>
    <w:p>
      <w:pPr>
        <w:pStyle w:val="15"/>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lang w:eastAsia="zh-CN"/>
        </w:rPr>
        <w:t>五</w:t>
      </w:r>
      <w:r>
        <w:rPr>
          <w:rFonts w:ascii="Times New Roman" w:eastAsia="黑体" w:hAnsi="Times New Roman" w:hint="eastAsia"/>
          <w:sz w:val="32"/>
          <w:szCs w:val="32"/>
        </w:rPr>
        <w:t>、</w:t>
      </w:r>
      <w:r>
        <w:rPr>
          <w:rFonts w:ascii="Times New Roman" w:eastAsia="黑体" w:hAnsi="Times New Roman"/>
          <w:sz w:val="32"/>
          <w:szCs w:val="32"/>
        </w:rPr>
        <w:t>存在的问题及原因分析</w:t>
      </w:r>
    </w:p>
    <w:p>
      <w:pPr>
        <w:widowControl/>
        <w:spacing w:line="600" w:lineRule="exact"/>
        <w:ind w:leftChars="304" w:left="638"/>
        <w:jc w:val="left"/>
        <w:rPr>
          <w:rFonts w:eastAsia="黑体"/>
          <w:sz w:val="32"/>
          <w:szCs w:val="32"/>
        </w:rPr>
      </w:pPr>
      <w:r>
        <w:rPr>
          <w:rFonts w:ascii="仿宋_GB2312" w:eastAsia="仿宋_GB2312" w:hint="eastAsia"/>
          <w:b w:val="0"/>
          <w:bCs w:val="0"/>
          <w:i w:val="0"/>
          <w:iCs w:val="0"/>
          <w:caps w:val="0"/>
          <w:smallCaps w:val="0"/>
          <w:color w:val="303030"/>
          <w:spacing w:val="0"/>
          <w:sz w:val="32"/>
          <w:szCs w:val="32"/>
          <w:shd w:val="clear" w:color="auto" w:fill="FFFFFF"/>
        </w:rPr>
        <w:t>1.公用经费年初预算不足，影响各项工作的正常开展。</w:t>
      </w:r>
      <w:r>
        <w:rPr>
          <w:rFonts w:eastAsia="黑体" w:hint="eastAsia"/>
          <w:sz w:val="32"/>
          <w:szCs w:val="32"/>
          <w:lang w:eastAsia="zh-CN"/>
        </w:rPr>
        <w:t>六</w:t>
      </w:r>
      <w:r>
        <w:rPr>
          <w:rFonts w:eastAsia="黑体"/>
          <w:sz w:val="32"/>
          <w:szCs w:val="32"/>
        </w:rPr>
        <w:t>、下一步改进措施</w:t>
      </w:r>
    </w:p>
    <w:p>
      <w:pPr>
        <w:pStyle w:val="93"/>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49" w:lineRule="atLeast"/>
        <w:ind w:left="0" w:right="0" w:firstLine="554"/>
        <w:rPr>
          <w:rFonts w:ascii="仿宋_GB2312" w:eastAsia="仿宋_GB2312" w:hint="eastAsia"/>
          <w:b w:val="0"/>
          <w:bCs w:val="0"/>
          <w:i w:val="0"/>
          <w:iCs w:val="0"/>
          <w:caps w:val="0"/>
          <w:smallCaps w:val="0"/>
          <w:vanish w:val="0"/>
          <w:color w:val="303030"/>
          <w:spacing w:val="0"/>
          <w:sz w:val="32"/>
          <w:szCs w:val="32"/>
        </w:rPr>
      </w:pPr>
      <w:r>
        <w:rPr>
          <w:rFonts w:ascii="仿宋_GB2312" w:eastAsia="仿宋_GB2312" w:hint="eastAsia"/>
          <w:b w:val="0"/>
          <w:bCs w:val="0"/>
          <w:i w:val="0"/>
          <w:iCs w:val="0"/>
          <w:caps w:val="0"/>
          <w:smallCaps w:val="0"/>
          <w:vanish w:val="0"/>
          <w:color w:val="303030"/>
          <w:spacing w:val="0"/>
          <w:sz w:val="32"/>
          <w:szCs w:val="32"/>
          <w:shd w:val="clear" w:color="auto" w:fill="FFFFFF"/>
        </w:rPr>
        <w:t>1、细化预算编制工作，认真做好预算的编制。进一步加强单位内部机构各股室的预算管理意识，严格按照预算编制的相关制度和要求进行预算编制。</w:t>
      </w:r>
    </w:p>
    <w:p>
      <w:pPr>
        <w:pStyle w:val="93"/>
        <w:pBdr>
          <w:top w:val="none" w:sz="0" w:space="0" w:color="auto"/>
          <w:left w:val="none" w:sz="0" w:space="0" w:color="auto"/>
          <w:bottom w:val="none" w:sz="0" w:space="0" w:color="auto"/>
          <w:right w:val="none" w:sz="0" w:space="0" w:color="auto"/>
        </w:pBdr>
        <w:shd w:val="clear" w:color="auto" w:fill="FFFFFF"/>
        <w:spacing w:before="0" w:beforeAutospacing="0" w:after="0" w:afterAutospacing="0" w:line="449" w:lineRule="atLeast"/>
        <w:ind w:left="0" w:firstLine="554"/>
        <w:rPr>
          <w:rFonts w:ascii="仿宋_GB2312" w:eastAsia="仿宋_GB2312" w:hint="eastAsia"/>
          <w:color w:val="303030"/>
          <w:sz w:val="32"/>
          <w:szCs w:val="32"/>
        </w:rPr>
      </w:pPr>
      <w:r>
        <w:rPr>
          <w:rFonts w:ascii="仿宋_GB2312" w:eastAsia="仿宋_GB2312" w:hint="eastAsia"/>
          <w:b w:val="0"/>
          <w:bCs w:val="0"/>
          <w:i w:val="0"/>
          <w:iCs w:val="0"/>
          <w:caps w:val="0"/>
          <w:smallCaps w:val="0"/>
          <w:vanish w:val="0"/>
          <w:color w:val="303030"/>
          <w:spacing w:val="0"/>
          <w:sz w:val="32"/>
          <w:szCs w:val="32"/>
          <w:shd w:val="clear" w:color="auto" w:fill="FFFFFF"/>
        </w:rPr>
        <w:t>2、加强财务管理，严格财务审核。加强单位财务管理，健全单位财务管理制度体系，规范单位财务行为。在费用报账支付时，按照预算规定的费用项目和用途进行资金使用审核、列报支付、财务核算，杜绝</w:t>
      </w:r>
      <w:r>
        <w:rPr>
          <w:rFonts w:ascii="仿宋_GB2312" w:eastAsia="仿宋_GB2312"/>
          <w:b w:val="0"/>
          <w:bCs w:val="0"/>
          <w:i w:val="0"/>
          <w:iCs w:val="0"/>
          <w:caps w:val="0"/>
          <w:smallCaps w:val="0"/>
          <w:vanish w:val="0"/>
          <w:color w:val="303030"/>
          <w:spacing w:val="0"/>
          <w:sz w:val="32"/>
          <w:szCs w:val="32"/>
          <w:shd w:val="clear" w:color="auto" w:fill="FFFFFF"/>
        </w:rPr>
        <w:t>违规</w:t>
      </w:r>
      <w:r>
        <w:rPr>
          <w:rFonts w:ascii="仿宋_GB2312" w:eastAsia="仿宋_GB2312" w:hint="eastAsia"/>
          <w:b w:val="0"/>
          <w:bCs w:val="0"/>
          <w:i w:val="0"/>
          <w:iCs w:val="0"/>
          <w:caps w:val="0"/>
          <w:smallCaps w:val="0"/>
          <w:vanish w:val="0"/>
          <w:color w:val="303030"/>
          <w:spacing w:val="0"/>
          <w:sz w:val="32"/>
          <w:szCs w:val="32"/>
          <w:shd w:val="clear" w:color="auto" w:fill="FFFFFF"/>
        </w:rPr>
        <w:t>现象的发生。</w:t>
      </w:r>
    </w:p>
    <w:p>
      <w:pPr>
        <w:widowControl/>
        <w:spacing w:line="600" w:lineRule="exact"/>
        <w:ind w:firstLine="645"/>
        <w:jc w:val="left"/>
        <w:rPr>
          <w:rFonts w:eastAsia="黑体"/>
          <w:sz w:val="32"/>
          <w:szCs w:val="32"/>
        </w:rPr>
      </w:pPr>
      <w:r>
        <w:rPr>
          <w:rFonts w:eastAsia="黑体" w:hint="eastAsia"/>
          <w:sz w:val="32"/>
          <w:szCs w:val="32"/>
          <w:lang w:eastAsia="zh-CN"/>
        </w:rPr>
        <w:t>七</w:t>
      </w:r>
      <w:r>
        <w:rPr>
          <w:rFonts w:eastAsia="黑体"/>
          <w:sz w:val="32"/>
          <w:szCs w:val="32"/>
        </w:rPr>
        <w:t>、其他需要说明的情况</w:t>
      </w:r>
    </w:p>
    <w:p>
      <w:pPr>
        <w:widowControl/>
        <w:spacing w:line="600" w:lineRule="exact"/>
        <w:ind w:firstLine="645"/>
        <w:jc w:val="left"/>
        <w:rPr>
          <w:rFonts w:ascii="仿宋_GB2312" w:eastAsia="仿宋_GB2312" w:hint="eastAsia"/>
        </w:rPr>
      </w:pPr>
      <w:r>
        <w:rPr>
          <w:rFonts w:ascii="仿宋_GB2312" w:eastAsia="仿宋_GB2312" w:hint="eastAsia"/>
          <w:sz w:val="32"/>
          <w:szCs w:val="32"/>
        </w:rPr>
        <w:t>无</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_GBK">
    <w:altName w:val="微软雅黑"/>
    <w:panose1 w:val="03000509000000000000"/>
    <w:charset w:val="86"/>
    <w:family w:val="script"/>
    <w:pitch w:val="variable"/>
    <w:sig w:usb0="00000000" w:usb1="00000000" w:usb2="00000010" w:usb3="00000000" w:csb0="00040000" w:csb1="00000000"/>
  </w:font>
  <w:font w:name="Times New Roman">
    <w:panose1 w:val="02020603050405020304"/>
    <w:charset w:val="00"/>
    <w:family w:val="roman"/>
    <w:pitch w:val="variable"/>
    <w:sig w:usb0="20007A87" w:usb1="80000000" w:usb2="00000008" w:usb3="00000000" w:csb0="000001FF" w:csb1="00000000"/>
  </w:font>
  <w:font w:name="黑体">
    <w:panose1 w:val="02010609060101010101"/>
    <w:charset w:val="86"/>
    <w:family w:val="auto"/>
    <w:pitch w:val="variable"/>
    <w:sig w:usb0="800002BF" w:usb1="38CF7CFA" w:usb2="00000016" w:usb3="00000000" w:csb0="00040001" w:csb1="00000000"/>
  </w:font>
  <w:font w:name="楷体_GB2312">
    <w:panose1 w:val="02010609030101010101"/>
    <w:charset w:val="86"/>
    <w:family w:val="modern"/>
    <w:pitch w:val="variable"/>
    <w:sig w:usb0="00000001" w:usb1="080E0000" w:usb2="00000010" w:usb3="00000000" w:csb0="00040000" w:csb1="00000000"/>
  </w:font>
  <w:font w:name="仿宋">
    <w:altName w:val="仿宋_GB2312"/>
    <w:panose1 w:val="02010609060101010101"/>
    <w:charset w:val="86"/>
    <w:family w:val="modern"/>
    <w:pitch w:val="variable"/>
    <w:sig w:usb0="800002BF" w:usb1="38CF7CFA" w:usb2="00000016" w:usb3="00000000" w:csb0="00040001" w:csb1="00000000"/>
  </w:font>
  <w:font w:name="仿宋_GB2312">
    <w:panose1 w:val="02010609030101010101"/>
    <w:charset w:val="86"/>
    <w:family w:val="modern"/>
    <w:pitch w:val="variable"/>
    <w:sig w:usb0="00000001" w:usb1="080E0000" w:usb2="00000000" w:usb3="00000000" w:csb0="00040000" w:csb1="00000000"/>
  </w:font>
  <w:font w:name="宋体">
    <w:panose1 w:val="02010600030101010101"/>
    <w:charset w:val="86"/>
    <w:family w:val="auto"/>
    <w:pitch w:val="variable"/>
    <w:sig w:usb0="00000003" w:usb1="288F0000" w:usb2="00000006" w:usb3="00000000" w:csb0="00040001" w:csb1="00000000"/>
  </w:font>
  <w:font w:name="Calibri">
    <w:panose1 w:val="020F0502020204030204"/>
    <w:charset w:val="00"/>
    <w:family w:val="swiss"/>
    <w:pitch w:val="variable"/>
    <w:sig w:usb0="E00002FF" w:usb1="4000ACFF" w:usb2="00000001" w:usb3="00000000" w:csb0="2000019F" w:csb1="00000000"/>
  </w:font>
  <w:font w:name="方正小标宋简体">
    <w:panose1 w:val="03000509000000000000"/>
    <w:charset w:val="86"/>
    <w:family w:val="script"/>
    <w:pitch w:val="variable"/>
    <w:sig w:usb0="00000001" w:usb1="080E0000" w:usb2="00000000" w:usb3="00000000" w:csb0="00040000" w:csb1="00000000"/>
  </w:font>
</w:fonts>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w:abstractNum w:abstractNumId="0">
    <w:nsid w:val="1CECEBB3"/>
    <w:multiLevelType w:val="hybridMultilevel"/>
    <w:tmpl w:val="00000000"/>
    <w:lvl w:ilvl="0">
      <w:start w:val="1"/>
      <w:numFmt w:val="chineseCountingThousand"/>
      <w:lvlRestart w:val="0"/>
      <w:lvlText w:val="%1、"/>
      <w:lvlJc w:val="left"/>
      <w:pPr>
        <w:tabs>
          <w:tab w:val="num" w:pos="1280"/>
        </w:tabs>
        <w:ind w:left="1280" w:hanging="640"/>
      </w:pPr>
    </w:lvl>
    <w:lvl w:ilvl="1">
      <w:start w:val="1"/>
      <w:numFmt w:val="lowerLetter"/>
      <w:lvlText w:val="%2)"/>
      <w:lvlJc w:val="left"/>
      <w:pPr>
        <w:tabs>
          <w:tab w:val="num" w:pos="1480"/>
        </w:tabs>
        <w:ind w:left="1480" w:hanging="420"/>
      </w:pPr>
    </w:lvl>
    <w:lvl w:ilvl="2">
      <w:start w:val="1"/>
      <w:numFmt w:val="lowerRoman"/>
      <w:lvlText w:val="%3."/>
      <w:lvlJc w:val="right"/>
      <w:pPr>
        <w:tabs>
          <w:tab w:val="num" w:pos="1900"/>
        </w:tabs>
        <w:ind w:left="1900" w:hanging="420"/>
      </w:pPr>
    </w:lvl>
    <w:lvl w:ilvl="3">
      <w:start w:val="1"/>
      <w:numFmt w:val="decimal"/>
      <w:lvlText w:val="%4."/>
      <w:lvlJc w:val="left"/>
      <w:pPr>
        <w:tabs>
          <w:tab w:val="num" w:pos="2320"/>
        </w:tabs>
        <w:ind w:left="2320" w:hanging="420"/>
      </w:pPr>
    </w:lvl>
    <w:lvl w:ilvl="4">
      <w:start w:val="1"/>
      <w:numFmt w:val="lowerLetter"/>
      <w:lvlText w:val="%5)"/>
      <w:lvlJc w:val="left"/>
      <w:pPr>
        <w:tabs>
          <w:tab w:val="num" w:pos="2740"/>
        </w:tabs>
        <w:ind w:left="2740" w:hanging="420"/>
      </w:pPr>
    </w:lvl>
    <w:lvl w:ilvl="5">
      <w:start w:val="1"/>
      <w:numFmt w:val="lowerRoman"/>
      <w:lvlText w:val="%6."/>
      <w:lvlJc w:val="right"/>
      <w:pPr>
        <w:tabs>
          <w:tab w:val="num" w:pos="3160"/>
        </w:tabs>
        <w:ind w:left="3160" w:hanging="420"/>
      </w:pPr>
    </w:lvl>
    <w:lvl w:ilvl="6">
      <w:start w:val="1"/>
      <w:numFmt w:val="decimal"/>
      <w:lvlText w:val="%7."/>
      <w:lvlJc w:val="left"/>
      <w:pPr>
        <w:tabs>
          <w:tab w:val="num" w:pos="3580"/>
        </w:tabs>
        <w:ind w:left="3580" w:hanging="420"/>
      </w:pPr>
    </w:lvl>
    <w:lvl w:ilvl="7">
      <w:start w:val="1"/>
      <w:numFmt w:val="lowerLetter"/>
      <w:lvlText w:val="%8)"/>
      <w:lvlJc w:val="left"/>
      <w:pPr>
        <w:tabs>
          <w:tab w:val="num" w:pos="4000"/>
        </w:tabs>
        <w:ind w:left="4000" w:hanging="420"/>
      </w:pPr>
    </w:lvl>
    <w:lvl w:ilvl="8">
      <w:start w:val="1"/>
      <w:numFmt w:val="lowerRoman"/>
      <w:lvlText w:val="%9."/>
      <w:lvlJc w:val="right"/>
      <w:pPr>
        <w:tabs>
          <w:tab w:val="num" w:pos="4420"/>
        </w:tabs>
        <w:ind w:left="4420" w:hanging="420"/>
      </w:pPr>
    </w:lvl>
  </w:abstractNum>
  <w:num w:numId="1">
    <w:abstractNumId w:val="0"/>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Times New Roman" w:hAnsi="Times New Roman"/>
      <w:kern w:val="2"/>
      <w:sz w:val="21"/>
      <w:szCs w:val="24"/>
      <w:lang w:val="en-US" w:eastAsia="zh-CN" w:bidi="ar-SA"/>
    </w:rPr>
  </w:style>
  <w:style w:type="character" w:default="1" w:styleId="10">
    <w:name w:val="Default Paragraph Font"/>
  </w:style>
  <w:style w:type="paragraph" w:customStyle="1" w:styleId="15">
    <w:name w:val="List Paragraph"/>
    <w:basedOn w:val="0"/>
    <w:pPr>
      <w:ind w:firstLineChars="200" w:firstLine="200"/>
    </w:pPr>
    <w:rPr>
      <w:rFonts w:ascii="Calibri" w:eastAsia="宋体" w:cs="Times New Roman" w:hAnsi="Calibri"/>
      <w:szCs w:val="22"/>
    </w:rPr>
  </w:style>
  <w:style w:type="paragraph" w:styleId="67">
    <w:name w:val="Body Text"/>
    <w:next w:val="66"/>
    <w:pPr>
      <w:widowControl w:val="0"/>
      <w:jc w:val="center"/>
    </w:pPr>
    <w:rPr>
      <w:rFonts w:ascii="Times New Roman" w:eastAsia="方正小标宋简体" w:cs="Times New Roman" w:hAnsi="Times New Roman"/>
      <w:kern w:val="2"/>
      <w:sz w:val="36"/>
      <w:szCs w:val="36"/>
      <w:lang w:val="en-US" w:eastAsia="zh-CN" w:bidi="ar-SA"/>
    </w:rPr>
  </w:style>
  <w:style w:type="paragraph" w:styleId="93">
    <w:name w:val="Normal (Web)"/>
    <w:next w:val="92"/>
    <w:pPr>
      <w:widowControl w:val="0"/>
      <w:spacing w:before="100" w:beforeAutospacing="1" w:after="100" w:afterAutospacing="1" w:line="240" w:lineRule="auto"/>
      <w:jc w:val="left"/>
    </w:pPr>
    <w:rPr>
      <w:rFonts w:ascii="宋体" w:eastAsia="宋体"/>
      <w:kern w:val="2"/>
      <w:sz w:val="24"/>
      <w:szCs w:val="21"/>
      <w:lang w:val="en-US" w:eastAsia="zh-CN"/>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fontTable" Target="fontTable.xml"/></Relationships>
</file>

<file path=docProps/app.xml><?xml version="1.0" encoding="utf-8"?>
<Properties xmlns="http://schemas.openxmlformats.org/officeDocument/2006/extended-properties">
  <Template>Normal.eit</Template>
  <TotalTime>120</TotalTime>
  <Application>Yozo_Office</Application>
  <Pages>5</Pages>
  <Words>2211</Words>
  <Characters>2439</Characters>
  <Lines>115</Lines>
  <Paragraphs>45</Paragraphs>
  <CharactersWithSpaces>2450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Administrator</dc:creator>
  <cp:lastModifiedBy>微软用户</cp:lastModifiedBy>
  <cp:revision>1</cp:revision>
  <dcterms:created xsi:type="dcterms:W3CDTF">2021-03-15T06:50:00Z</dcterms:created>
  <dcterms:modified xsi:type="dcterms:W3CDTF">2022-03-31T02:42:40Z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7D43B314F7C24157BF42E5D065D8A65F</vt:lpwstr>
  </property>
</Properties>
</file>