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津市市公安局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2021年度</w:t>
      </w:r>
      <w:r>
        <w:rPr>
          <w:rFonts w:eastAsia="方正小标宋_GBK"/>
          <w:sz w:val="36"/>
          <w:szCs w:val="36"/>
        </w:rPr>
        <w:t>部门整体支出绩效报告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职能职责。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预防、制止和侦查违法犯罪活动；维护社会治安秩序，制止危害社会治安秩序的行为；维护交通安全和交通秩序，处理交通事故；组织、实施消防工作，实行消防监督；管理枪支弹药、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instrText xml:space="preserve"> HYPERLINK "https://baike.so.com/doc/5381010-5617310.html" \t "https://baike.so.com/doc/_blank" </w:instrTex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t>管制刀具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和易燃易爆、剧毒、放射性等危险物品；对法律、法规规定的特种行业进行管理；警卫国家规定的特定人员，守卫重要的场所和设施；管理集会、游行、示威活动；管理户政、国籍、入境出境事务和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instrText xml:space="preserve"> HYPERLINK "https://baike.so.com/doc/7026303-7249207.html" \t "https://baike.so.com/doc/_blank" </w:instrTex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t>外国人在中国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境内居留、旅行的有关事务；维护国（边）境地区的治安秩序；对被判处拘役、剥夺政治权利的罪犯执行刑罚；监督管理计算机信息系统的安全保护工作；指导和监督国家机关、社会团体、企业事业组织和重点建设工程的治安保卫工作，指导治安保卫委员会等群众性组织的治安防范工作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法律、法规规定的其他职责。</w:t>
      </w:r>
    </w:p>
    <w:p>
      <w:pPr>
        <w:widowControl/>
        <w:spacing w:line="600" w:lineRule="exact"/>
        <w:ind w:firstLine="627" w:firstLineChars="196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机构设置。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我局设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综合管理机构5个：政工室、警务保障室、法制室、纪委监察室、行政审批服务办；执法勤务机构13个：交通警察大队、指挥中心、国内安全保卫大队、刑事侦查大队、治安管理大队、经济犯罪侦查大队、人口与出入境管理大队、公共信息网络安全监察大队、禁毒大队、刑事科学技术室、受立案管理室、特巡警大队、食品药品和环境犯罪侦查大队；11个派出机构：三洲驿派出所、汪家桥派出所、襄阳街派出所、金鱼岭派出所、嘉山派出所、新洲派出所、毛里湖派出所、药山派出所、白衣派出所、西湖水上派出所、水上派出所；2个直属机构：津市市看守所、津市市拘留所。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5"/>
        <w:widowControl/>
        <w:spacing w:line="600" w:lineRule="exact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2021年基本支出合计6263.51万元，其中工资福利支出4487.31万元，商品和服务支出1565.45万元，对个人和家庭的补助210.75万元。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2021年项目支出合计2736.49万元，主要包括业务技术用房、汪家桥襄阳派出所、毛里湖派出所、药山派出所、白衣派出所、电子物证检验鉴定实验室建设</w:t>
      </w:r>
      <w:r>
        <w:rPr>
          <w:rFonts w:eastAsia="仿宋_GB2312"/>
          <w:sz w:val="32"/>
          <w:szCs w:val="32"/>
        </w:rPr>
        <w:t>。</w:t>
      </w:r>
    </w:p>
    <w:p>
      <w:pPr>
        <w:pStyle w:val="5"/>
        <w:widowControl/>
        <w:spacing w:line="600" w:lineRule="exact"/>
        <w:ind w:left="640" w:firstLine="0" w:firstLineChars="0"/>
        <w:jc w:val="left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widowControl/>
        <w:spacing w:line="600" w:lineRule="exact"/>
        <w:ind w:firstLine="645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无。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widowControl/>
        <w:spacing w:line="600" w:lineRule="exact"/>
        <w:ind w:firstLine="645"/>
        <w:jc w:val="lef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部门整体支出</w:t>
      </w:r>
      <w:r>
        <w:rPr>
          <w:rFonts w:eastAsia="仿宋_GB2312"/>
          <w:color w:val="000000"/>
          <w:sz w:val="32"/>
          <w:szCs w:val="32"/>
        </w:rPr>
        <w:t>绩效目标完成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良好</w:t>
      </w:r>
      <w:r>
        <w:rPr>
          <w:rFonts w:eastAsia="仿宋_GB2312"/>
          <w:color w:val="000000"/>
          <w:sz w:val="32"/>
          <w:szCs w:val="32"/>
        </w:rPr>
        <w:t>，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其中</w:t>
      </w:r>
      <w:r>
        <w:rPr>
          <w:rFonts w:hint="eastAsia" w:eastAsia="仿宋_GB2312"/>
          <w:color w:val="000000"/>
          <w:sz w:val="32"/>
          <w:szCs w:val="32"/>
        </w:rPr>
        <w:t>经济效益指标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</w:rPr>
        <w:t>保障正常办公办案需要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eastAsia="仿宋_GB2312"/>
          <w:color w:val="000000"/>
          <w:sz w:val="32"/>
          <w:szCs w:val="32"/>
        </w:rPr>
        <w:t>保障业务技术用房及派出所建设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；社会效益指标：树立了良好的公安形象；生态效益指标：实现建设环境友好型公安局；可持续影响指标：有利于公安工作可持续发展；满意度指标：群众满意，社会评价好。</w:t>
      </w:r>
    </w:p>
    <w:p>
      <w:pPr>
        <w:pStyle w:val="5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无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>
      <w:pPr>
        <w:widowControl/>
        <w:spacing w:line="600" w:lineRule="exact"/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无。</w:t>
      </w:r>
    </w:p>
    <w:p>
      <w:pPr>
        <w:widowControl/>
        <w:numPr>
          <w:ilvl w:val="0"/>
          <w:numId w:val="2"/>
        </w:numPr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widowControl/>
        <w:numPr>
          <w:numId w:val="0"/>
        </w:numPr>
        <w:spacing w:line="600" w:lineRule="exact"/>
        <w:jc w:val="left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EF0F69"/>
    <w:multiLevelType w:val="singleLevel"/>
    <w:tmpl w:val="B7EF0F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29A091E"/>
    <w:multiLevelType w:val="singleLevel"/>
    <w:tmpl w:val="629A091E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3A076E09"/>
    <w:rsid w:val="3B8F3226"/>
    <w:rsid w:val="52402B39"/>
    <w:rsid w:val="5A9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Monday</cp:lastModifiedBy>
  <dcterms:modified xsi:type="dcterms:W3CDTF">2022-03-23T02:18:36Z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