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津市市公安局</w:t>
      </w:r>
    </w:p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2021年度</w:t>
      </w:r>
      <w:r>
        <w:rPr>
          <w:rFonts w:hint="eastAsia" w:eastAsia="方正小标宋_GBK"/>
          <w:sz w:val="36"/>
          <w:szCs w:val="36"/>
          <w:lang w:eastAsia="zh-CN"/>
        </w:rPr>
        <w:t>项目</w:t>
      </w:r>
      <w:r>
        <w:rPr>
          <w:rFonts w:eastAsia="方正小标宋_GBK"/>
          <w:sz w:val="36"/>
          <w:szCs w:val="36"/>
        </w:rPr>
        <w:t>支出绩效报告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>
      <w:pPr>
        <w:widowControl/>
        <w:spacing w:line="600" w:lineRule="exact"/>
        <w:ind w:firstLine="627" w:firstLineChars="196"/>
        <w:jc w:val="left"/>
        <w:rPr>
          <w:rFonts w:hint="eastAsia" w:ascii="仿宋_GB2312" w:hAnsi="仿宋_GB2312" w:eastAsia="仿宋_GB2312" w:cs="仿宋_GB2312"/>
          <w:color w:val="auto"/>
          <w:kern w:val="0"/>
          <w:sz w:val="32"/>
          <w:szCs w:val="24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职能职责。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预防、制止和侦查违法犯罪活动；维护社会治安秩序，制止危害社会治安秩序的行为；维护交通安全和交通秩序，处理交通事故；组织、实施消防工作，实行消防监督；管理枪支弹药、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instrText xml:space="preserve"> HYPERLINK "https://baike.so.com/doc/5381010-5617310.html" \t "https://baike.so.com/doc/_blank" </w:instrTex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t>管制刀具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和易燃易爆、剧毒、放射性等危险物品；对法律、法规规定的特种行业进行管理；警卫国家规定的特定人员，守卫重要的场所和设施；管理集会、游行、示威活动；管理户政、国籍、入境出境事务和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begin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instrText xml:space="preserve"> HYPERLINK "https://baike.so.com/doc/7026303-7249207.html" \t "https://baike.so.com/doc/_blank" </w:instrTex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t>外国人在中国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u w:val="none"/>
          <w:shd w:val="clear" w:color="auto" w:fill="FFFFFF"/>
        </w:rPr>
        <w:fldChar w:fldCharType="end"/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境内居留、旅行的有关事务；维护国（边）境地区的治安秩序；对被判处拘役、剥夺政治权利的罪犯执行刑罚；监督管理计算机信息系统的安全保护工作；指导和监督国家机关、社会团体、企业事业组织和重点建设工程的治安保卫工作，指导治安保卫委员会等群众性组织的治安防范工作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  <w:shd w:val="clear" w:color="auto" w:fill="FFFFFF"/>
        </w:rPr>
        <w:t>法律、法规规定的其他职责。</w:t>
      </w:r>
    </w:p>
    <w:p>
      <w:pPr>
        <w:widowControl/>
        <w:spacing w:line="600" w:lineRule="exact"/>
        <w:ind w:firstLine="627" w:firstLineChars="196"/>
        <w:jc w:val="left"/>
        <w:rPr>
          <w:rFonts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</w:rPr>
        <w:t>机构设置。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我局设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综合管理机构5个：政工室、警务保障室、法制室、纪委监察室、行政审批服务办；执法勤务机构13个：交通警察大队、指挥中心、国内安全保卫大队、刑事侦查大队、治安管理大队、经济犯罪侦查大队、人口与出入境管理大队、公共信息网络安全监察大队、禁毒大队、刑事科学技术室、受立案管理室、特巡警大队、食品药品和环境犯罪侦查大队；11个派出机构：三洲驿派出所、汪家桥派出所、襄阳街派出所、金鱼岭派出所、嘉山派出所、新洲派出所、毛里湖派出所、药山派出所、白衣派出所、西湖水上派出所、水上派出所；2个直属机构：津市市看守所、津市市拘留所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（二）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基本情况包括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基本性质、用途和主要内容、涉及范围等。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2021年中央和省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两级补助专项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453.27万元，其中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湘财预〔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420号、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湘财预〔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119号文件下达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2021年政法转移支付资金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433.27万元，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湘财预〔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427号文件提前下达预备费20万元，计划实施时间为2021年1月1日至2021年12月31日，主要用于办案、装备采购及公用经费支出。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绩效目标，包括总体目标和年度目标。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专项长期绩效目标</w:t>
      </w:r>
      <w:r>
        <w:rPr>
          <w:rFonts w:hint="eastAsia" w:eastAsia="仿宋_GB2312"/>
          <w:sz w:val="32"/>
          <w:szCs w:val="32"/>
          <w:lang w:eastAsia="zh-CN"/>
        </w:rPr>
        <w:t>、</w:t>
      </w:r>
      <w:r>
        <w:rPr>
          <w:rFonts w:hint="eastAsia" w:eastAsia="仿宋_GB2312"/>
          <w:sz w:val="32"/>
          <w:szCs w:val="32"/>
        </w:rPr>
        <w:t>专项年度绩效目标</w:t>
      </w:r>
      <w:r>
        <w:rPr>
          <w:rFonts w:hint="eastAsia" w:eastAsia="仿宋_GB2312"/>
          <w:sz w:val="32"/>
          <w:szCs w:val="32"/>
          <w:lang w:eastAsia="zh-CN"/>
        </w:rPr>
        <w:t>为保障我局办案、装备采购及公用经费支出，解决部分办案、装备采购及弥补部分公用经费不足，充分发挥资金使用效率，确保我市公安工作顺利开展。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资金及自筹资金的安排落实、总投入等情况。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项目资金为</w:t>
      </w:r>
      <w:r>
        <w:rPr>
          <w:rFonts w:hint="eastAsia" w:ascii="仿宋_GB2312" w:hAnsi="仿宋_GB2312" w:eastAsia="仿宋_GB2312" w:cs="仿宋_GB2312"/>
          <w:sz w:val="32"/>
          <w:szCs w:val="32"/>
        </w:rPr>
        <w:t>2021年中央和省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两级补助专项</w:t>
      </w:r>
      <w:r>
        <w:rPr>
          <w:rFonts w:hint="eastAsia" w:ascii="仿宋_GB2312" w:hAnsi="仿宋_GB2312" w:eastAsia="仿宋_GB2312" w:cs="仿宋_GB2312"/>
          <w:sz w:val="32"/>
          <w:szCs w:val="32"/>
        </w:rPr>
        <w:t>资金</w:t>
      </w:r>
      <w:r>
        <w:rPr>
          <w:rFonts w:hint="eastAsia" w:eastAsia="仿宋_GB2312"/>
          <w:sz w:val="32"/>
          <w:szCs w:val="32"/>
          <w:lang w:eastAsia="zh-CN"/>
        </w:rPr>
        <w:t>，金额为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453.27万元</w:t>
      </w:r>
      <w:r>
        <w:rPr>
          <w:rFonts w:hint="eastAsia" w:eastAsia="仿宋_GB2312"/>
          <w:sz w:val="32"/>
          <w:szCs w:val="32"/>
          <w:lang w:val="en-US" w:eastAsia="zh-CN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资金实际使用情况。</w:t>
      </w:r>
    </w:p>
    <w:p>
      <w:pPr>
        <w:numPr>
          <w:numId w:val="0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资金主要用于解决我局部分办案、装备采购及弥补部分公用经费不足。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left="0" w:leftChars="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资金管理情况分析，主要包括管理制度、办法的制订及执行情况。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严格执行相关项目资金管理规定，坚决做到专款专用。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严格按照相关规定、程序组织实施</w:t>
      </w:r>
      <w:r>
        <w:rPr>
          <w:rFonts w:eastAsia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项目的社会效益指标</w:t>
      </w:r>
      <w:r>
        <w:rPr>
          <w:rFonts w:hint="eastAsia" w:eastAsia="仿宋_GB2312"/>
          <w:sz w:val="32"/>
          <w:szCs w:val="32"/>
          <w:lang w:eastAsia="zh-CN"/>
        </w:rPr>
        <w:t>：树立良好公安形象；经济效益指标：保障业务部门正常办案需要；环境效益指标：建设环境友好型公安局；可持续影响指标：有利于公安工作可持续发展；社会公众或服务对象满意度：群众满意，社会评价好。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无。</w:t>
      </w:r>
    </w:p>
    <w:p>
      <w:pPr>
        <w:adjustRightInd w:val="0"/>
        <w:snapToGrid w:val="0"/>
        <w:spacing w:line="600" w:lineRule="exact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tbl>
      <w:tblPr>
        <w:tblStyle w:val="2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1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261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</w:pPr>
      <w:r>
        <w:rPr>
          <w:rFonts w:eastAsia="仿宋_GB2312"/>
          <w:sz w:val="24"/>
        </w:rPr>
        <w:t>填表人：         填报日期：           联系电话：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5E9B4A"/>
    <w:multiLevelType w:val="singleLevel"/>
    <w:tmpl w:val="B35E9B4A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2409AD34"/>
    <w:multiLevelType w:val="singleLevel"/>
    <w:tmpl w:val="2409AD34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CFE4450"/>
    <w:rsid w:val="20C85C7B"/>
    <w:rsid w:val="305B5409"/>
    <w:rsid w:val="3C343492"/>
    <w:rsid w:val="487D713D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Monday</cp:lastModifiedBy>
  <dcterms:modified xsi:type="dcterms:W3CDTF">2022-03-23T03:14:21Z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