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p>
    <w:p>
      <w:pPr>
        <w:spacing w:line="600" w:lineRule="exact"/>
        <w:jc w:val="center"/>
        <w:rPr>
          <w:rFonts w:hint="eastAsia" w:eastAsia="方正小标宋_GBK"/>
          <w:sz w:val="36"/>
          <w:szCs w:val="36"/>
          <w:lang w:val="en-US" w:eastAsia="zh-CN"/>
        </w:rPr>
      </w:pPr>
      <w:bookmarkStart w:id="0" w:name="_GoBack"/>
      <w:bookmarkEnd w:id="0"/>
    </w:p>
    <w:p>
      <w:pPr>
        <w:spacing w:line="600" w:lineRule="exact"/>
        <w:jc w:val="center"/>
        <w:rPr>
          <w:rFonts w:hint="eastAsia" w:eastAsia="方正小标宋_GBK"/>
          <w:sz w:val="36"/>
          <w:szCs w:val="36"/>
          <w:lang w:val="en-US" w:eastAsia="zh-CN"/>
        </w:rPr>
      </w:pPr>
    </w:p>
    <w:p>
      <w:pPr>
        <w:spacing w:line="600" w:lineRule="exact"/>
        <w:jc w:val="center"/>
        <w:rPr>
          <w:rFonts w:hint="eastAsia" w:eastAsia="方正小标宋_GBK"/>
          <w:sz w:val="36"/>
          <w:szCs w:val="36"/>
          <w:lang w:val="en-US" w:eastAsia="zh-CN"/>
        </w:rPr>
      </w:pPr>
    </w:p>
    <w:p>
      <w:pPr>
        <w:spacing w:line="600" w:lineRule="exact"/>
        <w:jc w:val="center"/>
        <w:rPr>
          <w:rFonts w:eastAsia="方正小标宋_GBK"/>
          <w:sz w:val="36"/>
          <w:szCs w:val="36"/>
        </w:rPr>
      </w:pPr>
      <w:r>
        <w:rPr>
          <w:rFonts w:hint="eastAsia" w:eastAsia="方正小标宋_GBK"/>
          <w:sz w:val="36"/>
          <w:szCs w:val="36"/>
          <w:lang w:val="en-US" w:eastAsia="zh-CN"/>
        </w:rPr>
        <w:t>津市市司法局2021年度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6"/>
        <w:widowControl/>
        <w:numPr>
          <w:ilvl w:val="0"/>
          <w:numId w:val="0"/>
        </w:numPr>
        <w:spacing w:line="600" w:lineRule="exact"/>
        <w:rPr>
          <w:rFonts w:ascii="Times New Roman" w:hAnsi="Times New Roman" w:eastAsia="黑体"/>
          <w:sz w:val="32"/>
          <w:szCs w:val="32"/>
        </w:rPr>
      </w:pPr>
      <w:r>
        <w:rPr>
          <w:rFonts w:hint="eastAsia" w:ascii="Times New Roman" w:hAnsi="Times New Roman" w:eastAsia="黑体"/>
          <w:sz w:val="32"/>
          <w:szCs w:val="32"/>
          <w:lang w:eastAsia="zh-CN"/>
        </w:rPr>
        <w:t>一、</w:t>
      </w:r>
      <w:r>
        <w:rPr>
          <w:rFonts w:ascii="Times New Roman" w:hAnsi="Times New Roman" w:eastAsia="黑体"/>
          <w:sz w:val="32"/>
          <w:szCs w:val="32"/>
        </w:rPr>
        <w:t>部门、单位基本情况</w:t>
      </w:r>
    </w:p>
    <w:p>
      <w:pPr>
        <w:widowControl/>
        <w:spacing w:line="600" w:lineRule="exact"/>
        <w:ind w:firstLine="640" w:firstLineChars="200"/>
        <w:jc w:val="both"/>
        <w:rPr>
          <w:rFonts w:eastAsia="仿宋_GB2312"/>
          <w:sz w:val="32"/>
          <w:szCs w:val="32"/>
        </w:rPr>
      </w:pPr>
      <w:r>
        <w:rPr>
          <w:rFonts w:hint="eastAsia" w:eastAsia="仿宋_GB2312"/>
          <w:sz w:val="32"/>
          <w:szCs w:val="32"/>
        </w:rPr>
        <w:t>津市市司法局（以下简称“市司法局”）是全额拨款的行政单位，根据编办核定：</w:t>
      </w:r>
      <w:r>
        <w:rPr>
          <w:rFonts w:hint="eastAsia" w:eastAsia="仿宋_GB2312"/>
          <w:sz w:val="32"/>
          <w:szCs w:val="32"/>
          <w:lang w:eastAsia="zh-CN"/>
        </w:rPr>
        <w:t>2021</w:t>
      </w:r>
      <w:r>
        <w:rPr>
          <w:rFonts w:hint="eastAsia" w:eastAsia="仿宋_GB2312"/>
          <w:sz w:val="32"/>
          <w:szCs w:val="32"/>
        </w:rPr>
        <w:t>年，津市市司法局局机关设置6个内设机构，办公室、普法与依法治理股（法治办）、人民参与促进法治股、规范性文件和合同审查管理股、行政执法协调监督股、行政复议应诉股；下设4个二级机构（湖南省津市市公证处、津市市法律援助中心、津市市社区矫正工作局、依法行政服务指导中心）和9个镇（街）司法所。全局设岗位编制5</w:t>
      </w:r>
      <w:r>
        <w:rPr>
          <w:rFonts w:hint="eastAsia" w:eastAsia="仿宋_GB2312"/>
          <w:sz w:val="32"/>
          <w:szCs w:val="32"/>
          <w:lang w:val="en-US" w:eastAsia="zh-CN"/>
        </w:rPr>
        <w:t>2</w:t>
      </w:r>
      <w:r>
        <w:rPr>
          <w:rFonts w:hint="eastAsia" w:eastAsia="仿宋_GB2312"/>
          <w:sz w:val="32"/>
          <w:szCs w:val="32"/>
        </w:rPr>
        <w:t>人，其中机关1</w:t>
      </w:r>
      <w:r>
        <w:rPr>
          <w:rFonts w:hint="eastAsia" w:eastAsia="仿宋_GB2312"/>
          <w:sz w:val="32"/>
          <w:szCs w:val="32"/>
          <w:lang w:val="en-US" w:eastAsia="zh-CN"/>
        </w:rPr>
        <w:t>7</w:t>
      </w:r>
      <w:r>
        <w:rPr>
          <w:rFonts w:hint="eastAsia" w:eastAsia="仿宋_GB2312"/>
          <w:sz w:val="32"/>
          <w:szCs w:val="32"/>
        </w:rPr>
        <w:t>人，司法所19人，社区矫正5人，法律援助5人，公证处3人，依法行政指导服务中心3人。</w:t>
      </w:r>
    </w:p>
    <w:p>
      <w:pPr>
        <w:pStyle w:val="6"/>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6"/>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spacing w:line="600" w:lineRule="exact"/>
        <w:ind w:firstLine="640" w:firstLineChars="200"/>
        <w:jc w:val="both"/>
        <w:rPr>
          <w:rFonts w:hint="eastAsia" w:eastAsia="仿宋_GB2312"/>
          <w:sz w:val="32"/>
          <w:szCs w:val="32"/>
        </w:rPr>
      </w:pPr>
      <w:r>
        <w:rPr>
          <w:rFonts w:hint="eastAsia" w:eastAsia="仿宋_GB2312"/>
          <w:sz w:val="32"/>
          <w:szCs w:val="32"/>
        </w:rPr>
        <w:t>本年基本支出</w:t>
      </w:r>
      <w:r>
        <w:rPr>
          <w:rFonts w:hint="eastAsia" w:eastAsia="仿宋_GB2312"/>
          <w:sz w:val="32"/>
          <w:szCs w:val="32"/>
          <w:lang w:val="en-US" w:eastAsia="zh-CN"/>
        </w:rPr>
        <w:t>671</w:t>
      </w:r>
      <w:r>
        <w:rPr>
          <w:rFonts w:hint="eastAsia" w:eastAsia="仿宋_GB2312"/>
          <w:sz w:val="32"/>
          <w:szCs w:val="32"/>
        </w:rPr>
        <w:t>万元，占本年一般公共预算财政拨款总支出的</w:t>
      </w:r>
      <w:r>
        <w:rPr>
          <w:rFonts w:hint="eastAsia" w:eastAsia="仿宋_GB2312"/>
          <w:sz w:val="32"/>
          <w:szCs w:val="32"/>
          <w:lang w:val="en-US" w:eastAsia="zh-CN"/>
        </w:rPr>
        <w:t>81</w:t>
      </w:r>
      <w:r>
        <w:rPr>
          <w:rFonts w:hint="eastAsia" w:eastAsia="仿宋_GB2312"/>
          <w:sz w:val="32"/>
          <w:szCs w:val="32"/>
        </w:rPr>
        <w:t>%。其中人员经费</w:t>
      </w:r>
      <w:r>
        <w:rPr>
          <w:rFonts w:hint="eastAsia" w:eastAsia="仿宋_GB2312"/>
          <w:sz w:val="32"/>
          <w:szCs w:val="32"/>
          <w:lang w:val="en-US" w:eastAsia="zh-CN"/>
        </w:rPr>
        <w:t>578</w:t>
      </w:r>
      <w:r>
        <w:rPr>
          <w:rFonts w:hint="eastAsia" w:eastAsia="仿宋_GB2312"/>
          <w:sz w:val="32"/>
          <w:szCs w:val="32"/>
        </w:rPr>
        <w:t>万元，占基本支出的8</w:t>
      </w:r>
      <w:r>
        <w:rPr>
          <w:rFonts w:hint="eastAsia" w:eastAsia="仿宋_GB2312"/>
          <w:sz w:val="32"/>
          <w:szCs w:val="32"/>
          <w:lang w:val="en-US" w:eastAsia="zh-CN"/>
        </w:rPr>
        <w:t>6</w:t>
      </w:r>
      <w:r>
        <w:rPr>
          <w:rFonts w:hint="eastAsia" w:eastAsia="仿宋_GB2312"/>
          <w:sz w:val="32"/>
          <w:szCs w:val="32"/>
        </w:rPr>
        <w:t>%；日常公用经费</w:t>
      </w:r>
      <w:r>
        <w:rPr>
          <w:rFonts w:hint="eastAsia" w:eastAsia="仿宋_GB2312"/>
          <w:sz w:val="32"/>
          <w:szCs w:val="32"/>
          <w:lang w:val="en-US" w:eastAsia="zh-CN"/>
        </w:rPr>
        <w:t>93</w:t>
      </w:r>
      <w:r>
        <w:rPr>
          <w:rFonts w:hint="eastAsia" w:eastAsia="仿宋_GB2312"/>
          <w:sz w:val="32"/>
          <w:szCs w:val="32"/>
        </w:rPr>
        <w:t>万元，占基本支出的1</w:t>
      </w:r>
      <w:r>
        <w:rPr>
          <w:rFonts w:hint="eastAsia" w:eastAsia="仿宋_GB2312"/>
          <w:sz w:val="32"/>
          <w:szCs w:val="32"/>
          <w:lang w:val="en-US" w:eastAsia="zh-CN"/>
        </w:rPr>
        <w:t>4</w:t>
      </w:r>
      <w:r>
        <w:rPr>
          <w:rFonts w:hint="eastAsia" w:eastAsia="仿宋_GB2312"/>
          <w:sz w:val="32"/>
          <w:szCs w:val="32"/>
        </w:rPr>
        <w:t>%。</w:t>
      </w:r>
    </w:p>
    <w:p>
      <w:pPr>
        <w:pStyle w:val="6"/>
        <w:widowControl/>
        <w:numPr>
          <w:ilvl w:val="0"/>
          <w:numId w:val="0"/>
        </w:numPr>
        <w:spacing w:line="600" w:lineRule="exact"/>
        <w:rPr>
          <w:rFonts w:ascii="Times New Roman" w:hAnsi="Times New Roman" w:eastAsia="黑体"/>
          <w:sz w:val="32"/>
          <w:szCs w:val="32"/>
        </w:rPr>
      </w:pPr>
      <w:r>
        <w:rPr>
          <w:rFonts w:hint="eastAsia" w:ascii="Times New Roman" w:hAnsi="Times New Roman" w:eastAsia="黑体"/>
          <w:sz w:val="32"/>
          <w:szCs w:val="32"/>
          <w:lang w:eastAsia="zh-CN"/>
        </w:rPr>
        <w:t>（二）</w:t>
      </w:r>
      <w:r>
        <w:rPr>
          <w:rFonts w:ascii="Times New Roman" w:hAnsi="Times New Roman" w:eastAsia="黑体"/>
          <w:sz w:val="32"/>
          <w:szCs w:val="32"/>
        </w:rPr>
        <w:t>项目支出情况</w:t>
      </w:r>
    </w:p>
    <w:p>
      <w:pPr>
        <w:widowControl/>
        <w:spacing w:line="600" w:lineRule="exact"/>
        <w:ind w:firstLine="640" w:firstLineChars="200"/>
        <w:jc w:val="both"/>
        <w:rPr>
          <w:rFonts w:hint="eastAsia" w:eastAsia="仿宋_GB2312"/>
          <w:sz w:val="32"/>
          <w:szCs w:val="32"/>
        </w:rPr>
      </w:pPr>
      <w:r>
        <w:rPr>
          <w:rFonts w:hint="eastAsia" w:eastAsia="仿宋_GB2312"/>
          <w:sz w:val="32"/>
          <w:szCs w:val="32"/>
          <w:lang w:eastAsia="zh-CN"/>
        </w:rPr>
        <w:t>本年</w:t>
      </w:r>
      <w:r>
        <w:rPr>
          <w:rFonts w:hint="eastAsia" w:eastAsia="仿宋_GB2312"/>
          <w:sz w:val="32"/>
          <w:szCs w:val="32"/>
        </w:rPr>
        <w:t>项目支出</w:t>
      </w:r>
      <w:r>
        <w:rPr>
          <w:rFonts w:hint="eastAsia" w:eastAsia="仿宋_GB2312"/>
          <w:sz w:val="32"/>
          <w:szCs w:val="32"/>
          <w:lang w:val="en-US" w:eastAsia="zh-CN"/>
        </w:rPr>
        <w:t>156</w:t>
      </w:r>
      <w:r>
        <w:rPr>
          <w:rFonts w:hint="eastAsia" w:eastAsia="仿宋_GB2312"/>
          <w:sz w:val="32"/>
          <w:szCs w:val="32"/>
        </w:rPr>
        <w:t>万元，占本年一般公共预算财政拨款总支出的</w:t>
      </w:r>
      <w:r>
        <w:rPr>
          <w:rFonts w:hint="eastAsia" w:eastAsia="仿宋_GB2312"/>
          <w:sz w:val="32"/>
          <w:szCs w:val="32"/>
          <w:lang w:val="en-US" w:eastAsia="zh-CN"/>
        </w:rPr>
        <w:t>19</w:t>
      </w:r>
      <w:r>
        <w:rPr>
          <w:rFonts w:hint="eastAsia" w:eastAsia="仿宋_GB2312"/>
          <w:sz w:val="32"/>
          <w:szCs w:val="32"/>
        </w:rPr>
        <w:t>%。其中：公共安全支出</w:t>
      </w:r>
      <w:r>
        <w:rPr>
          <w:rFonts w:hint="eastAsia" w:eastAsia="仿宋_GB2312"/>
          <w:sz w:val="32"/>
          <w:szCs w:val="32"/>
          <w:lang w:val="en-US" w:eastAsia="zh-CN"/>
        </w:rPr>
        <w:t>132</w:t>
      </w:r>
      <w:r>
        <w:rPr>
          <w:rFonts w:hint="eastAsia" w:eastAsia="仿宋_GB2312"/>
          <w:sz w:val="32"/>
          <w:szCs w:val="32"/>
        </w:rPr>
        <w:t>万元，</w:t>
      </w:r>
      <w:r>
        <w:rPr>
          <w:rFonts w:hint="eastAsia" w:eastAsia="仿宋_GB2312"/>
          <w:sz w:val="32"/>
          <w:szCs w:val="32"/>
          <w:lang w:eastAsia="zh-CN"/>
        </w:rPr>
        <w:t>占项目支出的</w:t>
      </w:r>
      <w:r>
        <w:rPr>
          <w:rFonts w:hint="eastAsia" w:eastAsia="仿宋_GB2312"/>
          <w:sz w:val="32"/>
          <w:szCs w:val="32"/>
          <w:lang w:val="en-US" w:eastAsia="zh-CN"/>
        </w:rPr>
        <w:t>85%；</w:t>
      </w:r>
      <w:r>
        <w:rPr>
          <w:rFonts w:hint="eastAsia" w:eastAsia="仿宋_GB2312"/>
          <w:sz w:val="32"/>
          <w:szCs w:val="32"/>
        </w:rPr>
        <w:t>一般公共服务支出</w:t>
      </w:r>
      <w:r>
        <w:rPr>
          <w:rFonts w:hint="eastAsia" w:eastAsia="仿宋_GB2312"/>
          <w:sz w:val="32"/>
          <w:szCs w:val="32"/>
          <w:lang w:val="en-US" w:eastAsia="zh-CN"/>
        </w:rPr>
        <w:t>24</w:t>
      </w:r>
      <w:r>
        <w:rPr>
          <w:rFonts w:hint="eastAsia" w:eastAsia="仿宋_GB2312"/>
          <w:sz w:val="32"/>
          <w:szCs w:val="32"/>
        </w:rPr>
        <w:t>万元</w:t>
      </w:r>
      <w:r>
        <w:rPr>
          <w:rFonts w:hint="eastAsia" w:eastAsia="仿宋_GB2312"/>
          <w:sz w:val="32"/>
          <w:szCs w:val="32"/>
          <w:lang w:eastAsia="zh-CN"/>
        </w:rPr>
        <w:t>，占项目支出的</w:t>
      </w:r>
      <w:r>
        <w:rPr>
          <w:rFonts w:hint="eastAsia" w:eastAsia="仿宋_GB2312"/>
          <w:sz w:val="32"/>
          <w:szCs w:val="32"/>
          <w:lang w:val="en-US" w:eastAsia="zh-CN"/>
        </w:rPr>
        <w:t>15%</w:t>
      </w:r>
      <w:r>
        <w:rPr>
          <w:rFonts w:hint="eastAsia" w:eastAsia="仿宋_GB2312"/>
          <w:sz w:val="32"/>
          <w:szCs w:val="32"/>
        </w:rPr>
        <w:t>。</w:t>
      </w:r>
    </w:p>
    <w:p>
      <w:pPr>
        <w:widowControl/>
        <w:spacing w:line="600" w:lineRule="exact"/>
        <w:jc w:val="left"/>
        <w:rPr>
          <w:rFonts w:eastAsia="仿宋_GB2312"/>
          <w:sz w:val="32"/>
          <w:szCs w:val="32"/>
        </w:rPr>
      </w:pPr>
      <w:r>
        <w:rPr>
          <w:rFonts w:eastAsia="仿宋_GB2312"/>
          <w:sz w:val="32"/>
          <w:szCs w:val="32"/>
        </w:rPr>
        <w:t>两方面：</w:t>
      </w:r>
    </w:p>
    <w:p>
      <w:pPr>
        <w:widowControl/>
        <w:spacing w:line="600" w:lineRule="exact"/>
        <w:ind w:firstLine="640" w:firstLineChars="200"/>
        <w:jc w:val="left"/>
        <w:rPr>
          <w:rFonts w:eastAsia="仿宋_GB2312"/>
          <w:sz w:val="32"/>
          <w:szCs w:val="32"/>
        </w:rPr>
      </w:pPr>
      <w:r>
        <w:rPr>
          <w:rFonts w:eastAsia="仿宋_GB2312"/>
          <w:sz w:val="32"/>
          <w:szCs w:val="32"/>
        </w:rPr>
        <w:t>一是</w:t>
      </w:r>
      <w:r>
        <w:rPr>
          <w:rFonts w:hint="eastAsia" w:eastAsia="仿宋_GB2312"/>
          <w:sz w:val="32"/>
          <w:szCs w:val="32"/>
          <w:lang w:val="en-US" w:eastAsia="zh-CN"/>
        </w:rPr>
        <w:t>2021</w:t>
      </w:r>
      <w:r>
        <w:rPr>
          <w:rFonts w:eastAsia="仿宋_GB2312"/>
          <w:sz w:val="32"/>
          <w:szCs w:val="32"/>
        </w:rPr>
        <w:t>年度</w:t>
      </w:r>
      <w:r>
        <w:rPr>
          <w:rFonts w:hint="eastAsia" w:eastAsia="仿宋_GB2312"/>
          <w:sz w:val="32"/>
          <w:szCs w:val="32"/>
          <w:lang w:eastAsia="zh-CN"/>
        </w:rPr>
        <w:t>社区矫正购买服务</w:t>
      </w:r>
      <w:r>
        <w:rPr>
          <w:rFonts w:eastAsia="仿宋_GB2312"/>
          <w:sz w:val="32"/>
          <w:szCs w:val="32"/>
        </w:rPr>
        <w:t>专项资金安排和使用管理情况</w:t>
      </w:r>
      <w:r>
        <w:rPr>
          <w:rFonts w:hint="eastAsia" w:eastAsia="仿宋_GB2312"/>
          <w:sz w:val="32"/>
          <w:szCs w:val="32"/>
          <w:lang w:eastAsia="zh-CN"/>
        </w:rPr>
        <w:t>：本年度财政安排社区矫正购买服务项目资金共计</w:t>
      </w:r>
      <w:r>
        <w:rPr>
          <w:rFonts w:hint="eastAsia" w:eastAsia="仿宋_GB2312"/>
          <w:sz w:val="32"/>
          <w:szCs w:val="32"/>
          <w:lang w:val="en-US" w:eastAsia="zh-CN"/>
        </w:rPr>
        <w:t>24万元，其中我局以政府购买服务形式与7人签订劳务合同，专门从事社区矫正日常管理工作，按3万元/人/年包干，共计21万元，另外3万元用于社区矫正定位服务费及安置帮教人员购买服务支出</w:t>
      </w:r>
      <w:r>
        <w:rPr>
          <w:rFonts w:eastAsia="仿宋_GB2312"/>
          <w:sz w:val="32"/>
          <w:szCs w:val="32"/>
        </w:rPr>
        <w:t>。</w:t>
      </w:r>
    </w:p>
    <w:p>
      <w:pPr>
        <w:widowControl/>
        <w:spacing w:line="600" w:lineRule="exact"/>
        <w:ind w:firstLine="640" w:firstLineChars="200"/>
        <w:jc w:val="left"/>
        <w:rPr>
          <w:rFonts w:eastAsia="仿宋_GB2312"/>
          <w:sz w:val="32"/>
          <w:szCs w:val="32"/>
        </w:rPr>
      </w:pPr>
      <w:r>
        <w:rPr>
          <w:rFonts w:eastAsia="仿宋_GB2312"/>
          <w:sz w:val="32"/>
          <w:szCs w:val="32"/>
        </w:rPr>
        <w:t>二是除</w:t>
      </w:r>
      <w:r>
        <w:rPr>
          <w:rFonts w:hint="eastAsia" w:eastAsia="仿宋_GB2312"/>
          <w:sz w:val="32"/>
          <w:szCs w:val="32"/>
          <w:lang w:eastAsia="zh-CN"/>
        </w:rPr>
        <w:t>社区矫正购买服务专项</w:t>
      </w:r>
      <w:r>
        <w:rPr>
          <w:rFonts w:eastAsia="仿宋_GB2312"/>
          <w:sz w:val="32"/>
          <w:szCs w:val="32"/>
        </w:rPr>
        <w:t>资金以外的其他项目支出情况</w:t>
      </w:r>
      <w:r>
        <w:rPr>
          <w:rFonts w:hint="eastAsia" w:eastAsia="仿宋_GB2312"/>
          <w:sz w:val="32"/>
          <w:szCs w:val="32"/>
          <w:lang w:eastAsia="zh-CN"/>
        </w:rPr>
        <w:t>：公共法律服务支出</w:t>
      </w:r>
      <w:r>
        <w:rPr>
          <w:rFonts w:hint="eastAsia" w:eastAsia="仿宋_GB2312"/>
          <w:sz w:val="32"/>
          <w:szCs w:val="32"/>
          <w:lang w:val="en-US" w:eastAsia="zh-CN"/>
        </w:rPr>
        <w:t>13万元，法治津市建设支出25万元，人民调解支出18万元，法律援助支出23万元，依法行政支出19万元，矫正工作经费支出15万元，其他办案支出19万元。</w:t>
      </w:r>
    </w:p>
    <w:p>
      <w:pPr>
        <w:pStyle w:val="6"/>
        <w:widowControl/>
        <w:numPr>
          <w:ilvl w:val="0"/>
          <w:numId w:val="0"/>
        </w:numPr>
        <w:spacing w:line="600" w:lineRule="exact"/>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6"/>
        <w:widowControl/>
        <w:numPr>
          <w:ilvl w:val="0"/>
          <w:numId w:val="0"/>
        </w:numPr>
        <w:spacing w:line="600" w:lineRule="exact"/>
        <w:ind w:left="640" w:leftChars="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无</w:t>
      </w:r>
    </w:p>
    <w:p>
      <w:pPr>
        <w:widowControl/>
        <w:spacing w:line="600" w:lineRule="exact"/>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我局根据</w:t>
      </w:r>
      <w:r>
        <w:rPr>
          <w:rFonts w:hint="eastAsia" w:eastAsia="仿宋_GB2312"/>
          <w:color w:val="000000"/>
          <w:sz w:val="32"/>
          <w:szCs w:val="32"/>
          <w:lang w:eastAsia="zh-CN"/>
        </w:rPr>
        <w:t>2021</w:t>
      </w:r>
      <w:r>
        <w:rPr>
          <w:rFonts w:hint="eastAsia" w:eastAsia="仿宋_GB2312"/>
          <w:color w:val="000000"/>
          <w:sz w:val="32"/>
          <w:szCs w:val="32"/>
        </w:rPr>
        <w:t>年工作计划及重点，全局上下共同努力，认真履行职责，较好地完成了年初确定的各项工作任务，全市司法行政工作取得了新的成就，为全市经济社会发展作出了积极贡献。</w:t>
      </w:r>
    </w:p>
    <w:p>
      <w:pPr>
        <w:widowControl/>
        <w:spacing w:line="600" w:lineRule="exact"/>
        <w:jc w:val="left"/>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（一）严控三公经费</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lang w:eastAsia="zh-CN"/>
        </w:rPr>
        <w:t>2021</w:t>
      </w:r>
      <w:r>
        <w:rPr>
          <w:rFonts w:hint="eastAsia" w:eastAsia="仿宋_GB2312"/>
          <w:color w:val="000000"/>
          <w:sz w:val="32"/>
          <w:szCs w:val="32"/>
        </w:rPr>
        <w:t>年度，我局严格执行中央“八项”规定，进一步严肃财经纪律，严格用制度管人管事管钱，细化内部管理，严格审核审批，成效显著。具体表现在：一是严控标准，不喝高档酒，不吃高档菜肴，工作日午餐不准饮酒；二是严控程序，用餐招待申报时首先由申报人持公务函到装备股填写公务接待清单，公务接待清单各项目必须真实、全面、正确填写，项目不全的不予批准。公务接待清单填写好后交由分管财务领导签字批准后，由申报人持单到指定点就餐。财务报销做到“四单”（公务接待函、公务接待报销清单、原始菜单和正式餐饮发票）齐全才予以报销；三是严控陪同人员，接待对象10人以内的陪餐人数不超过3人，10人以上的，陪餐人数不得超过接待对象人数的三分之一。通过狠抓制度建设、建立长效机制、强化审核审批，</w:t>
      </w:r>
      <w:r>
        <w:rPr>
          <w:rFonts w:hint="eastAsia" w:eastAsia="仿宋_GB2312"/>
          <w:color w:val="000000"/>
          <w:sz w:val="32"/>
          <w:szCs w:val="32"/>
          <w:lang w:eastAsia="zh-CN"/>
        </w:rPr>
        <w:t>2021</w:t>
      </w:r>
      <w:r>
        <w:rPr>
          <w:rFonts w:hint="eastAsia" w:eastAsia="仿宋_GB2312"/>
          <w:color w:val="000000"/>
          <w:sz w:val="32"/>
          <w:szCs w:val="32"/>
        </w:rPr>
        <w:t>年“三公”支出节约成效明显。</w:t>
      </w:r>
    </w:p>
    <w:p>
      <w:pPr>
        <w:widowControl/>
        <w:spacing w:line="600" w:lineRule="exact"/>
        <w:jc w:val="left"/>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（二）严格按预算开支</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我局要严格执行各项经费开支范围和标准，切实加强对人员编制、车辆装备配置等方面的管理，优化政法经费支出结构，确保办案业务需要，及时、足额将资金拨付到基层单位，保证基层一线经费需求；勤俭节约、注重实效，严格控制办案（业务）成本，提高资金使用效益；认真编制部门预算，应将中央、省及本级财政安排的政法经费纳入部门年度预算，且不得相互抵顶，本级财政安排的办案（业务）经费只增不减，有计划采购急需的业务装备；接受财政、审计部门及上级司法行政机关的监督检查。要按照支出保障范围分别设置明细账，单独核算和反映，确保资金专款专用。实行报账制的司法行政</w:t>
      </w:r>
      <w:r>
        <w:rPr>
          <w:rFonts w:hint="eastAsia" w:eastAsia="仿宋_GB2312"/>
          <w:color w:val="000000"/>
          <w:sz w:val="32"/>
          <w:szCs w:val="32"/>
          <w:lang w:eastAsia="zh-CN"/>
        </w:rPr>
        <w:t>部门</w:t>
      </w:r>
      <w:r>
        <w:rPr>
          <w:rFonts w:hint="eastAsia" w:eastAsia="仿宋_GB2312"/>
          <w:color w:val="000000"/>
          <w:sz w:val="32"/>
          <w:szCs w:val="32"/>
        </w:rPr>
        <w:t>要另行设立办案（业务）经费台账，单独反映经费使用情况。司法行政机关的办案（业务）经费要按照规定的费用开支范围和标准执行，不得用于购置固定资产、弥补日常运行公用经费或基础设施建设等经费不足。</w:t>
      </w:r>
    </w:p>
    <w:p>
      <w:pPr>
        <w:widowControl/>
        <w:spacing w:line="600" w:lineRule="exact"/>
        <w:jc w:val="left"/>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（三）严格按标准兑现奖、补</w:t>
      </w:r>
    </w:p>
    <w:p>
      <w:pPr>
        <w:widowControl/>
        <w:spacing w:line="600" w:lineRule="exact"/>
        <w:ind w:firstLine="645"/>
        <w:jc w:val="left"/>
        <w:rPr>
          <w:rFonts w:eastAsia="仿宋_GB2312"/>
          <w:color w:val="000000"/>
          <w:sz w:val="32"/>
          <w:szCs w:val="32"/>
        </w:rPr>
      </w:pPr>
      <w:r>
        <w:rPr>
          <w:rFonts w:hint="eastAsia" w:eastAsia="仿宋_GB2312"/>
          <w:color w:val="000000"/>
          <w:sz w:val="32"/>
          <w:szCs w:val="32"/>
        </w:rPr>
        <w:t>我局按中央及省厅的文件，严格按标准对律师值班、办案、人民调解发放补贴，法援补助经费201</w:t>
      </w:r>
      <w:r>
        <w:rPr>
          <w:rFonts w:hint="eastAsia" w:eastAsia="仿宋_GB2312"/>
          <w:color w:val="000000"/>
          <w:sz w:val="32"/>
          <w:szCs w:val="32"/>
          <w:lang w:val="en-US" w:eastAsia="zh-CN"/>
        </w:rPr>
        <w:t>9</w:t>
      </w:r>
      <w:r>
        <w:rPr>
          <w:rFonts w:hint="eastAsia" w:eastAsia="仿宋_GB2312"/>
          <w:color w:val="000000"/>
          <w:sz w:val="32"/>
          <w:szCs w:val="32"/>
        </w:rPr>
        <w:t>年结余</w:t>
      </w:r>
      <w:r>
        <w:rPr>
          <w:rFonts w:hint="eastAsia" w:eastAsia="仿宋_GB2312"/>
          <w:color w:val="000000"/>
          <w:sz w:val="32"/>
          <w:szCs w:val="32"/>
          <w:lang w:val="en-US" w:eastAsia="zh-CN"/>
        </w:rPr>
        <w:t>12</w:t>
      </w:r>
      <w:r>
        <w:rPr>
          <w:rFonts w:hint="eastAsia" w:eastAsia="仿宋_GB2312"/>
          <w:color w:val="000000"/>
          <w:sz w:val="32"/>
          <w:szCs w:val="32"/>
        </w:rPr>
        <w:t>万元，</w:t>
      </w:r>
      <w:r>
        <w:rPr>
          <w:rFonts w:hint="eastAsia" w:eastAsia="仿宋_GB2312"/>
          <w:color w:val="000000"/>
          <w:sz w:val="32"/>
          <w:szCs w:val="32"/>
          <w:lang w:val="en-US" w:eastAsia="zh-CN"/>
        </w:rPr>
        <w:t>21</w:t>
      </w:r>
      <w:r>
        <w:rPr>
          <w:rFonts w:hint="eastAsia" w:eastAsia="仿宋_GB2312"/>
          <w:color w:val="000000"/>
          <w:sz w:val="32"/>
          <w:szCs w:val="32"/>
        </w:rPr>
        <w:t>年收到上级专项资金转入</w:t>
      </w:r>
      <w:r>
        <w:rPr>
          <w:rFonts w:hint="eastAsia" w:eastAsia="仿宋_GB2312"/>
          <w:color w:val="000000"/>
          <w:sz w:val="32"/>
          <w:szCs w:val="32"/>
          <w:lang w:val="en-US" w:eastAsia="zh-CN"/>
        </w:rPr>
        <w:t>18</w:t>
      </w:r>
      <w:r>
        <w:rPr>
          <w:rFonts w:hint="eastAsia" w:eastAsia="仿宋_GB2312"/>
          <w:color w:val="000000"/>
          <w:sz w:val="32"/>
          <w:szCs w:val="32"/>
        </w:rPr>
        <w:t>万元，</w:t>
      </w:r>
      <w:r>
        <w:rPr>
          <w:rFonts w:hint="eastAsia" w:eastAsia="仿宋_GB2312"/>
          <w:color w:val="000000"/>
          <w:sz w:val="32"/>
          <w:szCs w:val="32"/>
          <w:lang w:eastAsia="zh-CN"/>
        </w:rPr>
        <w:t>2021</w:t>
      </w:r>
      <w:r>
        <w:rPr>
          <w:rFonts w:hint="eastAsia" w:eastAsia="仿宋_GB2312"/>
          <w:color w:val="000000"/>
          <w:sz w:val="32"/>
          <w:szCs w:val="32"/>
        </w:rPr>
        <w:t>年用于法律援助支出2</w:t>
      </w:r>
      <w:r>
        <w:rPr>
          <w:rFonts w:hint="eastAsia" w:eastAsia="仿宋_GB2312"/>
          <w:color w:val="000000"/>
          <w:sz w:val="32"/>
          <w:szCs w:val="32"/>
          <w:lang w:val="en-US" w:eastAsia="zh-CN"/>
        </w:rPr>
        <w:t>0</w:t>
      </w:r>
      <w:r>
        <w:rPr>
          <w:rFonts w:hint="eastAsia" w:eastAsia="仿宋_GB2312"/>
          <w:color w:val="000000"/>
          <w:sz w:val="32"/>
          <w:szCs w:val="32"/>
        </w:rPr>
        <w:t>万元（其中律师值班费</w:t>
      </w:r>
      <w:r>
        <w:rPr>
          <w:rFonts w:hint="eastAsia" w:eastAsia="仿宋_GB2312"/>
          <w:color w:val="000000"/>
          <w:sz w:val="32"/>
          <w:szCs w:val="32"/>
          <w:lang w:val="en-US" w:eastAsia="zh-CN"/>
        </w:rPr>
        <w:t>4</w:t>
      </w:r>
      <w:r>
        <w:rPr>
          <w:rFonts w:hint="eastAsia" w:eastAsia="仿宋_GB2312"/>
          <w:color w:val="000000"/>
          <w:sz w:val="32"/>
          <w:szCs w:val="32"/>
        </w:rPr>
        <w:t>万元，律师办案补贴</w:t>
      </w:r>
      <w:r>
        <w:rPr>
          <w:rFonts w:hint="eastAsia" w:eastAsia="仿宋_GB2312"/>
          <w:color w:val="000000"/>
          <w:sz w:val="32"/>
          <w:szCs w:val="32"/>
          <w:lang w:val="en-US" w:eastAsia="zh-CN"/>
        </w:rPr>
        <w:t>19</w:t>
      </w:r>
      <w:r>
        <w:rPr>
          <w:rFonts w:hint="eastAsia" w:eastAsia="仿宋_GB2312"/>
          <w:color w:val="000000"/>
          <w:sz w:val="32"/>
          <w:szCs w:val="32"/>
        </w:rPr>
        <w:t>万元），</w:t>
      </w:r>
      <w:r>
        <w:rPr>
          <w:rFonts w:hint="eastAsia" w:eastAsia="仿宋_GB2312"/>
          <w:color w:val="000000"/>
          <w:sz w:val="32"/>
          <w:szCs w:val="32"/>
          <w:lang w:eastAsia="zh-CN"/>
        </w:rPr>
        <w:t>2021</w:t>
      </w:r>
      <w:r>
        <w:rPr>
          <w:rFonts w:hint="eastAsia" w:eastAsia="仿宋_GB2312"/>
          <w:color w:val="000000"/>
          <w:sz w:val="32"/>
          <w:szCs w:val="32"/>
        </w:rPr>
        <w:t>年结余</w:t>
      </w:r>
      <w:r>
        <w:rPr>
          <w:rFonts w:hint="eastAsia" w:eastAsia="仿宋_GB2312"/>
          <w:color w:val="000000"/>
          <w:sz w:val="32"/>
          <w:szCs w:val="32"/>
          <w:lang w:val="en-US" w:eastAsia="zh-CN"/>
        </w:rPr>
        <w:t>10</w:t>
      </w:r>
      <w:r>
        <w:rPr>
          <w:rFonts w:hint="eastAsia" w:eastAsia="仿宋_GB2312"/>
          <w:color w:val="000000"/>
          <w:sz w:val="32"/>
          <w:szCs w:val="32"/>
        </w:rPr>
        <w:t>万元.收到上级人民调解“以奖代补”资金</w:t>
      </w:r>
      <w:r>
        <w:rPr>
          <w:rFonts w:hint="eastAsia" w:eastAsia="仿宋_GB2312"/>
          <w:color w:val="000000"/>
          <w:sz w:val="32"/>
          <w:szCs w:val="32"/>
          <w:lang w:val="en-US" w:eastAsia="zh-CN"/>
        </w:rPr>
        <w:t>8</w:t>
      </w:r>
      <w:r>
        <w:rPr>
          <w:rFonts w:hint="eastAsia" w:eastAsia="仿宋_GB2312"/>
          <w:color w:val="000000"/>
          <w:sz w:val="32"/>
          <w:szCs w:val="32"/>
        </w:rPr>
        <w:t>万元，实际支出人民调解经费</w:t>
      </w:r>
      <w:r>
        <w:rPr>
          <w:rFonts w:hint="eastAsia" w:eastAsia="仿宋_GB2312"/>
          <w:color w:val="000000"/>
          <w:sz w:val="32"/>
          <w:szCs w:val="32"/>
          <w:lang w:val="en-US" w:eastAsia="zh-CN"/>
        </w:rPr>
        <w:t>18</w:t>
      </w:r>
      <w:r>
        <w:rPr>
          <w:rFonts w:hint="eastAsia" w:eastAsia="仿宋_GB2312"/>
          <w:color w:val="000000"/>
          <w:sz w:val="32"/>
          <w:szCs w:val="32"/>
        </w:rPr>
        <w:t>万元，超出指标</w:t>
      </w:r>
      <w:r>
        <w:rPr>
          <w:rFonts w:hint="eastAsia" w:eastAsia="仿宋_GB2312"/>
          <w:color w:val="000000"/>
          <w:sz w:val="32"/>
          <w:szCs w:val="32"/>
          <w:lang w:val="en-US" w:eastAsia="zh-CN"/>
        </w:rPr>
        <w:t>12</w:t>
      </w:r>
      <w:r>
        <w:rPr>
          <w:rFonts w:hint="eastAsia" w:eastAsia="仿宋_GB2312"/>
          <w:color w:val="000000"/>
          <w:sz w:val="32"/>
          <w:szCs w:val="32"/>
        </w:rPr>
        <w:t xml:space="preserve">万元。       </w:t>
      </w:r>
    </w:p>
    <w:p>
      <w:pPr>
        <w:pStyle w:val="6"/>
        <w:widowControl/>
        <w:spacing w:line="600" w:lineRule="exact"/>
        <w:ind w:left="0" w:leftChars="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综合近几年我局批复预算看，预算执行基本围绕保人员经费、保正常运转进行，保障重心放在人民调解、社区矫正等专项工作上。从决算情况看，项目支出比重比较大，基本支出经费不能完全满足日常工作需要，资金缺口较大、保障水平偏低。</w:t>
      </w:r>
    </w:p>
    <w:p>
      <w:pPr>
        <w:widowControl/>
        <w:numPr>
          <w:ilvl w:val="0"/>
          <w:numId w:val="0"/>
        </w:numPr>
        <w:spacing w:line="600" w:lineRule="exact"/>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widowControl/>
        <w:spacing w:line="600" w:lineRule="exact"/>
        <w:jc w:val="left"/>
        <w:rPr>
          <w:rFonts w:hint="eastAsia" w:eastAsia="仿宋_GB2312"/>
          <w:sz w:val="32"/>
          <w:szCs w:val="32"/>
          <w:lang w:val="en-US" w:eastAsia="zh-CN"/>
        </w:rPr>
      </w:pPr>
      <w:r>
        <w:rPr>
          <w:rFonts w:hint="eastAsia" w:ascii="Times New Roman" w:hAnsi="Times New Roman" w:eastAsia="黑体" w:cs="Times New Roman"/>
          <w:kern w:val="2"/>
          <w:sz w:val="32"/>
          <w:szCs w:val="32"/>
          <w:lang w:val="en-US" w:eastAsia="zh-CN" w:bidi="ar-SA"/>
        </w:rPr>
        <w:t>（一）科学合理编制预算，严格执行预算</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pPr>
        <w:widowControl/>
        <w:spacing w:line="600" w:lineRule="exact"/>
        <w:jc w:val="left"/>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（二）完善管理制度，进一步加强资产管理</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进一步贯彻落实中央“八项规定”和湖南省委、常德市委“九条规定”以及津市市委“十项规定”，建立本局“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pPr>
        <w:widowControl/>
        <w:spacing w:line="600" w:lineRule="exact"/>
        <w:jc w:val="left"/>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（三）加强新行政单位会计制度和新预算法学习培训</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加强新《预算法》、《新政府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pPr>
        <w:widowControl/>
        <w:numPr>
          <w:ilvl w:val="0"/>
          <w:numId w:val="1"/>
        </w:numPr>
        <w:spacing w:line="600" w:lineRule="exact"/>
        <w:jc w:val="left"/>
        <w:rPr>
          <w:rFonts w:eastAsia="黑体"/>
          <w:sz w:val="32"/>
          <w:szCs w:val="32"/>
        </w:rPr>
      </w:pPr>
      <w:r>
        <w:rPr>
          <w:rFonts w:eastAsia="黑体"/>
          <w:sz w:val="32"/>
          <w:szCs w:val="32"/>
        </w:rPr>
        <w:t>其他需要说明的情况</w:t>
      </w:r>
    </w:p>
    <w:p>
      <w:pPr>
        <w:widowControl/>
        <w:numPr>
          <w:ilvl w:val="0"/>
          <w:numId w:val="0"/>
        </w:numPr>
        <w:spacing w:line="600" w:lineRule="exact"/>
        <w:ind w:firstLine="640" w:firstLineChars="200"/>
        <w:jc w:val="left"/>
        <w:rPr>
          <w:rFonts w:hint="eastAsia" w:eastAsia="黑体"/>
          <w:sz w:val="32"/>
          <w:szCs w:val="32"/>
          <w:lang w:eastAsia="zh-CN"/>
        </w:rPr>
      </w:pPr>
      <w:r>
        <w:rPr>
          <w:rFonts w:hint="eastAsia" w:eastAsia="黑体"/>
          <w:sz w:val="32"/>
          <w:szCs w:val="32"/>
          <w:lang w:eastAsia="zh-CN"/>
        </w:rPr>
        <w:t>无</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F81630"/>
    <w:multiLevelType w:val="singleLevel"/>
    <w:tmpl w:val="B8F8163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1A1205A1"/>
    <w:rsid w:val="397050A6"/>
    <w:rsid w:val="3A076E09"/>
    <w:rsid w:val="41FD1B9A"/>
    <w:rsid w:val="5A9D5D9B"/>
    <w:rsid w:val="705F5AC2"/>
    <w:rsid w:val="7E0A0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文炜</cp:lastModifiedBy>
  <cp:lastPrinted>2022-03-25T07:06:10Z</cp:lastPrinted>
  <dcterms:modified xsi:type="dcterms:W3CDTF">2022-03-25T07:45:57Z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