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20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21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年度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工商联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部门整体支出绩效报告</w:t>
      </w:r>
    </w:p>
    <w:p>
      <w:pPr>
        <w:widowControl/>
        <w:spacing w:line="560" w:lineRule="exact"/>
        <w:ind w:firstLine="640"/>
        <w:rPr>
          <w:rFonts w:hint="eastAsia" w:ascii="Times New Roman" w:hAnsi="Times New Roman" w:eastAsia="仿宋_GB2312"/>
          <w:color w:val="222222"/>
          <w:kern w:val="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方正小标宋_GBK"/>
          <w:kern w:val="0"/>
          <w:sz w:val="32"/>
          <w:szCs w:val="32"/>
          <w:lang w:val="en-US" w:eastAsia="zh-CN"/>
        </w:rPr>
        <w:t xml:space="preserve"> </w:t>
      </w:r>
    </w:p>
    <w:p>
      <w:pPr>
        <w:widowControl/>
        <w:spacing w:line="560" w:lineRule="exact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  <w:t>一、部门概况</w:t>
      </w:r>
    </w:p>
    <w:p>
      <w:pPr>
        <w:widowControl/>
        <w:spacing w:line="560" w:lineRule="exact"/>
        <w:rPr>
          <w:rStyle w:val="7"/>
          <w:rFonts w:hint="eastAsia" w:ascii="仿宋" w:hAnsi="仿宋" w:eastAsia="仿宋" w:cs="仿宋"/>
          <w:b w:val="0"/>
          <w:bCs w:val="0"/>
          <w:color w:val="3D3D3D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（一）机构、人员构成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3D3D3D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3D3D3D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3D3D3D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3D3D3D"/>
          <w:sz w:val="30"/>
          <w:szCs w:val="30"/>
        </w:rPr>
        <w:t>机构设置：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20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年度决算编制范围包括各级预算单位1个。无二级预算单位。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我单位内设主席办公室和综合办公室两个。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单位年末人数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人，其中在职人员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人，退休人员4人。</w:t>
      </w:r>
    </w:p>
    <w:p>
      <w:pPr>
        <w:widowControl/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单位主要职责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333333"/>
          <w:sz w:val="30"/>
          <w:szCs w:val="30"/>
        </w:rPr>
        <w:t>工商联是中国共产党领导的中国工商界组成的人民团体和民间商会，是党和政府联系非公有制经济人士的桥梁和纽带，是政府管理非公有制经济的助手，也是对外开放、民间外交的一条重要渠道。工商联具有统战性、经济性、民间性三大特征。</w:t>
      </w:r>
    </w:p>
    <w:p>
      <w:pPr>
        <w:widowControl/>
        <w:spacing w:line="560" w:lineRule="exact"/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  <w:t>二、部门财务情况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00" w:firstLineChars="200"/>
        <w:jc w:val="left"/>
        <w:textAlignment w:val="auto"/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部门整体支出情况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年本年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年初预算安排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收入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84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年中调整为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127.32万元（上年结转0.53万元），比上年86.17万元增加47.45%。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其中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公共预算财政拨款收入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127.85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万元，占总收入的100%；其他收入（纳入专户管理的非税收入拨款）0万元，占总收入的0%。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增加原因主要是人员工资上调，人员增加。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00" w:firstLineChars="200"/>
        <w:jc w:val="left"/>
        <w:textAlignment w:val="auto"/>
        <w:rPr>
          <w:rStyle w:val="7"/>
          <w:rFonts w:hint="eastAsia" w:ascii="仿宋" w:hAnsi="仿宋" w:eastAsia="仿宋" w:cs="仿宋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年本年支出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127.85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万元。一般公共预算财政拨款支出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127.85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万元，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比上年102.35万元增加24.91%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占本年支出的100%；其他收入支出0万元，占本年支出的0%。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增加原因主要是人员工资上调，人员增加。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00" w:firstLineChars="200"/>
        <w:jc w:val="left"/>
        <w:textAlignment w:val="auto"/>
        <w:rPr>
          <w:rFonts w:hint="eastAsia" w:ascii="仿宋" w:hAnsi="仿宋" w:eastAsia="仿宋" w:cs="仿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 xml:space="preserve"> “三公经费”支出使用和管理情况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“三公”经费财政拨款支出决算总体情况说明。20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年“三公”经费支出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0.63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万元，比年初预算2万元下降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48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%，比上年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0.7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万元下降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9.58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%。其中：因公出国（境）支出没有发生额，与上年持平；公务用车购置及运行维护费支出 0万元，比年初预算0万元下降0 %，比上年0万元下降0%；公务接待费支出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0.63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万元，比年初预算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万元下降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48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%，比上年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0.7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万元减少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9.58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%。“三公”经费中公务接待费略有下降的主要原因是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: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公务用车改革无公务用车维护维修费。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 xml:space="preserve"> 严格遵守八项规定、厉行节约。 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公务用车支出全部为运行维护等方面的支出，年末车辆保有量0台。全年公务接待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 xml:space="preserve">10 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批次，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 xml:space="preserve">60 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人次。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  <w:t>三、部门绩效目标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（一）部门绩效总目标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服务会员企业及全市非公企业、抓好非公经济人士理想信念主题教育活动、调研考察、参政议政，参与精准扶贫、捐资助学等光彩事业，学习培训、会员年度代表大会等方面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  <w:t>。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（二）20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年度部门绩效目标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服务会员企业及全市非公企业、抓好非公经济人士理想信念主题教育活动、调研考察、参政议政，参与精准扶贫、捐资助学等光彩事业，学习培训、会员年度代表大会等方面</w:t>
      </w: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eastAsia="zh-CN"/>
        </w:rPr>
        <w:t>。</w:t>
      </w:r>
    </w:p>
    <w:p>
      <w:pPr>
        <w:widowControl/>
        <w:numPr>
          <w:ilvl w:val="0"/>
          <w:numId w:val="1"/>
        </w:numPr>
        <w:spacing w:line="560" w:lineRule="exact"/>
        <w:ind w:firstLine="640"/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  <w:t>绩效评价工作情况</w:t>
      </w:r>
    </w:p>
    <w:p>
      <w:pPr>
        <w:widowControl/>
        <w:numPr>
          <w:ilvl w:val="0"/>
          <w:numId w:val="0"/>
        </w:numPr>
        <w:spacing w:line="560" w:lineRule="exact"/>
        <w:ind w:firstLine="900" w:firstLineChars="300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  <w:lang w:val="en-US" w:eastAsia="zh-CN"/>
        </w:rPr>
        <w:t>2021年度我单位较好的完成了年初整体绩效规划指标。绩效目标合理、指标明确，管理制度健全，预算决算公开公开透明。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五、综合评价结果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eastAsia="zh-CN"/>
        </w:rPr>
        <w:t>：良好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  <w:t>六、部门整体支出绩效情况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20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年我单位总收入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127.32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万元，比上年收入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102.35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万元增长了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24.91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%；我单位总支出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127.85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万元，比上年支出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102.35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万元增长了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24.91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%。我单位收入支出比上年增加的主要原因是：20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年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人员增加，工资上调，换届选举大会，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支出相应增加。</w:t>
      </w:r>
    </w:p>
    <w:p>
      <w:pPr>
        <w:widowControl/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</w:rPr>
        <w:t>七、存在的主要问题</w:t>
      </w:r>
      <w:r>
        <w:rPr>
          <w:rFonts w:hint="eastAsia" w:ascii="仿宋" w:hAnsi="仿宋" w:eastAsia="仿宋" w:cs="仿宋"/>
          <w:b/>
          <w:bCs/>
          <w:color w:val="222222"/>
          <w:kern w:val="0"/>
          <w:sz w:val="30"/>
          <w:szCs w:val="30"/>
          <w:lang w:eastAsia="zh-CN"/>
        </w:rPr>
        <w:t>：无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2098" w:right="1531" w:bottom="2098" w:left="1587" w:header="851" w:footer="992" w:gutter="0"/>
          <w:pgNumType w:start="25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八、有关建议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:无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right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089DE"/>
    <w:multiLevelType w:val="singleLevel"/>
    <w:tmpl w:val="361089D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87C14"/>
    <w:rsid w:val="2D7517D5"/>
    <w:rsid w:val="3F8A1DBD"/>
    <w:rsid w:val="438E29B5"/>
    <w:rsid w:val="5E76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2020-04-08T01:22:00Z</dcterms:created>
  <dc:creator>Administrator</dc:creator>
  <cp:lastModifiedBy>Administrator</cp:lastModifiedBy>
  <dcterms:modified xsi:type="dcterms:W3CDTF">2022-04-06T06:58:03Z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