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eastAsia="方正小标宋_GBK"/>
          <w:sz w:val="36"/>
          <w:szCs w:val="36"/>
          <w:lang w:val="en-US" w:eastAsia="zh-CN"/>
        </w:rPr>
      </w:pPr>
      <w:r>
        <w:rPr>
          <w:rFonts w:hint="eastAsia"/>
          <w:lang w:val="en-US" w:eastAsia="zh-CN"/>
        </w:rPr>
        <w:t>中共津市市委办公室2021年度部门整体支出绩效报告</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财政支出绩效管理，促进财政资金使用的科学化、合理化和精细化，根据中共湖南省委办公厅、湖南省人民政府办公厅《关于全面实施预算绩效管理的意见》（湘办发[2019]10号）等规定，以及津市市财政局的工作安排，中共津市市委办公室于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年3月25日至31日对本单位202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年度部门整体支出绩效进行了自我评价，现将评价结果报告如下。</w:t>
      </w:r>
    </w:p>
    <w:p>
      <w:pPr>
        <w:pStyle w:val="5"/>
        <w:keepNext w:val="0"/>
        <w:keepLines w:val="0"/>
        <w:pageBreakBefore w:val="0"/>
        <w:widowControl/>
        <w:kinsoku/>
        <w:wordWrap/>
        <w:overflowPunct/>
        <w:topLinePunct w:val="0"/>
        <w:autoSpaceDE/>
        <w:autoSpaceDN/>
        <w:bidi w:val="0"/>
        <w:adjustRightInd/>
        <w:snapToGrid/>
        <w:spacing w:line="600" w:lineRule="exact"/>
        <w:ind w:left="640" w:firstLine="0" w:firstLineChars="0"/>
        <w:jc w:val="both"/>
        <w:textAlignment w:val="auto"/>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pStyle w:val="5"/>
        <w:keepNext w:val="0"/>
        <w:keepLines w:val="0"/>
        <w:pageBreakBefore w:val="0"/>
        <w:widowControl/>
        <w:kinsoku/>
        <w:wordWrap/>
        <w:overflowPunct/>
        <w:topLinePunct w:val="0"/>
        <w:autoSpaceDE/>
        <w:autoSpaceDN/>
        <w:bidi w:val="0"/>
        <w:adjustRightInd/>
        <w:snapToGrid/>
        <w:spacing w:line="600" w:lineRule="exact"/>
        <w:ind w:left="640" w:firstLine="0" w:firstLineChars="0"/>
        <w:jc w:val="both"/>
        <w:textAlignment w:val="auto"/>
        <w:rPr>
          <w:rFonts w:hint="eastAsia" w:ascii="Times New Roman" w:hAnsi="Times New Roman" w:eastAsia="黑体"/>
          <w:sz w:val="32"/>
          <w:szCs w:val="32"/>
        </w:rPr>
      </w:pPr>
      <w:r>
        <w:rPr>
          <w:rFonts w:hint="eastAsia" w:ascii="Times New Roman" w:hAnsi="Times New Roman" w:eastAsia="黑体"/>
          <w:sz w:val="32"/>
          <w:szCs w:val="32"/>
        </w:rPr>
        <w:t>1.部门基本情况</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津市市委办公室内设组室含市委值班室、秘书室、法规室、市委督查室、绩效办、信息室、综调室、机要保密室、机关事务管理室，此外，市委改革办、市委小康办设在中共津市市委办公室。因机构改革，原市档案局、市台办职能划转入市委办，市委财办、市委外事办设在市委办。</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公室共有编制41个，其中行政编制29个（包括领导职数10名，即常委主任1名、副主任5名、保密委专职副主任1名、改革办专职副主任1名、督查专员2名）；事业编制12个、其中信息中心5名、机关事务服务中心5名、台胞投诉协调处理中心2名。</w:t>
      </w:r>
    </w:p>
    <w:p>
      <w:pPr>
        <w:pStyle w:val="5"/>
        <w:keepNext w:val="0"/>
        <w:keepLines w:val="0"/>
        <w:pageBreakBefore w:val="0"/>
        <w:widowControl/>
        <w:kinsoku/>
        <w:wordWrap/>
        <w:overflowPunct/>
        <w:topLinePunct w:val="0"/>
        <w:autoSpaceDE/>
        <w:autoSpaceDN/>
        <w:bidi w:val="0"/>
        <w:adjustRightInd/>
        <w:snapToGrid/>
        <w:spacing w:line="600" w:lineRule="exact"/>
        <w:ind w:left="640" w:firstLine="0" w:firstLineChars="0"/>
        <w:jc w:val="both"/>
        <w:textAlignment w:val="auto"/>
        <w:rPr>
          <w:rFonts w:hint="eastAsia" w:ascii="Times New Roman" w:hAnsi="Times New Roman" w:eastAsia="黑体"/>
          <w:sz w:val="32"/>
          <w:szCs w:val="32"/>
        </w:rPr>
      </w:pPr>
      <w:r>
        <w:rPr>
          <w:rFonts w:hint="eastAsia" w:ascii="Times New Roman" w:hAnsi="Times New Roman" w:eastAsia="黑体"/>
          <w:sz w:val="32"/>
          <w:szCs w:val="32"/>
        </w:rPr>
        <w:t>2.部门职能概述</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负责组织、协调市委与市人大、市政府、市政协、市武装部的重大活动。负责市委重要会议的会务工作和市委领导同志参加重大活动的组织安排，负责党和国家领导人及省、常德市领导来津视察期间的接待组织工作。负责市委值班工作，及时向市委领导同志报告重要情况，协助处理市直各部门和镇（街）向市委反映的重要问题。负责党内规范性文件的审核、备案、清理工作。负责以市委名义向常德市委请示报告工作的归口、把关，统筹、指导、督促全市党组织重大事项请示报告工作，受理下级党组（党委）向市委的请示报告，提出处理意见报市委领导审批。负责市委及市直单位年度督查检查考核计划的归口审核和全市性年度督查检查考核计划的统一报批、监督实施。负责上级和本级重大方针政策、重要部署和领导批示件贯彻落实情况的督促检查工作。负责</w:t>
      </w:r>
      <w:r>
        <w:rPr>
          <w:rFonts w:hint="eastAsia" w:ascii="仿宋_GB2312" w:hAnsi="仿宋_GB2312" w:eastAsia="仿宋_GB2312" w:cs="仿宋_GB2312"/>
          <w:sz w:val="32"/>
          <w:szCs w:val="32"/>
        </w:rPr>
        <w:t>开展调研督查活动，提出完善决策、抓好落实的对策措施。负责市委文件和市委领导同志文稿的起草、校核、印发工作。围绕市委工作部署，涉及全市经济建设、社会发展、党的自身建设等全局性的重大问题进行调查研究，为市委科学决策提出建议、预案和依据。及时、准确、全面地向省委、常德市委、市委报送信息，反映有关动态。负责全市党办系统业务培训、指导和考评。负责组织实施全市绩效评估工作。负责全市党政系统密码通信和密码管理，负责对全市保密工作的规划、指导、监督以及对失泄密事件查处工作。贯彻执行党和国家对台方针政策；组织、指导、管理、协调全市对台工作，处理重大涉台事务。贯彻执行上级和本级关于外事、港澳工作的方针政策和法律法规，归口管理、指导全市因公出国（境）工作。负责全市档案工作的监督和指导。负责津市市委机关绿化、卫生、水电管理；负责机关大院公共设施、办公楼、住房等维修。完成市委交办的其他事项。</w:t>
      </w:r>
    </w:p>
    <w:p>
      <w:pPr>
        <w:pStyle w:val="5"/>
        <w:keepNext w:val="0"/>
        <w:keepLines w:val="0"/>
        <w:pageBreakBefore w:val="0"/>
        <w:widowControl/>
        <w:kinsoku/>
        <w:wordWrap/>
        <w:overflowPunct/>
        <w:topLinePunct w:val="0"/>
        <w:autoSpaceDE/>
        <w:autoSpaceDN/>
        <w:bidi w:val="0"/>
        <w:adjustRightInd/>
        <w:snapToGrid/>
        <w:spacing w:line="600" w:lineRule="exact"/>
        <w:ind w:left="640" w:firstLine="0" w:firstLineChars="0"/>
        <w:jc w:val="both"/>
        <w:textAlignment w:val="auto"/>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我单位的部门整体收支预算，除一般公共预算收支外，没有政府性基金预算、国有资本经营预算和社会保险基金预算收支情况（本报告不再对政府性基金预算、国有资本经营预算和社会保险基金预算收支情况进行单独列示报告）。</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年，市财政局年初批复我</w:t>
      </w:r>
      <w:r>
        <w:rPr>
          <w:rFonts w:hint="eastAsia" w:ascii="仿宋_GB2312" w:hAnsi="仿宋_GB2312" w:eastAsia="仿宋_GB2312" w:cs="仿宋_GB2312"/>
          <w:sz w:val="32"/>
          <w:szCs w:val="32"/>
          <w:lang w:eastAsia="zh-CN"/>
        </w:rPr>
        <w:t>办</w:t>
      </w:r>
      <w:r>
        <w:rPr>
          <w:rFonts w:hint="eastAsia" w:ascii="仿宋_GB2312" w:hAnsi="仿宋_GB2312" w:eastAsia="仿宋_GB2312" w:cs="仿宋_GB2312"/>
          <w:sz w:val="32"/>
          <w:szCs w:val="32"/>
        </w:rPr>
        <w:t>一般公共预算收入总额</w:t>
      </w:r>
      <w:r>
        <w:rPr>
          <w:rFonts w:hint="eastAsia" w:ascii="仿宋_GB2312" w:hAnsi="仿宋_GB2312" w:eastAsia="仿宋_GB2312" w:cs="仿宋_GB2312"/>
          <w:sz w:val="32"/>
          <w:szCs w:val="32"/>
          <w:lang w:val="en-US" w:eastAsia="zh-CN"/>
        </w:rPr>
        <w:t>710.57</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710.57</w:t>
      </w:r>
      <w:r>
        <w:rPr>
          <w:rFonts w:hint="eastAsia" w:ascii="仿宋_GB2312" w:hAnsi="仿宋_GB2312" w:eastAsia="仿宋_GB2312" w:cs="仿宋_GB2312"/>
          <w:sz w:val="32"/>
          <w:szCs w:val="32"/>
        </w:rPr>
        <w:t>万元。年内，实际预算收入总额</w:t>
      </w:r>
      <w:r>
        <w:rPr>
          <w:rFonts w:hint="eastAsia" w:ascii="仿宋_GB2312" w:hAnsi="仿宋_GB2312" w:eastAsia="仿宋_GB2312" w:cs="仿宋_GB2312"/>
          <w:sz w:val="32"/>
          <w:szCs w:val="32"/>
          <w:lang w:val="en-US" w:eastAsia="zh-CN"/>
        </w:rPr>
        <w:t>1061.15</w:t>
      </w:r>
      <w:r>
        <w:rPr>
          <w:rFonts w:hint="eastAsia" w:ascii="仿宋_GB2312" w:hAnsi="仿宋_GB2312" w:eastAsia="仿宋_GB2312" w:cs="仿宋_GB2312"/>
          <w:sz w:val="32"/>
          <w:szCs w:val="32"/>
        </w:rPr>
        <w:t>万元，支出总额</w:t>
      </w:r>
      <w:r>
        <w:rPr>
          <w:rFonts w:hint="eastAsia" w:ascii="仿宋_GB2312" w:hAnsi="仿宋_GB2312" w:eastAsia="仿宋_GB2312" w:cs="仿宋_GB2312"/>
          <w:sz w:val="32"/>
          <w:szCs w:val="32"/>
          <w:lang w:val="en-US" w:eastAsia="zh-CN"/>
        </w:rPr>
        <w:t>1096.78</w:t>
      </w:r>
      <w:r>
        <w:rPr>
          <w:rFonts w:hint="eastAsia" w:ascii="仿宋_GB2312" w:hAnsi="仿宋_GB2312" w:eastAsia="仿宋_GB2312" w:cs="仿宋_GB2312"/>
          <w:sz w:val="32"/>
          <w:szCs w:val="32"/>
        </w:rPr>
        <w:t>万元。</w:t>
      </w:r>
    </w:p>
    <w:p>
      <w:pPr>
        <w:pStyle w:val="5"/>
        <w:keepNext w:val="0"/>
        <w:keepLines w:val="0"/>
        <w:pageBreakBefore w:val="0"/>
        <w:widowControl/>
        <w:kinsoku/>
        <w:wordWrap/>
        <w:overflowPunct/>
        <w:topLinePunct w:val="0"/>
        <w:autoSpaceDE/>
        <w:autoSpaceDN/>
        <w:bidi w:val="0"/>
        <w:adjustRightInd/>
        <w:snapToGrid/>
        <w:spacing w:line="600" w:lineRule="exact"/>
        <w:ind w:left="640" w:firstLine="0" w:firstLineChars="0"/>
        <w:jc w:val="both"/>
        <w:textAlignment w:val="auto"/>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基本支出是指为保障单位机构正常运转、完成日常工作任务而发生的各项支出，包括用于基本工资、津贴补贴等人员经费以及办公费、印刷费、水电费、办公设备购置等日常公用经费。</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年，市财政局年初批复基本支出预算收入</w:t>
      </w:r>
      <w:r>
        <w:rPr>
          <w:rFonts w:hint="eastAsia" w:ascii="仿宋_GB2312" w:hAnsi="仿宋_GB2312" w:eastAsia="仿宋_GB2312" w:cs="仿宋_GB2312"/>
          <w:sz w:val="32"/>
          <w:szCs w:val="32"/>
          <w:lang w:val="en-US" w:eastAsia="zh-CN"/>
        </w:rPr>
        <w:t>453.2</w:t>
      </w:r>
      <w:r>
        <w:rPr>
          <w:rFonts w:hint="eastAsia" w:ascii="仿宋_GB2312" w:hAnsi="仿宋_GB2312" w:eastAsia="仿宋_GB2312" w:cs="仿宋_GB2312"/>
          <w:sz w:val="32"/>
          <w:szCs w:val="32"/>
        </w:rPr>
        <w:t>万元，本年基本支出决算收入</w:t>
      </w:r>
      <w:r>
        <w:rPr>
          <w:rFonts w:hint="eastAsia" w:ascii="仿宋_GB2312" w:hAnsi="仿宋_GB2312" w:eastAsia="仿宋_GB2312" w:cs="仿宋_GB2312"/>
          <w:sz w:val="32"/>
          <w:szCs w:val="32"/>
          <w:lang w:val="en-US" w:eastAsia="zh-CN"/>
        </w:rPr>
        <w:t>1070.27</w:t>
      </w:r>
      <w:r>
        <w:rPr>
          <w:rFonts w:hint="eastAsia" w:ascii="仿宋_GB2312" w:hAnsi="仿宋_GB2312" w:eastAsia="仿宋_GB2312" w:cs="仿宋_GB2312"/>
          <w:sz w:val="32"/>
          <w:szCs w:val="32"/>
        </w:rPr>
        <w:t>万元。本年基本支出实际支出</w:t>
      </w:r>
      <w:r>
        <w:rPr>
          <w:rFonts w:hint="eastAsia" w:ascii="仿宋_GB2312" w:hAnsi="仿宋_GB2312" w:eastAsia="仿宋_GB2312" w:cs="仿宋_GB2312"/>
          <w:sz w:val="32"/>
          <w:szCs w:val="32"/>
          <w:lang w:val="en-US" w:eastAsia="zh-CN"/>
        </w:rPr>
        <w:t>1070.27</w:t>
      </w:r>
      <w:r>
        <w:rPr>
          <w:rFonts w:hint="eastAsia" w:ascii="仿宋_GB2312" w:hAnsi="仿宋_GB2312" w:eastAsia="仿宋_GB2312" w:cs="仿宋_GB2312"/>
          <w:sz w:val="32"/>
          <w:szCs w:val="32"/>
        </w:rPr>
        <w:t>万元，其中：工资福利支出</w:t>
      </w:r>
      <w:r>
        <w:rPr>
          <w:rFonts w:hint="eastAsia" w:ascii="仿宋_GB2312" w:hAnsi="仿宋_GB2312" w:eastAsia="仿宋_GB2312" w:cs="仿宋_GB2312"/>
          <w:sz w:val="32"/>
          <w:szCs w:val="32"/>
          <w:lang w:val="en-US" w:eastAsia="zh-CN"/>
        </w:rPr>
        <w:t>548.14</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522.13</w:t>
      </w:r>
      <w:r>
        <w:rPr>
          <w:rFonts w:hint="eastAsia" w:ascii="仿宋_GB2312" w:hAnsi="仿宋_GB2312" w:eastAsia="仿宋_GB2312" w:cs="仿宋_GB2312"/>
          <w:sz w:val="32"/>
          <w:szCs w:val="32"/>
        </w:rPr>
        <w:t>万元，预算执行率为100%。各项工作任务按时完成，取得较好的工作成效。</w:t>
      </w:r>
    </w:p>
    <w:p>
      <w:pPr>
        <w:pStyle w:val="5"/>
        <w:keepNext w:val="0"/>
        <w:keepLines w:val="0"/>
        <w:pageBreakBefore w:val="0"/>
        <w:widowControl/>
        <w:kinsoku/>
        <w:wordWrap/>
        <w:overflowPunct/>
        <w:topLinePunct w:val="0"/>
        <w:autoSpaceDE/>
        <w:autoSpaceDN/>
        <w:bidi w:val="0"/>
        <w:adjustRightInd/>
        <w:snapToGrid/>
        <w:spacing w:line="600" w:lineRule="exact"/>
        <w:ind w:left="640" w:firstLine="0" w:firstLineChars="0"/>
        <w:jc w:val="both"/>
        <w:textAlignment w:val="auto"/>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项目支出是指单位为完成特定行政工作任务或事业发展目标而发生的支出，包括有关业务工作经费和运行维护经费。</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年度，市财政部门年初批复项目支出预算收入</w:t>
      </w:r>
      <w:r>
        <w:rPr>
          <w:rFonts w:hint="eastAsia" w:eastAsia="仿宋_GB2312"/>
          <w:sz w:val="32"/>
          <w:szCs w:val="32"/>
          <w:lang w:val="en-US" w:eastAsia="zh-CN"/>
        </w:rPr>
        <w:t>330.94</w:t>
      </w:r>
      <w:r>
        <w:rPr>
          <w:rFonts w:hint="eastAsia" w:eastAsia="仿宋_GB2312"/>
          <w:sz w:val="32"/>
          <w:szCs w:val="32"/>
        </w:rPr>
        <w:t>万元。年内实际下达项目支出指标</w:t>
      </w:r>
      <w:r>
        <w:rPr>
          <w:rFonts w:hint="eastAsia" w:eastAsia="仿宋_GB2312"/>
          <w:sz w:val="32"/>
          <w:szCs w:val="32"/>
          <w:lang w:val="en-US" w:eastAsia="zh-CN"/>
        </w:rPr>
        <w:t>330.94</w:t>
      </w:r>
      <w:r>
        <w:rPr>
          <w:rFonts w:hint="eastAsia" w:eastAsia="仿宋_GB2312"/>
          <w:sz w:val="32"/>
          <w:szCs w:val="32"/>
        </w:rPr>
        <w:t>万元，其中：业务工作经费</w:t>
      </w:r>
      <w:r>
        <w:rPr>
          <w:rFonts w:hint="eastAsia" w:eastAsia="仿宋_GB2312"/>
          <w:sz w:val="32"/>
          <w:szCs w:val="32"/>
          <w:lang w:val="en-US" w:eastAsia="zh-CN"/>
        </w:rPr>
        <w:t>307.94</w:t>
      </w:r>
      <w:r>
        <w:rPr>
          <w:rFonts w:hint="eastAsia" w:eastAsia="仿宋_GB2312"/>
          <w:sz w:val="32"/>
          <w:szCs w:val="32"/>
        </w:rPr>
        <w:t>万元，主要用于办公用品、专项设备等购买、租赁、维修；机关物业管理；对上级上报信息及为领导决策提供信息参考；迎接省、常德市改革工作督查、调研、考核；全面建成小康社会红旗单位、先进单位评选奖励；公务接待及市委经济工作会议支出等方面；运行维护经费23万元，主要用于电子政务内网网络租赁及维护。</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年各项工作任务按时完成，取得较好的工作成效。紧紧围绕中心工作和全市大局，以服务决策为中心，以规范管理为主线，以优质高效为标准，在调研协调、督促检查和后勤保障方面履职尽责。</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事务管理方面，加强了对机关食堂的管理，机关食堂菜品质量得到提升；对机关管理事务中心和机关门卫室进行改造，提升了机关事务管理水平。</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较好完成了市委经济工作会议、市委全会，牵头承担综合协调组工作职责。</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在市委的坚强领导下，办公室以习近平总书记“五个坚持”为指引，按照“打基础、抓规范、上水平”三步走部署，紧盯创建常德市党委办公室工作优秀单位和文明（标兵）单位目标，真抓实干、创先争优，取得了较好的成绩。</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rPr>
      </w:pPr>
      <w:r>
        <w:rPr>
          <w:rFonts w:hint="eastAsia" w:eastAsia="仿宋_GB2312"/>
          <w:sz w:val="32"/>
          <w:szCs w:val="32"/>
        </w:rPr>
        <w:t>积极配合其他中心工作，招商引资、项目建设、服务企业、脱贫攻坚等工作有力推进。</w:t>
      </w:r>
    </w:p>
    <w:p>
      <w:pPr>
        <w:pStyle w:val="5"/>
        <w:keepNext w:val="0"/>
        <w:keepLines w:val="0"/>
        <w:pageBreakBefore w:val="0"/>
        <w:widowControl/>
        <w:kinsoku/>
        <w:wordWrap/>
        <w:overflowPunct/>
        <w:topLinePunct w:val="0"/>
        <w:autoSpaceDE/>
        <w:autoSpaceDN/>
        <w:bidi w:val="0"/>
        <w:adjustRightInd/>
        <w:snapToGrid/>
        <w:spacing w:line="600" w:lineRule="exact"/>
        <w:ind w:left="640" w:firstLine="0" w:firstLineChars="0"/>
        <w:jc w:val="both"/>
        <w:textAlignment w:val="auto"/>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年本部门无政府性基金预算支出</w:t>
      </w:r>
    </w:p>
    <w:p>
      <w:pPr>
        <w:keepNext w:val="0"/>
        <w:keepLines w:val="0"/>
        <w:pageBreakBefore w:val="0"/>
        <w:widowControl/>
        <w:kinsoku/>
        <w:wordWrap/>
        <w:overflowPunct/>
        <w:topLinePunct w:val="0"/>
        <w:autoSpaceDE/>
        <w:autoSpaceDN/>
        <w:bidi w:val="0"/>
        <w:adjustRightInd/>
        <w:snapToGrid/>
        <w:spacing w:line="600" w:lineRule="exact"/>
        <w:ind w:firstLine="645"/>
        <w:jc w:val="both"/>
        <w:textAlignment w:val="auto"/>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kinsoku/>
        <w:wordWrap/>
        <w:overflowPunct/>
        <w:topLinePunct w:val="0"/>
        <w:autoSpaceDE/>
        <w:autoSpaceDN/>
        <w:bidi w:val="0"/>
        <w:adjustRightInd/>
        <w:snapToGrid/>
        <w:spacing w:line="600" w:lineRule="exact"/>
        <w:ind w:firstLine="646"/>
        <w:jc w:val="both"/>
        <w:textAlignment w:val="auto"/>
        <w:rPr>
          <w:rFonts w:hint="eastAsia" w:eastAsia="仿宋_GB2312"/>
          <w:color w:val="000000"/>
          <w:sz w:val="32"/>
          <w:szCs w:val="32"/>
        </w:rPr>
      </w:pPr>
      <w:r>
        <w:rPr>
          <w:rFonts w:hint="eastAsia" w:eastAsia="仿宋_GB2312"/>
          <w:color w:val="000000"/>
          <w:sz w:val="32"/>
          <w:szCs w:val="32"/>
        </w:rPr>
        <w:t>市委办坚持以习近平新时代中国特色社会主义思想为指导，全面贯彻党的十九大及十九届二中、三中、四中、五中、六中全会精神和新时代党的建设总要求，紧紧围绕市委中心工作，准确把握党办“坚强前哨”和“巩固后院”“两个定位”，全力提升“三服务”水平，积极主动开展“四型”模范机关创建，发挥了参谋助手、综合协调、服务保障作用。</w:t>
      </w:r>
    </w:p>
    <w:p>
      <w:pPr>
        <w:keepNext w:val="0"/>
        <w:keepLines w:val="0"/>
        <w:pageBreakBefore w:val="0"/>
        <w:widowControl/>
        <w:kinsoku/>
        <w:wordWrap/>
        <w:overflowPunct/>
        <w:topLinePunct w:val="0"/>
        <w:autoSpaceDE/>
        <w:autoSpaceDN/>
        <w:bidi w:val="0"/>
        <w:adjustRightInd/>
        <w:snapToGrid/>
        <w:spacing w:line="600" w:lineRule="exact"/>
        <w:ind w:firstLine="645"/>
        <w:jc w:val="both"/>
        <w:textAlignment w:val="auto"/>
        <w:rPr>
          <w:rFonts w:hint="eastAsia" w:eastAsia="仿宋_GB2312"/>
          <w:color w:val="000000"/>
          <w:sz w:val="32"/>
          <w:szCs w:val="32"/>
        </w:rPr>
      </w:pPr>
      <w:bookmarkStart w:id="0" w:name="_GoBack"/>
      <w:r>
        <w:rPr>
          <w:rFonts w:hint="eastAsia" w:eastAsia="仿宋_GB2312"/>
          <w:color w:val="000000"/>
          <w:sz w:val="32"/>
          <w:szCs w:val="32"/>
        </w:rPr>
        <w:t>精文减会强控严管。严格议事决策程序，高质量筹备7次市委市政府月工作调度例会，打捆召开各类全市性会议，直接开到村居一级，做到一竿子插到底，简化市委主要领导出席活动、全市性重要活动议程环节、控制会议规模，全力提升会议质效，在全市引起广大好评。2021年全年以市委、市委办牵头统筹召开的大型会议10次，同比减少23%。严把办文质量，严格落实未纳入市委年度发文计划、未履行“一事一议”报批手续、未经主要负责同志把关、未达行文规范“四不发”，切实精简文件改进文风。建章立制规范管理</w:t>
      </w:r>
      <w:r>
        <w:rPr>
          <w:rFonts w:hint="eastAsia" w:eastAsia="仿宋_GB2312"/>
          <w:color w:val="000000"/>
          <w:sz w:val="32"/>
          <w:szCs w:val="32"/>
          <w:lang w:eastAsia="zh-CN"/>
        </w:rPr>
        <w:t>，</w:t>
      </w:r>
      <w:r>
        <w:rPr>
          <w:rFonts w:hint="eastAsia" w:eastAsia="仿宋_GB2312"/>
          <w:color w:val="000000"/>
          <w:sz w:val="32"/>
          <w:szCs w:val="32"/>
        </w:rPr>
        <w:t>充分利用党政协同办公平台办文办会办事，实现全市103家单位安装使用、镇（街）党政领导班子及站办所安装使用、街道村（社区）移动端配备“三个全覆盖”，建立“一日三查双保险”、问题及时反馈、工作月通报机制，用活外出请假、收发文、公务用车等24个功能模块，切实打通政务服务“最后一公里”。市委办全年利用协同办公办理线上收文1321件，纸质文件收取减少60%，真正让基层移动、高效、智慧、绿色办公成为可能，实现基层干部工作精力从“办文多、传达多”到“思考勤、服务优”的转变。修订党办工作制度汇编，优化“一表三制”工作机制，全年编制主要领导“周工作预安排表”47次，充分发挥重大活动和会议清单管理制度、领导重要活动协调制度和重要事项报批报备制度作用，全年受理领导干部外出请假网上报备129次，对上请示书记、市长请假外出31次，形成领导外出来津第一时间报备、重大突发事件第一时间上报、公务用车接待从严管理等系列规范，推动全市办公室系统运转顺畅高效。</w:t>
      </w:r>
    </w:p>
    <w:p>
      <w:pPr>
        <w:keepNext w:val="0"/>
        <w:keepLines w:val="0"/>
        <w:pageBreakBefore w:val="0"/>
        <w:widowControl/>
        <w:kinsoku/>
        <w:wordWrap/>
        <w:overflowPunct/>
        <w:topLinePunct w:val="0"/>
        <w:autoSpaceDE/>
        <w:autoSpaceDN/>
        <w:bidi w:val="0"/>
        <w:adjustRightInd/>
        <w:snapToGrid/>
        <w:spacing w:line="600" w:lineRule="exact"/>
        <w:ind w:firstLine="645"/>
        <w:jc w:val="both"/>
        <w:textAlignment w:val="auto"/>
        <w:rPr>
          <w:rFonts w:hint="eastAsia" w:eastAsia="仿宋_GB2312"/>
          <w:color w:val="000000"/>
          <w:sz w:val="32"/>
          <w:szCs w:val="32"/>
        </w:rPr>
      </w:pPr>
      <w:r>
        <w:rPr>
          <w:rFonts w:hint="eastAsia" w:eastAsia="仿宋_GB2312"/>
          <w:color w:val="000000"/>
          <w:sz w:val="32"/>
          <w:szCs w:val="32"/>
        </w:rPr>
        <w:t>重点督查精准发力</w:t>
      </w:r>
      <w:r>
        <w:rPr>
          <w:rFonts w:hint="eastAsia" w:eastAsia="仿宋_GB2312"/>
          <w:color w:val="000000"/>
          <w:sz w:val="32"/>
          <w:szCs w:val="32"/>
          <w:lang w:eastAsia="zh-CN"/>
        </w:rPr>
        <w:t>。</w:t>
      </w:r>
      <w:r>
        <w:rPr>
          <w:rFonts w:hint="eastAsia" w:eastAsia="仿宋_GB2312"/>
          <w:color w:val="000000"/>
          <w:sz w:val="32"/>
          <w:szCs w:val="32"/>
        </w:rPr>
        <w:t>建立督查考核清单，健全联合督查</w:t>
      </w:r>
      <w:r>
        <w:rPr>
          <w:rFonts w:hint="eastAsia" w:eastAsia="仿宋_GB2312"/>
          <w:color w:val="000000"/>
          <w:sz w:val="32"/>
          <w:szCs w:val="32"/>
          <w:lang w:eastAsia="zh-CN"/>
        </w:rPr>
        <w:t>、</w:t>
      </w:r>
      <w:r>
        <w:rPr>
          <w:rFonts w:hint="eastAsia" w:eastAsia="仿宋_GB2312"/>
          <w:color w:val="000000"/>
          <w:sz w:val="32"/>
          <w:szCs w:val="32"/>
        </w:rPr>
        <w:t>问题反馈机制，严控督查频次，强化跟踪问效，全力推动市委各项部署落地落实。截至目前，督促办理上级党委交办件6件，市级领导批示件114件，市直党群系统人大代表建议、政协委员提案11件，开展各类专项督查30余次，编发督查通报及报告20期，办复办结率100%。督查检查考核计划同比减少10%，查出“津市态度”；防疫创卫等工作“当天批、当天办、当天出战报”，督出“津市速度”；全局工作“半月梳理、半月报告、实时跟踪”，办出“津市模式”，真正做到紧扣中心督重点、精准出击查难点、深入一线抓要点，推动市委决策部署落地落实的同时为群众减难，为基层减负。</w:t>
      </w:r>
    </w:p>
    <w:p>
      <w:pPr>
        <w:keepNext w:val="0"/>
        <w:keepLines w:val="0"/>
        <w:pageBreakBefore w:val="0"/>
        <w:widowControl/>
        <w:kinsoku/>
        <w:wordWrap/>
        <w:overflowPunct/>
        <w:topLinePunct w:val="0"/>
        <w:autoSpaceDE/>
        <w:autoSpaceDN/>
        <w:bidi w:val="0"/>
        <w:adjustRightInd/>
        <w:snapToGrid/>
        <w:spacing w:line="600" w:lineRule="exact"/>
        <w:ind w:firstLine="645"/>
        <w:jc w:val="both"/>
        <w:textAlignment w:val="auto"/>
        <w:rPr>
          <w:rFonts w:hint="eastAsia" w:eastAsia="仿宋_GB2312"/>
          <w:color w:val="000000"/>
          <w:sz w:val="32"/>
          <w:szCs w:val="32"/>
        </w:rPr>
      </w:pPr>
      <w:r>
        <w:rPr>
          <w:rFonts w:hint="eastAsia" w:eastAsia="仿宋_GB2312"/>
          <w:color w:val="000000"/>
          <w:sz w:val="32"/>
          <w:szCs w:val="32"/>
        </w:rPr>
        <w:t>带头落实市委、市政府“3+1”决策部署，配合化工园区建设协调小组，全力推进洽谈合作、项目建设、配套服务，3个化工园区产业招商项目成功签约。带头履职巩固拓展脱贫攻坚成果接续推进乡村振兴职责，分配全面小康工作奖励资金50万，用心用情用力推进产业发展，全力保障就学就医就业，药山村脱贫巩固监测帮扶和大关山村的乡村振兴办点工作成效明显，人民群众满意度显著提升。改革工作系统谋划，聚焦制约我市高质量跨越式发展和民生改善等重点、难点、堵点问题，努力推进省市41项改革任务势如破竹、取得实效，5项自主改革有经验、有亮点。其中，乡村治理“三折两制”模式为央视、农业农村部宣传推介，“精致街区”改造工作为省住建厅领导肯定。党委财经工作协调推进，制定高质量发展综合绩效评价工作组织实施细则，责任细分到单位到人，坚持高质量发展常委会“季研究”、短板指标“周调度”机制，强化经济形势分析研判，凝聚抓高质量发展强大合力。</w:t>
      </w:r>
    </w:p>
    <w:p>
      <w:pPr>
        <w:keepNext w:val="0"/>
        <w:keepLines w:val="0"/>
        <w:pageBreakBefore w:val="0"/>
        <w:widowControl/>
        <w:kinsoku/>
        <w:wordWrap/>
        <w:overflowPunct/>
        <w:topLinePunct w:val="0"/>
        <w:autoSpaceDE/>
        <w:autoSpaceDN/>
        <w:bidi w:val="0"/>
        <w:adjustRightInd/>
        <w:snapToGrid/>
        <w:spacing w:line="600" w:lineRule="exact"/>
        <w:ind w:firstLine="645"/>
        <w:jc w:val="both"/>
        <w:textAlignment w:val="auto"/>
        <w:rPr>
          <w:rFonts w:hint="eastAsia" w:eastAsia="仿宋_GB2312"/>
          <w:color w:val="000000"/>
          <w:sz w:val="32"/>
          <w:szCs w:val="32"/>
        </w:rPr>
      </w:pPr>
      <w:r>
        <w:rPr>
          <w:rFonts w:hint="eastAsia" w:eastAsia="仿宋_GB2312"/>
          <w:color w:val="000000"/>
          <w:sz w:val="32"/>
          <w:szCs w:val="32"/>
        </w:rPr>
        <w:t>强化保密纪律意识，坚持保密教育常抓不懈，加强涉密人员管理，严格定密审核，规范密件清理，高标准开展机房整体搬迁与专用通信网络工程建设，有效监管全市961台计算机，核查敏感信息预警记录3批次95条，全面开展保密风险排查整治，并顺利迎接常德市级检查。深化对外对台教育，邀请省委台办领导、组织市本级领导开展涉台涉外教育进党委中心组、进党校“两进”活动，严格落实请示报告、出访制度，加强涉台涉外就业、婚姻、招商服务，全年摸排津市籍入境人员425人次，外国人来津27人次，慰问困难台胞、台属40人次，外事港澳工作、对台工作安全有序。</w:t>
      </w:r>
      <w:bookmarkEnd w:id="0"/>
    </w:p>
    <w:p>
      <w:pPr>
        <w:pStyle w:val="5"/>
        <w:keepNext w:val="0"/>
        <w:keepLines w:val="0"/>
        <w:pageBreakBefore w:val="0"/>
        <w:widowControl/>
        <w:kinsoku/>
        <w:wordWrap/>
        <w:overflowPunct/>
        <w:topLinePunct w:val="0"/>
        <w:autoSpaceDE/>
        <w:autoSpaceDN/>
        <w:bidi w:val="0"/>
        <w:adjustRightInd/>
        <w:snapToGrid/>
        <w:spacing w:line="600" w:lineRule="exact"/>
        <w:ind w:left="640" w:firstLine="0" w:firstLineChars="0"/>
        <w:jc w:val="both"/>
        <w:textAlignment w:val="auto"/>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rPr>
      </w:pPr>
      <w:r>
        <w:rPr>
          <w:rFonts w:hint="eastAsia" w:eastAsia="仿宋_GB2312"/>
          <w:sz w:val="32"/>
          <w:szCs w:val="32"/>
        </w:rPr>
        <w:t>内控制度需进一步完善，随着资金管理改革的进一步推进，我单位内部机构进行了相应的优化，建立健全了财务管理制度、固定资产管理制度、费用报销规程等制度，但仍需进一步强化财务约束监督体制</w:t>
      </w:r>
      <w:r>
        <w:rPr>
          <w:rFonts w:eastAsia="仿宋_GB2312"/>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2"/>
        </w:rPr>
      </w:pPr>
      <w:r>
        <w:rPr>
          <w:rFonts w:hint="eastAsia" w:eastAsia="黑体"/>
          <w:sz w:val="32"/>
          <w:szCs w:val="32"/>
          <w:lang w:eastAsia="zh-CN"/>
        </w:rPr>
        <w:t>六</w:t>
      </w:r>
      <w:r>
        <w:rPr>
          <w:rFonts w:eastAsia="黑体"/>
          <w:sz w:val="32"/>
          <w:szCs w:val="32"/>
        </w:rPr>
        <w:t>、下一步改进措施</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1、科学合理编制预算，严格执行预算。进一步提高预算编制到位率，做准做全基本支出预算，做全项目支出预算，加强预算支出的审核、跟踪及预算执行情况分析，提高预算编制严谨性和可控性。　</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2、进一步加强项目资金管理。严格实行项目管理程序化，实现项目申报、实施、拨付、评价全流程监督与控制，规范专项资金管理，提高专项资金的使用效益。</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eastAsia="仿宋_GB2312"/>
          <w:sz w:val="32"/>
          <w:szCs w:val="32"/>
        </w:rPr>
      </w:pPr>
      <w:r>
        <w:rPr>
          <w:rFonts w:hint="eastAsia" w:eastAsia="仿宋_GB2312"/>
          <w:sz w:val="32"/>
          <w:szCs w:val="32"/>
        </w:rPr>
        <w:t>3、进一步完善内部管理制度，提升管理效能，更好地履行生态文明建设职能。</w:t>
      </w:r>
    </w:p>
    <w:p>
      <w:pPr>
        <w:keepNext w:val="0"/>
        <w:keepLines w:val="0"/>
        <w:pageBreakBefore w:val="0"/>
        <w:widowControl/>
        <w:kinsoku/>
        <w:wordWrap/>
        <w:overflowPunct/>
        <w:topLinePunct w:val="0"/>
        <w:autoSpaceDE/>
        <w:autoSpaceDN/>
        <w:bidi w:val="0"/>
        <w:adjustRightInd/>
        <w:snapToGrid/>
        <w:spacing w:line="600" w:lineRule="exact"/>
        <w:ind w:firstLine="645"/>
        <w:jc w:val="both"/>
        <w:textAlignment w:val="auto"/>
        <w:rPr>
          <w:rFonts w:hint="default" w:eastAsia="黑体"/>
          <w:lang w:val="en-US" w:eastAsia="zh-CN"/>
        </w:rPr>
      </w:pPr>
      <w:r>
        <w:rPr>
          <w:rFonts w:hint="eastAsia" w:eastAsia="黑体"/>
          <w:sz w:val="32"/>
          <w:szCs w:val="32"/>
          <w:lang w:eastAsia="zh-CN"/>
        </w:rPr>
        <w:t>七</w:t>
      </w:r>
      <w:r>
        <w:rPr>
          <w:rFonts w:eastAsia="黑体"/>
          <w:sz w:val="32"/>
          <w:szCs w:val="32"/>
        </w:rPr>
        <w:t>、其他需要说明的情况</w:t>
      </w:r>
      <w:r>
        <w:rPr>
          <w:rFonts w:hint="eastAsia" w:eastAsia="黑体"/>
          <w:sz w:val="32"/>
          <w:szCs w:val="32"/>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21E5626F"/>
    <w:rsid w:val="225A1219"/>
    <w:rsid w:val="29CD2472"/>
    <w:rsid w:val="39CB24C3"/>
    <w:rsid w:val="3A076E09"/>
    <w:rsid w:val="3B8F3226"/>
    <w:rsid w:val="3E777F33"/>
    <w:rsid w:val="5A9D5D9B"/>
    <w:rsid w:val="668C2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4186</Words>
  <Characters>4334</Characters>
  <Lines>0</Lines>
  <Paragraphs>0</Paragraphs>
  <TotalTime>34</TotalTime>
  <ScaleCrop>false</ScaleCrop>
  <LinksUpToDate>false</LinksUpToDate>
  <CharactersWithSpaces>4337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Y~maybe~Y</cp:lastModifiedBy>
  <dcterms:modified xsi:type="dcterms:W3CDTF">2022-03-29T07:40:44Z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