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color w:val="auto"/>
          <w:spacing w:val="10"/>
          <w:w w:val="95"/>
          <w:sz w:val="44"/>
          <w:szCs w:val="44"/>
          <w:lang w:val="en-US" w:eastAsia="zh-CN"/>
        </w:rPr>
      </w:pPr>
      <w:r>
        <w:rPr>
          <w:rFonts w:hint="eastAsia" w:ascii="Times New Roman" w:hAnsi="Times New Roman" w:eastAsia="方正小标宋简体" w:cs="Times New Roman"/>
          <w:color w:val="auto"/>
          <w:spacing w:val="10"/>
          <w:w w:val="95"/>
          <w:sz w:val="44"/>
          <w:szCs w:val="44"/>
          <w:lang w:val="en-US" w:eastAsia="zh-CN"/>
        </w:rPr>
        <w:t>中共津市市委办公室专项工作2021年度</w:t>
      </w:r>
      <w:r>
        <w:rPr>
          <w:rFonts w:hint="eastAsia" w:ascii="Times New Roman" w:hAnsi="Times New Roman" w:eastAsia="方正小标宋简体" w:cs="Times New Roman"/>
          <w:color w:val="auto"/>
          <w:spacing w:val="10"/>
          <w:w w:val="95"/>
          <w:sz w:val="44"/>
          <w:szCs w:val="44"/>
          <w:lang w:val="en-US" w:eastAsia="zh-CN"/>
        </w:rPr>
        <w:t>项目</w:t>
      </w:r>
      <w:r>
        <w:rPr>
          <w:rFonts w:hint="default" w:ascii="Times New Roman" w:hAnsi="Times New Roman" w:eastAsia="方正小标宋简体" w:cs="Times New Roman"/>
          <w:color w:val="auto"/>
          <w:spacing w:val="10"/>
          <w:w w:val="95"/>
          <w:sz w:val="44"/>
          <w:szCs w:val="44"/>
          <w:lang w:val="en-US" w:eastAsia="zh-CN"/>
        </w:rPr>
        <w:t>支出绩效报告</w:t>
      </w: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default" w:ascii="Times New Roman" w:hAnsi="Times New Roman" w:eastAsia="方正小标宋简体" w:cs="Times New Roman"/>
          <w:color w:val="auto"/>
          <w:spacing w:val="10"/>
          <w:w w:val="95"/>
          <w:sz w:val="44"/>
          <w:szCs w:val="44"/>
          <w:lang w:val="en-US" w:eastAsia="zh-CN"/>
        </w:rPr>
      </w:pPr>
    </w:p>
    <w:p>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eastAsia="仿宋_GB2312"/>
          <w:sz w:val="32"/>
          <w:szCs w:val="32"/>
        </w:rPr>
      </w:pPr>
      <w:r>
        <w:rPr>
          <w:rFonts w:hint="eastAsia" w:ascii="仿宋_GB2312" w:hAnsi="仿宋_GB2312" w:eastAsia="仿宋_GB2312" w:cs="仿宋_GB2312"/>
          <w:sz w:val="32"/>
          <w:szCs w:val="32"/>
        </w:rPr>
        <w:t>为加强财政支出绩效管理，促进财政资金使用的科学化、合理化和精细化，根据中共湖南省委办公厅、湖南省人民政府办公厅《关于全面实施预算绩效管理的意见》（湘办发[2019]10号）等规定，以及津市市财政局的工作安排，中共津市市委办公室于2022年3月25日至31日对</w:t>
      </w: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专项工作2021年度项目支出绩效进行了自我评价，现将评价结果报告如下。</w:t>
      </w:r>
    </w:p>
    <w:p>
      <w:pPr>
        <w:adjustRightInd w:val="0"/>
        <w:snapToGrid w:val="0"/>
        <w:spacing w:line="600" w:lineRule="exact"/>
        <w:ind w:firstLine="640" w:firstLineChars="200"/>
        <w:rPr>
          <w:rFonts w:eastAsia="黑体"/>
          <w:sz w:val="32"/>
          <w:szCs w:val="32"/>
        </w:rPr>
      </w:pPr>
      <w:r>
        <w:rPr>
          <w:rFonts w:eastAsia="黑体"/>
          <w:sz w:val="32"/>
          <w:szCs w:val="32"/>
        </w:rPr>
        <w:t>一、</w:t>
      </w:r>
      <w:r>
        <w:rPr>
          <w:rFonts w:hint="eastAsia" w:eastAsia="黑体"/>
          <w:sz w:val="32"/>
          <w:szCs w:val="32"/>
          <w:lang w:eastAsia="zh-CN"/>
        </w:rPr>
        <w:t>项目</w:t>
      </w:r>
      <w:r>
        <w:rPr>
          <w:rFonts w:eastAsia="黑体"/>
          <w:sz w:val="32"/>
          <w:szCs w:val="32"/>
        </w:rPr>
        <w:t>支出概况</w:t>
      </w:r>
    </w:p>
    <w:p>
      <w:pPr>
        <w:adjustRightInd w:val="0"/>
        <w:snapToGrid w:val="0"/>
        <w:spacing w:line="600" w:lineRule="exact"/>
        <w:ind w:firstLine="640" w:firstLineChars="200"/>
        <w:rPr>
          <w:rFonts w:eastAsia="仿宋_GB2312"/>
          <w:sz w:val="32"/>
          <w:szCs w:val="32"/>
        </w:rPr>
      </w:pPr>
      <w:r>
        <w:rPr>
          <w:rFonts w:eastAsia="仿宋_GB2312"/>
          <w:sz w:val="32"/>
          <w:szCs w:val="32"/>
        </w:rPr>
        <w:t>（一）项目实施单位基本情况。</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中共津市市委办公室专项工作经费的实施单位为津市市委</w:t>
      </w:r>
      <w:r>
        <w:rPr>
          <w:rFonts w:hint="eastAsia" w:eastAsia="仿宋_GB2312"/>
          <w:sz w:val="32"/>
          <w:szCs w:val="32"/>
          <w:lang w:eastAsia="zh-CN"/>
        </w:rPr>
        <w:t>办</w:t>
      </w:r>
      <w:r>
        <w:rPr>
          <w:rFonts w:hint="eastAsia" w:eastAsia="仿宋_GB2312"/>
          <w:sz w:val="32"/>
          <w:szCs w:val="32"/>
        </w:rPr>
        <w:t>。为独立核算的行政单位，属一级预算单位。我</w:t>
      </w:r>
      <w:r>
        <w:rPr>
          <w:rFonts w:hint="eastAsia" w:eastAsia="仿宋_GB2312"/>
          <w:sz w:val="32"/>
          <w:szCs w:val="32"/>
          <w:lang w:eastAsia="zh-CN"/>
        </w:rPr>
        <w:t>单位</w:t>
      </w:r>
      <w:r>
        <w:rPr>
          <w:rFonts w:hint="eastAsia" w:eastAsia="仿宋_GB2312"/>
          <w:sz w:val="32"/>
          <w:szCs w:val="32"/>
        </w:rPr>
        <w:t>内设组室含市委值班室、秘书室、法规室、市委督查室、绩效办、信息室、综调室、机要保密室、机关事务管理室，此外，市委改革办、市委小康办设在中共津市市委办公室。因机构改革，原市档案局、市台办职能划转入市委办，市委财办、市委外事办设在市委办。</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办公室共有编制41个，其中行政编制29个（包括领导职数10名，即常委主任1名、副主任5名、保密委专职副主任1名、改革办专职副主任1名、督查专员2名）；事业编制12个、其中信息中心5名、机关事务服务中心5名、台胞投诉协调处理中心2名。</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基本情况。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lang w:eastAsia="zh-CN"/>
        </w:rPr>
        <w:t>中共津市市委办公室主要</w:t>
      </w:r>
      <w:r>
        <w:rPr>
          <w:rFonts w:hint="eastAsia" w:eastAsia="仿宋_GB2312"/>
          <w:sz w:val="32"/>
          <w:szCs w:val="32"/>
        </w:rPr>
        <w:t>负责组织、协调市委与市人大、市政府、市政协、市武装部的重大活动。负责市委重要会议的会务工作和市委领导同志参加重大活动的组织安排，负责党和国家领导人及省、常德市领导来津视察期间的接待组织工作。负责市委值班工作，及时向市委领导同志报告重要情况，协助处理市直各部门和镇（街）向市委反映的重要问题。负责党内规范性文件的审核、备案、清理工作。负责以市委名义向常德市委请示报告工作的归口、把关，统筹、指导、督促全市党组织重大事项请示报告工作，受理下级党组（党委）向市委的请示报告，提出处理意见报市委领导审批。负责市委及市直单位年度督查检查考核计划的归口审核和全市性年度督查检查考核计划的统一报批、监督实施。负责上级和本级重大方针政策、重要部署和领导批示件贯彻落实情况的督促检查工作。负责开展调研督查活动，提出完善决策、抓好落实的对策措施。负责市委文件和市委领导同志文稿的起草、校核、印发工作。围绕市委工作部署，涉及全市经济建设、社会发展、党的自身建设等全局性的重大问题进行调查研究，为市委科学决策提出建议、预案和依据。及时、准确、全面地向省委、常德市委、市委报送信息，反映有关动态。负责全市党办系统业务培训、指导和考评。负责组织实施全市绩效评估工作。负责全市党政系统密码通信和密码管理，负责对全市保密工作的规划、指导、监督以及对失泄密事件查处工作。贯彻执行党和国家对台方针政策；组织、指导、管理、协调全市对台工作，处理重大涉台事务。贯彻执行上级和本级关于外事、港澳工作的方针政策和法律法规，归口管理、指导全市因公出国（境）工作。负责全市档案工作的监督和指导。负责津市市委机关绿化、卫生、水电管理；负责机关大院公共设施、办公楼、住房等维修。完成市委交办的其他事项。</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lang w:eastAsia="zh-CN"/>
        </w:rPr>
        <w:t>项目</w:t>
      </w:r>
      <w:r>
        <w:rPr>
          <w:rFonts w:eastAsia="仿宋_GB2312"/>
          <w:sz w:val="32"/>
          <w:szCs w:val="32"/>
        </w:rPr>
        <w:t>绩效目标。</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围绕中心工作和全市大局，以专业专注、精细精准的工作态度，在以文辅政、统筹协调、办文办会、督办落实、后勤保障、档案业务指导、深化改革、全面小康、港澳台事务等方面履职尽责，着力提高服务水平，确保日常正常运转，在常德市党委办公室工作绩效考核中创先争优。</w:t>
      </w:r>
    </w:p>
    <w:p>
      <w:pPr>
        <w:adjustRightInd w:val="0"/>
        <w:snapToGrid w:val="0"/>
        <w:spacing w:line="600" w:lineRule="exact"/>
        <w:ind w:firstLine="640" w:firstLineChars="200"/>
        <w:rPr>
          <w:rFonts w:eastAsia="黑体"/>
          <w:sz w:val="32"/>
          <w:szCs w:val="32"/>
        </w:rPr>
      </w:pPr>
      <w:r>
        <w:rPr>
          <w:rFonts w:eastAsia="黑体"/>
          <w:sz w:val="32"/>
          <w:szCs w:val="32"/>
        </w:rPr>
        <w:t>二、</w:t>
      </w:r>
      <w:r>
        <w:rPr>
          <w:rFonts w:hint="eastAsia" w:eastAsia="黑体"/>
          <w:sz w:val="32"/>
          <w:szCs w:val="32"/>
          <w:lang w:eastAsia="zh-CN"/>
        </w:rPr>
        <w:t>项目</w:t>
      </w:r>
      <w:r>
        <w:rPr>
          <w:rFonts w:eastAsia="黑体"/>
          <w:sz w:val="32"/>
          <w:szCs w:val="32"/>
        </w:rPr>
        <w:t>资金使用及管理情况</w:t>
      </w:r>
    </w:p>
    <w:p>
      <w:pPr>
        <w:adjustRightInd w:val="0"/>
        <w:snapToGrid w:val="0"/>
        <w:spacing w:line="600" w:lineRule="exact"/>
        <w:ind w:firstLine="640" w:firstLineChars="200"/>
        <w:rPr>
          <w:rFonts w:eastAsia="仿宋_GB2312"/>
          <w:sz w:val="32"/>
          <w:szCs w:val="32"/>
        </w:rPr>
      </w:pPr>
      <w:r>
        <w:rPr>
          <w:rFonts w:eastAsia="仿宋_GB2312"/>
          <w:sz w:val="32"/>
          <w:szCs w:val="32"/>
        </w:rPr>
        <w:t>（一）</w:t>
      </w:r>
      <w:r>
        <w:rPr>
          <w:rFonts w:hint="eastAsia" w:eastAsia="仿宋_GB2312"/>
          <w:sz w:val="32"/>
          <w:szCs w:val="32"/>
          <w:lang w:eastAsia="zh-CN"/>
        </w:rPr>
        <w:t>项目资金由财政拨款保障到位</w:t>
      </w:r>
      <w:r>
        <w:rPr>
          <w:rFonts w:eastAsia="仿宋_GB2312"/>
          <w:sz w:val="32"/>
          <w:szCs w:val="32"/>
        </w:rPr>
        <w:t>。</w:t>
      </w:r>
    </w:p>
    <w:p>
      <w:pPr>
        <w:adjustRightInd w:val="0"/>
        <w:snapToGrid w:val="0"/>
        <w:spacing w:line="600" w:lineRule="exact"/>
        <w:ind w:firstLine="640" w:firstLineChars="200"/>
        <w:rPr>
          <w:rFonts w:eastAsia="仿宋_GB2312"/>
          <w:sz w:val="32"/>
          <w:szCs w:val="32"/>
        </w:rPr>
      </w:pPr>
      <w:r>
        <w:rPr>
          <w:rFonts w:eastAsia="仿宋_GB2312"/>
          <w:sz w:val="32"/>
          <w:szCs w:val="32"/>
        </w:rPr>
        <w:t>（二）</w:t>
      </w:r>
      <w:r>
        <w:rPr>
          <w:rFonts w:hint="eastAsia" w:eastAsia="仿宋_GB2312"/>
          <w:sz w:val="32"/>
          <w:szCs w:val="32"/>
          <w:lang w:eastAsia="zh-CN"/>
        </w:rPr>
        <w:t>项目</w:t>
      </w:r>
      <w:r>
        <w:rPr>
          <w:rFonts w:eastAsia="仿宋_GB2312"/>
          <w:sz w:val="32"/>
          <w:szCs w:val="32"/>
        </w:rPr>
        <w:t>资金实际使用情况。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2021年共拨付</w:t>
      </w:r>
      <w:r>
        <w:rPr>
          <w:rFonts w:hint="eastAsia" w:eastAsia="仿宋_GB2312"/>
          <w:sz w:val="32"/>
          <w:szCs w:val="32"/>
          <w:lang w:eastAsia="zh-CN"/>
        </w:rPr>
        <w:t>专项工作经费</w:t>
      </w:r>
      <w:r>
        <w:rPr>
          <w:rFonts w:hint="eastAsia" w:eastAsia="仿宋_GB2312"/>
          <w:sz w:val="32"/>
          <w:szCs w:val="32"/>
        </w:rPr>
        <w:t>资金</w:t>
      </w:r>
      <w:r>
        <w:rPr>
          <w:rFonts w:hint="eastAsia" w:eastAsia="仿宋_GB2312"/>
          <w:sz w:val="32"/>
          <w:szCs w:val="32"/>
          <w:lang w:val="en-US" w:eastAsia="zh-CN"/>
        </w:rPr>
        <w:t>531.89</w:t>
      </w:r>
      <w:r>
        <w:rPr>
          <w:rFonts w:hint="eastAsia" w:eastAsia="仿宋_GB2312"/>
          <w:sz w:val="32"/>
          <w:szCs w:val="32"/>
        </w:rPr>
        <w:t>万元，主要用于统筹协调、办文办会、督办落实、后勤保障、档案业务指导、深化改革、全面小康、港澳台事务等</w:t>
      </w:r>
      <w:r>
        <w:rPr>
          <w:rFonts w:hint="eastAsia" w:eastAsia="仿宋_GB2312"/>
          <w:sz w:val="32"/>
          <w:szCs w:val="32"/>
          <w:lang w:eastAsia="zh-CN"/>
        </w:rPr>
        <w:t>工作</w:t>
      </w:r>
      <w:r>
        <w:rPr>
          <w:rFonts w:hint="eastAsia" w:eastAsia="仿宋_GB2312"/>
          <w:sz w:val="32"/>
          <w:szCs w:val="32"/>
        </w:rPr>
        <w:t>。</w:t>
      </w:r>
    </w:p>
    <w:p>
      <w:pPr>
        <w:adjustRightInd w:val="0"/>
        <w:snapToGrid w:val="0"/>
        <w:spacing w:line="600" w:lineRule="exact"/>
        <w:ind w:firstLine="640" w:firstLineChars="200"/>
        <w:rPr>
          <w:rFonts w:eastAsia="仿宋_GB2312"/>
          <w:sz w:val="32"/>
          <w:szCs w:val="32"/>
        </w:rPr>
      </w:pPr>
      <w:r>
        <w:rPr>
          <w:rFonts w:eastAsia="仿宋_GB2312"/>
          <w:sz w:val="32"/>
          <w:szCs w:val="32"/>
        </w:rPr>
        <w:t>（三）</w:t>
      </w:r>
      <w:r>
        <w:rPr>
          <w:rFonts w:hint="eastAsia" w:eastAsia="仿宋_GB2312"/>
          <w:sz w:val="32"/>
          <w:szCs w:val="32"/>
          <w:lang w:eastAsia="zh-CN"/>
        </w:rPr>
        <w:t>项目</w:t>
      </w:r>
      <w:r>
        <w:rPr>
          <w:rFonts w:eastAsia="仿宋_GB2312"/>
          <w:sz w:val="32"/>
          <w:szCs w:val="32"/>
        </w:rPr>
        <w:t>资金管理情况。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一是在预算支出资金使用和管理方面，我</w:t>
      </w:r>
      <w:r>
        <w:rPr>
          <w:rFonts w:hint="eastAsia" w:eastAsia="仿宋_GB2312"/>
          <w:sz w:val="32"/>
          <w:szCs w:val="32"/>
          <w:lang w:eastAsia="zh-CN"/>
        </w:rPr>
        <w:t>单位</w:t>
      </w:r>
      <w:r>
        <w:rPr>
          <w:rFonts w:hint="eastAsia" w:eastAsia="仿宋_GB2312"/>
          <w:sz w:val="32"/>
          <w:szCs w:val="32"/>
        </w:rPr>
        <w:t>严格按照财务制度的相关要求，坚持专款专用，严格按照规定的范围、标准和程序，加强资金的管理，确保了专项资金使用管理的规范性、安全性和有效性。二是由机关</w:t>
      </w:r>
      <w:r>
        <w:rPr>
          <w:rFonts w:hint="eastAsia" w:eastAsia="仿宋_GB2312"/>
          <w:sz w:val="32"/>
          <w:szCs w:val="32"/>
          <w:lang w:eastAsia="zh-CN"/>
        </w:rPr>
        <w:t>财务室</w:t>
      </w:r>
      <w:r>
        <w:rPr>
          <w:rFonts w:hint="eastAsia" w:eastAsia="仿宋_GB2312"/>
          <w:sz w:val="32"/>
          <w:szCs w:val="32"/>
        </w:rPr>
        <w:t>对本</w:t>
      </w:r>
      <w:r>
        <w:rPr>
          <w:rFonts w:hint="eastAsia" w:eastAsia="仿宋_GB2312"/>
          <w:sz w:val="32"/>
          <w:szCs w:val="32"/>
          <w:lang w:eastAsia="zh-CN"/>
        </w:rPr>
        <w:t>单位</w:t>
      </w:r>
      <w:r>
        <w:rPr>
          <w:rFonts w:hint="eastAsia" w:eastAsia="仿宋_GB2312"/>
          <w:sz w:val="32"/>
          <w:szCs w:val="32"/>
        </w:rPr>
        <w:t>专项资金统一进行会计核算，财务处理及时规范，严格实行了财务监管。</w:t>
      </w:r>
    </w:p>
    <w:p>
      <w:pPr>
        <w:adjustRightInd w:val="0"/>
        <w:snapToGrid w:val="0"/>
        <w:spacing w:line="600" w:lineRule="exact"/>
        <w:ind w:firstLine="640" w:firstLineChars="200"/>
        <w:rPr>
          <w:rFonts w:eastAsia="黑体"/>
          <w:sz w:val="32"/>
          <w:szCs w:val="32"/>
        </w:rPr>
      </w:pPr>
      <w:r>
        <w:rPr>
          <w:rFonts w:eastAsia="黑体"/>
          <w:sz w:val="32"/>
          <w:szCs w:val="32"/>
        </w:rPr>
        <w:t>三、</w:t>
      </w:r>
      <w:r>
        <w:rPr>
          <w:rFonts w:hint="eastAsia" w:eastAsia="黑体"/>
          <w:sz w:val="32"/>
          <w:szCs w:val="32"/>
          <w:lang w:eastAsia="zh-CN"/>
        </w:rPr>
        <w:t>项目</w:t>
      </w:r>
      <w:r>
        <w:rPr>
          <w:rFonts w:eastAsia="黑体"/>
          <w:sz w:val="32"/>
          <w:szCs w:val="32"/>
        </w:rPr>
        <w:t>支出组织实施情况</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市委</w:t>
      </w:r>
      <w:r>
        <w:rPr>
          <w:rFonts w:hint="eastAsia" w:eastAsia="仿宋_GB2312"/>
          <w:sz w:val="32"/>
          <w:szCs w:val="32"/>
          <w:lang w:eastAsia="zh-CN"/>
        </w:rPr>
        <w:t>办公室</w:t>
      </w:r>
      <w:r>
        <w:rPr>
          <w:rFonts w:hint="eastAsia" w:eastAsia="仿宋_GB2312"/>
          <w:sz w:val="32"/>
          <w:szCs w:val="32"/>
        </w:rPr>
        <w:t>在项目组织实施时，严格控制预算，从严把关项目质量，确保正常运转，保证项目高质高效完成。</w:t>
      </w:r>
    </w:p>
    <w:p>
      <w:pPr>
        <w:adjustRightInd w:val="0"/>
        <w:snapToGrid w:val="0"/>
        <w:spacing w:line="600" w:lineRule="exact"/>
        <w:ind w:firstLine="640" w:firstLineChars="200"/>
        <w:rPr>
          <w:rFonts w:eastAsia="黑体"/>
          <w:sz w:val="32"/>
          <w:szCs w:val="32"/>
        </w:rPr>
      </w:pPr>
      <w:r>
        <w:rPr>
          <w:rFonts w:eastAsia="黑体"/>
          <w:sz w:val="32"/>
          <w:szCs w:val="32"/>
        </w:rPr>
        <w:t>四、</w:t>
      </w:r>
      <w:r>
        <w:rPr>
          <w:rFonts w:hint="eastAsia" w:eastAsia="黑体"/>
          <w:sz w:val="32"/>
          <w:szCs w:val="32"/>
          <w:lang w:eastAsia="zh-CN"/>
        </w:rPr>
        <w:t>项目</w:t>
      </w:r>
      <w:r>
        <w:rPr>
          <w:rFonts w:eastAsia="黑体"/>
          <w:sz w:val="32"/>
          <w:szCs w:val="32"/>
        </w:rPr>
        <w:t>绩效情况</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严格议事决策程序，高质量筹备7次市委市政府月工作调度例会，打捆召开各类全市性会议，直接开到村居一级，做到一竿子插到底，简化市委主要领导出席活动、全市性重要活动议程环节、控制会议规模，全力提升会议质效，在全市引起广大好评。2021年全年以市委、市委办牵头统筹召开的大型会议10次，同比减少23%。严把办文质量，严格落实未纳入市委年度发文计划、未履行“一事一议”报批手续、未经主要负责同志把关、未达行文规范“四不发”，切实精简文件改进文风。建章立制规范管理，充分利用党政协同办公平台办文办会办事，实现全市103家单位安装使用、镇（街）党政领导班子及站办所安装使用、街道村（社区）移动端配备“三个全覆盖”，建立“一日三查双保险”、问题及时反馈、工作月通报机制，用活外出请假、收发文、公务用车等24个功能模块，切实打通政务服务“最后一公里”。市委办全年利用协同办公办理线上收文1321件，纸质文件收取减少60%，真正让基层移动、高效、智慧、绿色办公成为可能，实现基层干部工作精力从“办文多、传达多”到“思考勤、服务优”的转变。修订党办工作制度汇编，优化“一表三制”工作机制，全年编制主要领导“周工作预安排表”47次，充分发挥重大活动和会议清单管理制度、领导重要活动协调制度和重要事项报批报备制度作用，全年受理领导干部外出请假网上报备129次，对上请示书记、市长请假外出31次，形成领导外出来津第一时间报备、重大突发事件第一时间上报、公务用车接待从严管理等系列规范，推动全市办公室系统运转顺畅高效。</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建立督查考核清单，健全联合督查、问题反馈机制，严控督查频次，强化跟踪问效，全力推动市委各项部署落地落实。截至目前，督促办理上级党委交办件6件，市级领导批示件114件，市直党群系统人大代表建议、政协委员提案11件，开展各类专项督查30余次，编发督查通报及报告20期，办复办结率100%。督查检查考核计划同比减少10%，查出“津市态度”；防疫创卫等工作“当天批、当天办、当天出战报”，督出“津市速度”；全局工作“半月梳理、半月报告、实时跟踪”，办出“津市模式”，真正做到紧扣中心督重点、精准出击查难点、深入一线抓要点，推动市委决策部署落地落实的同时为群众减难，为基层减负。</w:t>
      </w:r>
    </w:p>
    <w:p>
      <w:pPr>
        <w:adjustRightInd w:val="0"/>
        <w:snapToGrid w:val="0"/>
        <w:spacing w:line="600" w:lineRule="exact"/>
        <w:ind w:firstLine="640" w:firstLineChars="200"/>
        <w:rPr>
          <w:rFonts w:hint="eastAsia" w:eastAsia="仿宋_GB2312"/>
          <w:sz w:val="32"/>
          <w:szCs w:val="32"/>
        </w:rPr>
      </w:pPr>
      <w:r>
        <w:rPr>
          <w:rFonts w:hint="eastAsia" w:eastAsia="仿宋_GB2312"/>
          <w:sz w:val="32"/>
          <w:szCs w:val="32"/>
        </w:rPr>
        <w:t>带头落实市委、市政府“3+1”决策部署，配合化工园区建设协调小组，全力推进洽谈合作、项目建设、配套服务，3个化工园区产业招商项目成功签约。带头履职巩固拓展脱贫攻坚成果接续推进乡村振兴职责，分配全面小康工作奖励资金50万，用心用情用力推进产业发展，全力保障就学就医就业，药山村脱贫巩固监测帮扶和大关山村的乡村振兴办点工作成效明显，人民群众满意度显著提升。改革工作系统谋划，聚焦制约我市高质量跨越式发展和民生改善等重点、难点、堵点问题，努力推进省市41项改革任务势如破竹、取得实效，5项自主改革有经验、有亮点。其中，乡村治理“三折两制”模式为央视、农业农村部宣传推介，“精致街区”改造工作为省住建厅领导肯定。党委财经工作协调推进，制定高质量发展综合绩效评价工作组织实施细则，责任细分到单位到人，坚持高质量发展常委会“季研究”、短板指标“周调度”机制，强化经济形势分析研判，凝聚抓高质量发展强大合力。</w:t>
      </w:r>
    </w:p>
    <w:p>
      <w:pPr>
        <w:adjustRightInd w:val="0"/>
        <w:snapToGrid w:val="0"/>
        <w:spacing w:line="600" w:lineRule="exact"/>
        <w:ind w:firstLine="640" w:firstLineChars="200"/>
        <w:rPr>
          <w:rFonts w:eastAsia="仿宋_GB2312"/>
          <w:sz w:val="32"/>
          <w:szCs w:val="32"/>
        </w:rPr>
      </w:pPr>
      <w:r>
        <w:rPr>
          <w:rFonts w:hint="eastAsia" w:eastAsia="仿宋_GB2312"/>
          <w:sz w:val="32"/>
          <w:szCs w:val="32"/>
        </w:rPr>
        <w:t>强化保密纪律意识，坚持保密教育常抓不懈，加强涉密人员管理，严格定密审核，规范密件清理，高标准开展机房整体搬迁与专用通信网络工程建设，有效监管全市961台计算机，核查敏感信息预警记录3批次95条，全面开展保密风险排查整治，并顺利迎接常德市级检查。深化对外对台教育，邀请省委台办领导、组织市本级领导开展涉台涉外教育进党委中心组、进党校“两进”活动，严格落实请示报告、出访制度，加强涉台涉外就业、婚姻、招商服务，全年摸排津市籍入境人员425人次，外国人来津27人次，慰问困难台胞、台属40人次，外事港澳工作、对台工作安全有序。</w:t>
      </w:r>
    </w:p>
    <w:p>
      <w:pPr>
        <w:adjustRightInd w:val="0"/>
        <w:snapToGrid w:val="0"/>
        <w:spacing w:line="600" w:lineRule="exact"/>
        <w:ind w:firstLine="640" w:firstLineChars="200"/>
        <w:rPr>
          <w:rFonts w:eastAsia="黑体"/>
          <w:sz w:val="32"/>
          <w:szCs w:val="32"/>
        </w:rPr>
      </w:pPr>
      <w:r>
        <w:rPr>
          <w:rFonts w:hint="eastAsia" w:eastAsia="黑体"/>
          <w:sz w:val="32"/>
          <w:szCs w:val="32"/>
          <w:lang w:eastAsia="zh-CN"/>
        </w:rPr>
        <w:t>五</w:t>
      </w:r>
      <w:r>
        <w:rPr>
          <w:rFonts w:eastAsia="黑体"/>
          <w:sz w:val="32"/>
          <w:szCs w:val="32"/>
        </w:rPr>
        <w:t>、其他需要说明的问题</w:t>
      </w:r>
    </w:p>
    <w:p>
      <w:pPr>
        <w:adjustRightInd w:val="0"/>
        <w:snapToGrid w:val="0"/>
        <w:spacing w:line="600" w:lineRule="exact"/>
        <w:ind w:firstLine="640" w:firstLineChars="200"/>
        <w:rPr>
          <w:rFonts w:eastAsia="黑体"/>
          <w:sz w:val="32"/>
          <w:szCs w:val="32"/>
        </w:rPr>
      </w:pPr>
      <w:r>
        <w:rPr>
          <w:rFonts w:hint="eastAsia" w:ascii="仿宋_GB2312" w:hAnsi="仿宋_GB2312" w:eastAsia="仿宋_GB2312" w:cs="仿宋_GB2312"/>
          <w:sz w:val="32"/>
          <w:szCs w:val="32"/>
          <w:lang w:val="en-US" w:eastAsia="zh-CN"/>
        </w:rPr>
        <w:t>无</w:t>
      </w:r>
    </w:p>
    <w:p>
      <w:pPr>
        <w:adjustRightInd w:val="0"/>
        <w:snapToGrid w:val="0"/>
        <w:spacing w:line="600" w:lineRule="exact"/>
        <w:ind w:firstLine="640" w:firstLineChars="200"/>
        <w:rPr>
          <w:rFonts w:eastAsia="仿宋_GB2312"/>
          <w:sz w:val="32"/>
          <w:szCs w:val="32"/>
        </w:rPr>
      </w:pPr>
    </w:p>
    <w:p>
      <w:pPr>
        <w:adjustRightInd w:val="0"/>
        <w:snapToGrid w:val="0"/>
        <w:spacing w:line="600" w:lineRule="exact"/>
        <w:ind w:firstLine="640" w:firstLineChars="200"/>
        <w:rPr>
          <w:rFonts w:eastAsia="仿宋_GB2312"/>
          <w:sz w:val="32"/>
          <w:szCs w:val="32"/>
        </w:rPr>
        <w:sectPr>
          <w:pgSz w:w="11906" w:h="16838"/>
          <w:pgMar w:top="1440" w:right="1800" w:bottom="1440" w:left="1800" w:header="851" w:footer="992" w:gutter="0"/>
          <w:cols w:space="425" w:num="1"/>
          <w:docGrid w:type="lines" w:linePitch="312" w:charSpace="0"/>
        </w:sectPr>
      </w:pPr>
      <w:r>
        <w:rPr>
          <w:rFonts w:eastAsia="仿宋_GB2312"/>
          <w:sz w:val="32"/>
          <w:szCs w:val="32"/>
        </w:rPr>
        <w:t>附件：</w:t>
      </w:r>
      <w:r>
        <w:rPr>
          <w:rFonts w:hint="eastAsia" w:eastAsia="仿宋_GB2312"/>
          <w:sz w:val="32"/>
          <w:szCs w:val="32"/>
          <w:lang w:eastAsia="zh-CN"/>
        </w:rPr>
        <w:t>项目</w:t>
      </w:r>
      <w:r>
        <w:rPr>
          <w:rFonts w:hint="eastAsia" w:eastAsia="仿宋_GB2312"/>
          <w:sz w:val="32"/>
          <w:szCs w:val="32"/>
        </w:rPr>
        <w:t>支出绩效自评表</w:t>
      </w:r>
    </w:p>
    <w:tbl>
      <w:tblPr>
        <w:tblStyle w:val="2"/>
        <w:tblW w:w="9999" w:type="dxa"/>
        <w:jc w:val="center"/>
        <w:tblLayout w:type="fixed"/>
        <w:tblCellMar>
          <w:top w:w="0" w:type="dxa"/>
          <w:left w:w="108" w:type="dxa"/>
          <w:bottom w:w="0" w:type="dxa"/>
          <w:right w:w="108" w:type="dxa"/>
        </w:tblCellMar>
      </w:tblPr>
      <w:tblGrid>
        <w:gridCol w:w="1078"/>
        <w:gridCol w:w="810"/>
        <w:gridCol w:w="1350"/>
        <w:gridCol w:w="1305"/>
        <w:gridCol w:w="1335"/>
        <w:gridCol w:w="1320"/>
        <w:gridCol w:w="720"/>
        <w:gridCol w:w="900"/>
        <w:gridCol w:w="1181"/>
      </w:tblGrid>
      <w:tr>
        <w:tblPrEx>
          <w:tblCellMar>
            <w:top w:w="0" w:type="dxa"/>
            <w:left w:w="108" w:type="dxa"/>
            <w:bottom w:w="0" w:type="dxa"/>
            <w:right w:w="108" w:type="dxa"/>
          </w:tblCellMar>
        </w:tblPrEx>
        <w:trPr>
          <w:trHeight w:val="1165" w:hRule="atLeast"/>
          <w:jc w:val="center"/>
        </w:trPr>
        <w:tc>
          <w:tcPr>
            <w:tcW w:w="9999" w:type="dxa"/>
            <w:gridSpan w:val="9"/>
            <w:tcBorders>
              <w:top w:val="nil"/>
              <w:left w:val="nil"/>
              <w:bottom w:val="nil"/>
              <w:right w:val="nil"/>
            </w:tcBorders>
            <w:noWrap/>
            <w:vAlign w:val="center"/>
          </w:tcPr>
          <w:p>
            <w:pPr>
              <w:widowControl/>
              <w:jc w:val="both"/>
              <w:rPr>
                <w:rFonts w:hint="eastAsia" w:ascii="黑体" w:hAnsi="黑体" w:eastAsia="黑体" w:cs="黑体"/>
                <w:color w:val="000000"/>
                <w:kern w:val="0"/>
                <w:sz w:val="32"/>
                <w:szCs w:val="32"/>
                <w:lang w:eastAsia="zh-CN"/>
              </w:rPr>
            </w:pPr>
            <w:r>
              <w:rPr>
                <w:rFonts w:hint="eastAsia" w:ascii="黑体" w:hAnsi="黑体" w:eastAsia="黑体" w:cs="黑体"/>
                <w:color w:val="000000"/>
                <w:kern w:val="0"/>
                <w:sz w:val="32"/>
                <w:szCs w:val="32"/>
                <w:lang w:eastAsia="zh-CN"/>
              </w:rPr>
              <w:t>附件：</w:t>
            </w:r>
          </w:p>
          <w:p>
            <w:pPr>
              <w:widowControl/>
              <w:jc w:val="center"/>
              <w:rPr>
                <w:rFonts w:eastAsia="方正小标宋_GBK"/>
                <w:color w:val="000000"/>
                <w:kern w:val="0"/>
                <w:sz w:val="36"/>
                <w:szCs w:val="36"/>
              </w:rPr>
            </w:pPr>
            <w:r>
              <w:rPr>
                <w:rFonts w:hint="eastAsia" w:eastAsia="方正小标宋_GBK"/>
                <w:color w:val="000000"/>
                <w:kern w:val="0"/>
                <w:sz w:val="36"/>
                <w:szCs w:val="36"/>
                <w:lang w:eastAsia="zh-CN"/>
              </w:rPr>
              <w:t>项目</w:t>
            </w:r>
            <w:r>
              <w:rPr>
                <w:rFonts w:eastAsia="方正小标宋_GBK"/>
                <w:color w:val="000000"/>
                <w:kern w:val="0"/>
                <w:sz w:val="36"/>
                <w:szCs w:val="36"/>
              </w:rPr>
              <w:t>支出绩效自评表</w:t>
            </w:r>
          </w:p>
        </w:tc>
      </w:tr>
      <w:tr>
        <w:tblPrEx>
          <w:tblCellMar>
            <w:top w:w="0" w:type="dxa"/>
            <w:left w:w="108" w:type="dxa"/>
            <w:bottom w:w="0" w:type="dxa"/>
            <w:right w:w="108" w:type="dxa"/>
          </w:tblCellMar>
        </w:tblPrEx>
        <w:trPr>
          <w:trHeight w:val="270" w:hRule="atLeast"/>
          <w:jc w:val="center"/>
        </w:trPr>
        <w:tc>
          <w:tcPr>
            <w:tcW w:w="9999" w:type="dxa"/>
            <w:gridSpan w:val="9"/>
            <w:tcBorders>
              <w:top w:val="nil"/>
              <w:left w:val="nil"/>
              <w:bottom w:val="single" w:color="auto" w:sz="4" w:space="0"/>
              <w:right w:val="nil"/>
            </w:tcBorders>
            <w:noWrap/>
            <w:vAlign w:val="center"/>
          </w:tcPr>
          <w:p>
            <w:pPr>
              <w:widowControl/>
              <w:jc w:val="center"/>
              <w:rPr>
                <w:color w:val="000000"/>
                <w:kern w:val="0"/>
                <w:sz w:val="22"/>
              </w:rPr>
            </w:pPr>
            <w:r>
              <w:rPr>
                <w:color w:val="000000"/>
                <w:kern w:val="0"/>
                <w:sz w:val="22"/>
              </w:rPr>
              <w:t>（</w:t>
            </w:r>
            <w:r>
              <w:rPr>
                <w:rFonts w:hint="eastAsia"/>
                <w:color w:val="000000"/>
                <w:kern w:val="0"/>
                <w:sz w:val="22"/>
                <w:lang w:val="en-US" w:eastAsia="zh-CN"/>
              </w:rPr>
              <w:t>2021</w:t>
            </w:r>
            <w:r>
              <w:rPr>
                <w:color w:val="000000"/>
                <w:kern w:val="0"/>
                <w:sz w:val="22"/>
              </w:rPr>
              <w:t>年度）</w:t>
            </w:r>
          </w:p>
        </w:tc>
      </w:tr>
      <w:tr>
        <w:tblPrEx>
          <w:tblCellMar>
            <w:top w:w="0" w:type="dxa"/>
            <w:left w:w="108" w:type="dxa"/>
            <w:bottom w:w="0" w:type="dxa"/>
            <w:right w:w="108" w:type="dxa"/>
          </w:tblCellMar>
        </w:tblPrEx>
        <w:trPr>
          <w:trHeight w:val="585" w:hRule="atLeast"/>
          <w:jc w:val="center"/>
        </w:trPr>
        <w:tc>
          <w:tcPr>
            <w:tcW w:w="1078" w:type="dxa"/>
            <w:tcBorders>
              <w:top w:val="nil"/>
              <w:left w:val="single" w:color="auto" w:sz="4" w:space="0"/>
              <w:bottom w:val="single" w:color="auto" w:sz="4" w:space="0"/>
              <w:right w:val="single" w:color="auto" w:sz="4" w:space="0"/>
            </w:tcBorders>
            <w:noWrap w:val="0"/>
            <w:vAlign w:val="center"/>
          </w:tcPr>
          <w:p>
            <w:pPr>
              <w:widowControl/>
              <w:spacing w:line="260" w:lineRule="exact"/>
              <w:jc w:val="center"/>
              <w:rPr>
                <w:rFonts w:eastAsia="仿宋_GB2312"/>
                <w:color w:val="000000"/>
                <w:kern w:val="0"/>
                <w:szCs w:val="21"/>
              </w:rPr>
            </w:pPr>
            <w:r>
              <w:rPr>
                <w:rFonts w:eastAsia="仿宋_GB2312"/>
                <w:color w:val="000000"/>
                <w:kern w:val="0"/>
                <w:szCs w:val="21"/>
              </w:rPr>
              <w:t>项目支</w:t>
            </w:r>
          </w:p>
          <w:p>
            <w:pPr>
              <w:widowControl/>
              <w:spacing w:line="260" w:lineRule="exact"/>
              <w:jc w:val="center"/>
              <w:rPr>
                <w:rFonts w:eastAsia="仿宋_GB2312"/>
                <w:color w:val="000000"/>
                <w:kern w:val="0"/>
                <w:szCs w:val="21"/>
              </w:rPr>
            </w:pPr>
            <w:r>
              <w:rPr>
                <w:rFonts w:eastAsia="仿宋_GB2312"/>
                <w:color w:val="000000"/>
                <w:kern w:val="0"/>
                <w:szCs w:val="21"/>
              </w:rPr>
              <w:t>出名称</w:t>
            </w:r>
          </w:p>
        </w:tc>
        <w:tc>
          <w:tcPr>
            <w:tcW w:w="8921" w:type="dxa"/>
            <w:gridSpan w:val="8"/>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eastAsia="zh-CN"/>
              </w:rPr>
              <w:t>市委办专项工作经费</w:t>
            </w: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78" w:type="dxa"/>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主管部门</w:t>
            </w:r>
          </w:p>
        </w:tc>
        <w:tc>
          <w:tcPr>
            <w:tcW w:w="4800"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eastAsia="仿宋_GB2312"/>
                <w:color w:val="000000"/>
                <w:kern w:val="0"/>
                <w:szCs w:val="21"/>
              </w:rPr>
              <w:t>　</w:t>
            </w:r>
            <w:r>
              <w:rPr>
                <w:rFonts w:hint="eastAsia" w:eastAsia="仿宋_GB2312"/>
                <w:color w:val="000000"/>
                <w:kern w:val="0"/>
                <w:szCs w:val="21"/>
                <w:lang w:eastAsia="zh-CN"/>
              </w:rPr>
              <w:t>中共津市市委办公室</w:t>
            </w:r>
          </w:p>
        </w:tc>
        <w:tc>
          <w:tcPr>
            <w:tcW w:w="1320" w:type="dxa"/>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实施单位</w:t>
            </w:r>
          </w:p>
        </w:tc>
        <w:tc>
          <w:tcPr>
            <w:tcW w:w="2801" w:type="dxa"/>
            <w:gridSpan w:val="3"/>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eastAsia="zh-CN"/>
              </w:rPr>
              <w:t>中共津市市委办公室</w:t>
            </w:r>
          </w:p>
        </w:tc>
      </w:tr>
      <w:tr>
        <w:tblPrEx>
          <w:tblCellMar>
            <w:top w:w="0" w:type="dxa"/>
            <w:left w:w="108" w:type="dxa"/>
            <w:bottom w:w="0" w:type="dxa"/>
            <w:right w:w="108" w:type="dxa"/>
          </w:tblCellMar>
        </w:tblPrEx>
        <w:trPr>
          <w:trHeight w:val="340" w:hRule="atLeast"/>
          <w:jc w:val="center"/>
        </w:trPr>
        <w:tc>
          <w:tcPr>
            <w:tcW w:w="107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eastAsia="仿宋_GB2312"/>
                <w:color w:val="000000"/>
                <w:kern w:val="0"/>
                <w:szCs w:val="21"/>
                <w:lang w:eastAsia="zh-CN"/>
              </w:rPr>
            </w:pPr>
            <w:r>
              <w:rPr>
                <w:rFonts w:eastAsia="仿宋_GB2312"/>
                <w:color w:val="000000"/>
                <w:kern w:val="0"/>
                <w:szCs w:val="21"/>
              </w:rPr>
              <w:t>项目资金</w:t>
            </w:r>
          </w:p>
          <w:p>
            <w:pPr>
              <w:widowControl/>
              <w:jc w:val="center"/>
              <w:rPr>
                <w:rFonts w:eastAsia="仿宋_GB2312"/>
                <w:color w:val="000000"/>
                <w:kern w:val="0"/>
                <w:szCs w:val="21"/>
              </w:rPr>
            </w:pPr>
            <w:r>
              <w:rPr>
                <w:rFonts w:eastAsia="仿宋_GB2312"/>
                <w:color w:val="000000"/>
                <w:kern w:val="0"/>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年初预算数</w:t>
            </w:r>
          </w:p>
        </w:tc>
        <w:tc>
          <w:tcPr>
            <w:tcW w:w="13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全年预算数</w:t>
            </w:r>
          </w:p>
        </w:tc>
        <w:tc>
          <w:tcPr>
            <w:tcW w:w="1320"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全年执行数</w:t>
            </w:r>
          </w:p>
        </w:tc>
        <w:tc>
          <w:tcPr>
            <w:tcW w:w="720"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分值</w:t>
            </w:r>
          </w:p>
        </w:tc>
        <w:tc>
          <w:tcPr>
            <w:tcW w:w="900"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执行率</w:t>
            </w:r>
          </w:p>
        </w:tc>
        <w:tc>
          <w:tcPr>
            <w:tcW w:w="1181" w:type="dxa"/>
            <w:tcBorders>
              <w:top w:val="nil"/>
              <w:left w:val="nil"/>
              <w:bottom w:val="single" w:color="auto" w:sz="4" w:space="0"/>
              <w:right w:val="single" w:color="auto" w:sz="4" w:space="0"/>
            </w:tcBorders>
            <w:noWrap w:val="0"/>
            <w:vAlign w:val="top"/>
          </w:tcPr>
          <w:p>
            <w:pPr>
              <w:rPr>
                <w:rFonts w:eastAsia="仿宋_GB2312"/>
                <w:szCs w:val="21"/>
              </w:rPr>
            </w:pPr>
            <w:r>
              <w:rPr>
                <w:rFonts w:eastAsia="仿宋_GB2312"/>
                <w:szCs w:val="21"/>
              </w:rPr>
              <w:t>得分</w:t>
            </w:r>
          </w:p>
        </w:tc>
      </w:tr>
      <w:tr>
        <w:tblPrEx>
          <w:tblCellMar>
            <w:top w:w="0" w:type="dxa"/>
            <w:left w:w="108" w:type="dxa"/>
            <w:bottom w:w="0" w:type="dxa"/>
            <w:right w:w="108" w:type="dxa"/>
          </w:tblCellMar>
        </w:tblPrEx>
        <w:trPr>
          <w:trHeight w:val="340" w:hRule="atLeast"/>
          <w:jc w:val="center"/>
        </w:trPr>
        <w:tc>
          <w:tcPr>
            <w:tcW w:w="107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年度资金总额　</w:t>
            </w:r>
          </w:p>
        </w:tc>
        <w:tc>
          <w:tcPr>
            <w:tcW w:w="1305"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330.94</w:t>
            </w:r>
          </w:p>
        </w:tc>
        <w:tc>
          <w:tcPr>
            <w:tcW w:w="1335"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330.94</w:t>
            </w:r>
          </w:p>
        </w:tc>
        <w:tc>
          <w:tcPr>
            <w:tcW w:w="132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531.89</w:t>
            </w:r>
          </w:p>
        </w:tc>
        <w:tc>
          <w:tcPr>
            <w:tcW w:w="7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900"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00%</w:t>
            </w:r>
          </w:p>
        </w:tc>
        <w:tc>
          <w:tcPr>
            <w:tcW w:w="1181" w:type="dxa"/>
            <w:tcBorders>
              <w:top w:val="nil"/>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340" w:hRule="atLeast"/>
          <w:jc w:val="center"/>
        </w:trPr>
        <w:tc>
          <w:tcPr>
            <w:tcW w:w="107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其中：当年财政拨款　</w:t>
            </w:r>
          </w:p>
        </w:tc>
        <w:tc>
          <w:tcPr>
            <w:tcW w:w="13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330.94</w:t>
            </w:r>
          </w:p>
        </w:tc>
        <w:tc>
          <w:tcPr>
            <w:tcW w:w="13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330.94</w:t>
            </w:r>
          </w:p>
        </w:tc>
        <w:tc>
          <w:tcPr>
            <w:tcW w:w="13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531.89</w:t>
            </w:r>
          </w:p>
        </w:tc>
        <w:tc>
          <w:tcPr>
            <w:tcW w:w="7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10</w:t>
            </w:r>
          </w:p>
        </w:tc>
        <w:tc>
          <w:tcPr>
            <w:tcW w:w="90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00%</w:t>
            </w:r>
          </w:p>
        </w:tc>
        <w:tc>
          <w:tcPr>
            <w:tcW w:w="118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10</w:t>
            </w:r>
          </w:p>
        </w:tc>
      </w:tr>
      <w:tr>
        <w:tblPrEx>
          <w:tblCellMar>
            <w:top w:w="0" w:type="dxa"/>
            <w:left w:w="108" w:type="dxa"/>
            <w:bottom w:w="0" w:type="dxa"/>
            <w:right w:w="108" w:type="dxa"/>
          </w:tblCellMar>
        </w:tblPrEx>
        <w:trPr>
          <w:trHeight w:val="220" w:hRule="atLeast"/>
          <w:jc w:val="center"/>
        </w:trPr>
        <w:tc>
          <w:tcPr>
            <w:tcW w:w="107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上年结转资金　</w:t>
            </w:r>
          </w:p>
        </w:tc>
        <w:tc>
          <w:tcPr>
            <w:tcW w:w="13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90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65" w:hRule="atLeast"/>
          <w:jc w:val="center"/>
        </w:trPr>
        <w:tc>
          <w:tcPr>
            <w:tcW w:w="1078"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eastAsia="仿宋_GB2312"/>
                <w:color w:val="000000"/>
                <w:kern w:val="0"/>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eastAsia="仿宋_GB2312"/>
                <w:color w:val="000000"/>
                <w:kern w:val="0"/>
                <w:szCs w:val="21"/>
              </w:rPr>
            </w:pPr>
            <w:r>
              <w:rPr>
                <w:rFonts w:eastAsia="仿宋_GB2312"/>
                <w:color w:val="000000"/>
                <w:kern w:val="0"/>
                <w:szCs w:val="21"/>
              </w:rPr>
              <w:t>其他资金</w:t>
            </w:r>
          </w:p>
        </w:tc>
        <w:tc>
          <w:tcPr>
            <w:tcW w:w="130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90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18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20" w:hRule="atLeast"/>
          <w:jc w:val="center"/>
        </w:trPr>
        <w:tc>
          <w:tcPr>
            <w:tcW w:w="1078"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年度总</w:t>
            </w:r>
          </w:p>
          <w:p>
            <w:pPr>
              <w:widowControl/>
              <w:jc w:val="center"/>
              <w:rPr>
                <w:rFonts w:eastAsia="仿宋_GB2312"/>
                <w:color w:val="000000"/>
                <w:kern w:val="0"/>
                <w:szCs w:val="21"/>
              </w:rPr>
            </w:pPr>
            <w:r>
              <w:rPr>
                <w:rFonts w:eastAsia="仿宋_GB2312"/>
                <w:color w:val="000000"/>
                <w:kern w:val="0"/>
                <w:szCs w:val="21"/>
              </w:rPr>
              <w:t>体目标</w:t>
            </w:r>
          </w:p>
        </w:tc>
        <w:tc>
          <w:tcPr>
            <w:tcW w:w="4800"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预期目标</w:t>
            </w:r>
          </w:p>
        </w:tc>
        <w:tc>
          <w:tcPr>
            <w:tcW w:w="4121" w:type="dxa"/>
            <w:gridSpan w:val="4"/>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实际完成情况　</w:t>
            </w:r>
          </w:p>
        </w:tc>
      </w:tr>
      <w:tr>
        <w:tblPrEx>
          <w:tblCellMar>
            <w:top w:w="0" w:type="dxa"/>
            <w:left w:w="108" w:type="dxa"/>
            <w:bottom w:w="0" w:type="dxa"/>
            <w:right w:w="108" w:type="dxa"/>
          </w:tblCellMar>
        </w:tblPrEx>
        <w:trPr>
          <w:trHeight w:val="277" w:hRule="atLeast"/>
          <w:jc w:val="center"/>
        </w:trPr>
        <w:tc>
          <w:tcPr>
            <w:tcW w:w="1078" w:type="dxa"/>
            <w:vMerge w:val="continue"/>
            <w:tcBorders>
              <w:top w:val="nil"/>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4800" w:type="dxa"/>
            <w:gridSpan w:val="4"/>
            <w:tcBorders>
              <w:top w:val="single" w:color="auto" w:sz="4" w:space="0"/>
              <w:left w:val="nil"/>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330.94</w:t>
            </w:r>
            <w:r>
              <w:rPr>
                <w:rFonts w:eastAsia="仿宋_GB2312"/>
                <w:color w:val="000000"/>
                <w:kern w:val="0"/>
                <w:szCs w:val="21"/>
              </w:rPr>
              <w:t>　</w:t>
            </w:r>
          </w:p>
        </w:tc>
        <w:tc>
          <w:tcPr>
            <w:tcW w:w="4121" w:type="dxa"/>
            <w:gridSpan w:val="4"/>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eastAsia="仿宋_GB2312"/>
                <w:color w:val="000000"/>
                <w:kern w:val="0"/>
                <w:szCs w:val="21"/>
                <w:lang w:val="en-US" w:eastAsia="zh-CN"/>
              </w:rPr>
              <w:t>531.89</w:t>
            </w:r>
          </w:p>
        </w:tc>
      </w:tr>
      <w:tr>
        <w:tblPrEx>
          <w:tblCellMar>
            <w:top w:w="0" w:type="dxa"/>
            <w:left w:w="108" w:type="dxa"/>
            <w:bottom w:w="0" w:type="dxa"/>
            <w:right w:w="108" w:type="dxa"/>
          </w:tblCellMar>
        </w:tblPrEx>
        <w:trPr>
          <w:trHeight w:val="793" w:hRule="atLeast"/>
          <w:jc w:val="center"/>
        </w:trPr>
        <w:tc>
          <w:tcPr>
            <w:tcW w:w="1078" w:type="dxa"/>
            <w:vMerge w:val="restart"/>
            <w:tcBorders>
              <w:top w:val="single" w:color="auto" w:sz="4" w:space="0"/>
              <w:left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绩</w:t>
            </w:r>
          </w:p>
          <w:p>
            <w:pPr>
              <w:widowControl/>
              <w:jc w:val="center"/>
              <w:rPr>
                <w:rFonts w:eastAsia="仿宋_GB2312"/>
                <w:color w:val="000000"/>
                <w:kern w:val="0"/>
                <w:szCs w:val="21"/>
              </w:rPr>
            </w:pPr>
            <w:r>
              <w:rPr>
                <w:rFonts w:eastAsia="仿宋_GB2312"/>
                <w:color w:val="000000"/>
                <w:kern w:val="0"/>
                <w:szCs w:val="21"/>
              </w:rPr>
              <w:t>效</w:t>
            </w:r>
          </w:p>
          <w:p>
            <w:pPr>
              <w:widowControl/>
              <w:jc w:val="center"/>
              <w:rPr>
                <w:rFonts w:eastAsia="仿宋_GB2312"/>
                <w:color w:val="000000"/>
                <w:kern w:val="0"/>
                <w:szCs w:val="21"/>
              </w:rPr>
            </w:pPr>
            <w:r>
              <w:rPr>
                <w:rFonts w:eastAsia="仿宋_GB2312"/>
                <w:color w:val="000000"/>
                <w:kern w:val="0"/>
                <w:szCs w:val="21"/>
              </w:rPr>
              <w:t>指</w:t>
            </w:r>
          </w:p>
          <w:p>
            <w:pPr>
              <w:widowControl/>
              <w:jc w:val="center"/>
              <w:rPr>
                <w:rFonts w:eastAsia="仿宋_GB2312"/>
                <w:color w:val="000000"/>
                <w:kern w:val="0"/>
                <w:szCs w:val="21"/>
              </w:rPr>
            </w:pPr>
            <w:r>
              <w:rPr>
                <w:rFonts w:eastAsia="仿宋_GB2312"/>
                <w:color w:val="000000"/>
                <w:kern w:val="0"/>
                <w:szCs w:val="21"/>
              </w:rPr>
              <w:t>标</w:t>
            </w:r>
          </w:p>
        </w:tc>
        <w:tc>
          <w:tcPr>
            <w:tcW w:w="81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一级指标</w:t>
            </w:r>
          </w:p>
        </w:tc>
        <w:tc>
          <w:tcPr>
            <w:tcW w:w="135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二级指标</w:t>
            </w:r>
          </w:p>
        </w:tc>
        <w:tc>
          <w:tcPr>
            <w:tcW w:w="130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三级指标</w:t>
            </w:r>
          </w:p>
        </w:tc>
        <w:tc>
          <w:tcPr>
            <w:tcW w:w="1335"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年度</w:t>
            </w:r>
          </w:p>
          <w:p>
            <w:pPr>
              <w:widowControl/>
              <w:spacing w:line="240" w:lineRule="exact"/>
              <w:jc w:val="center"/>
              <w:rPr>
                <w:rFonts w:eastAsia="仿宋_GB2312"/>
                <w:color w:val="000000"/>
                <w:kern w:val="0"/>
                <w:szCs w:val="21"/>
              </w:rPr>
            </w:pPr>
            <w:r>
              <w:rPr>
                <w:rFonts w:eastAsia="仿宋_GB2312"/>
                <w:color w:val="000000"/>
                <w:kern w:val="0"/>
                <w:szCs w:val="21"/>
              </w:rPr>
              <w:t>指标值</w:t>
            </w:r>
          </w:p>
        </w:tc>
        <w:tc>
          <w:tcPr>
            <w:tcW w:w="132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实际</w:t>
            </w:r>
          </w:p>
          <w:p>
            <w:pPr>
              <w:widowControl/>
              <w:spacing w:line="240" w:lineRule="exact"/>
              <w:jc w:val="center"/>
              <w:rPr>
                <w:rFonts w:eastAsia="仿宋_GB2312"/>
                <w:color w:val="000000"/>
                <w:kern w:val="0"/>
                <w:szCs w:val="21"/>
              </w:rPr>
            </w:pPr>
            <w:r>
              <w:rPr>
                <w:rFonts w:eastAsia="仿宋_GB2312"/>
                <w:color w:val="000000"/>
                <w:kern w:val="0"/>
                <w:szCs w:val="21"/>
              </w:rPr>
              <w:t>完成值</w:t>
            </w:r>
          </w:p>
        </w:tc>
        <w:tc>
          <w:tcPr>
            <w:tcW w:w="72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分值</w:t>
            </w:r>
          </w:p>
        </w:tc>
        <w:tc>
          <w:tcPr>
            <w:tcW w:w="900"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得分</w:t>
            </w:r>
          </w:p>
        </w:tc>
        <w:tc>
          <w:tcPr>
            <w:tcW w:w="1181" w:type="dxa"/>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eastAsia="仿宋_GB2312"/>
                <w:color w:val="000000"/>
                <w:kern w:val="0"/>
                <w:szCs w:val="21"/>
              </w:rPr>
            </w:pPr>
            <w:r>
              <w:rPr>
                <w:rFonts w:eastAsia="仿宋_GB2312"/>
                <w:color w:val="000000"/>
                <w:kern w:val="0"/>
                <w:szCs w:val="21"/>
              </w:rPr>
              <w:t>偏差原因</w:t>
            </w:r>
          </w:p>
          <w:p>
            <w:pPr>
              <w:widowControl/>
              <w:spacing w:line="240" w:lineRule="exact"/>
              <w:jc w:val="center"/>
              <w:rPr>
                <w:rFonts w:eastAsia="仿宋_GB2312"/>
                <w:color w:val="000000"/>
                <w:kern w:val="0"/>
                <w:szCs w:val="21"/>
              </w:rPr>
            </w:pPr>
            <w:r>
              <w:rPr>
                <w:rFonts w:eastAsia="仿宋_GB2312"/>
                <w:color w:val="000000"/>
                <w:kern w:val="0"/>
                <w:szCs w:val="21"/>
              </w:rPr>
              <w:t>分析及</w:t>
            </w:r>
          </w:p>
          <w:p>
            <w:pPr>
              <w:widowControl/>
              <w:spacing w:line="240" w:lineRule="exact"/>
              <w:jc w:val="center"/>
              <w:rPr>
                <w:rFonts w:eastAsia="仿宋_GB2312"/>
                <w:color w:val="000000"/>
                <w:kern w:val="0"/>
                <w:szCs w:val="21"/>
              </w:rPr>
            </w:pPr>
            <w:r>
              <w:rPr>
                <w:rFonts w:eastAsia="仿宋_GB2312"/>
                <w:color w:val="000000"/>
                <w:kern w:val="0"/>
                <w:szCs w:val="21"/>
              </w:rPr>
              <w:t>改进措施</w:t>
            </w:r>
          </w:p>
        </w:tc>
      </w:tr>
      <w:tr>
        <w:tblPrEx>
          <w:tblCellMar>
            <w:top w:w="0" w:type="dxa"/>
            <w:left w:w="108" w:type="dxa"/>
            <w:bottom w:w="0" w:type="dxa"/>
            <w:right w:w="108" w:type="dxa"/>
          </w:tblCellMar>
        </w:tblPrEx>
        <w:trPr>
          <w:trHeight w:val="27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产出</w:t>
            </w:r>
          </w:p>
          <w:p>
            <w:pPr>
              <w:widowControl/>
              <w:jc w:val="center"/>
              <w:rPr>
                <w:rFonts w:eastAsia="仿宋_GB2312"/>
                <w:color w:val="000000"/>
                <w:kern w:val="0"/>
                <w:szCs w:val="21"/>
              </w:rPr>
            </w:pPr>
            <w:r>
              <w:rPr>
                <w:rFonts w:eastAsia="仿宋_GB2312"/>
                <w:color w:val="000000"/>
                <w:kern w:val="0"/>
                <w:szCs w:val="21"/>
              </w:rPr>
              <w:t>指标</w:t>
            </w:r>
          </w:p>
          <w:p>
            <w:pPr>
              <w:widowControl/>
              <w:jc w:val="center"/>
              <w:rPr>
                <w:rFonts w:eastAsia="仿宋_GB2312"/>
                <w:color w:val="000000"/>
                <w:kern w:val="0"/>
                <w:szCs w:val="21"/>
              </w:rPr>
            </w:pPr>
          </w:p>
          <w:p>
            <w:pPr>
              <w:widowControl/>
              <w:jc w:val="center"/>
              <w:rPr>
                <w:rFonts w:eastAsia="仿宋_GB2312"/>
                <w:color w:val="000000"/>
                <w:kern w:val="0"/>
                <w:szCs w:val="21"/>
              </w:rPr>
            </w:pPr>
            <w:r>
              <w:rPr>
                <w:rFonts w:eastAsia="仿宋_GB2312"/>
                <w:color w:val="000000"/>
                <w:kern w:val="0"/>
                <w:szCs w:val="21"/>
              </w:rPr>
              <w:t>(50分)</w:t>
            </w:r>
          </w:p>
        </w:tc>
        <w:tc>
          <w:tcPr>
            <w:tcW w:w="135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数量指标</w:t>
            </w: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大型会议</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≥60次</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≥60次</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4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350"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hint="eastAsia" w:eastAsia="仿宋_GB2312"/>
                <w:color w:val="000000"/>
                <w:kern w:val="0"/>
                <w:szCs w:val="21"/>
              </w:rPr>
            </w:pPr>
            <w:r>
              <w:rPr>
                <w:rFonts w:hint="eastAsia" w:eastAsia="仿宋_GB2312"/>
                <w:color w:val="000000"/>
                <w:kern w:val="0"/>
                <w:szCs w:val="21"/>
              </w:rPr>
              <w:t>开展督查</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≥10次</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≥10次</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200"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党委信息</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≥280篇</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≥280篇</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20"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质量指标</w:t>
            </w: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大型会议</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0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开展督查</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24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党委信息</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7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时效指标</w:t>
            </w: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大型会议</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4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continue"/>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党委信息</w:t>
            </w:r>
          </w:p>
        </w:tc>
        <w:tc>
          <w:tcPr>
            <w:tcW w:w="1335"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13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100%</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7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restart"/>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成本指标</w:t>
            </w: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成本规范</w:t>
            </w:r>
          </w:p>
        </w:tc>
        <w:tc>
          <w:tcPr>
            <w:tcW w:w="1335" w:type="dxa"/>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Cs w:val="21"/>
                <w:lang w:eastAsia="zh-CN"/>
              </w:rPr>
            </w:pPr>
            <w:r>
              <w:rPr>
                <w:rFonts w:hint="eastAsia" w:ascii="Times New Roman" w:hAnsi="Times New Roman" w:eastAsia="仿宋_GB2312" w:cs="Times New Roman"/>
                <w:color w:val="000000"/>
                <w:kern w:val="0"/>
                <w:szCs w:val="21"/>
              </w:rPr>
              <w:t>按规定</w:t>
            </w:r>
            <w:r>
              <w:rPr>
                <w:rFonts w:hint="eastAsia" w:ascii="Times New Roman" w:hAnsi="Times New Roman" w:eastAsia="仿宋_GB2312" w:cs="Times New Roman"/>
                <w:color w:val="000000"/>
                <w:kern w:val="0"/>
                <w:szCs w:val="21"/>
                <w:lang w:eastAsia="zh-CN"/>
              </w:rPr>
              <w:t>执行</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ascii="Times New Roman" w:hAnsi="Times New Roman" w:eastAsia="仿宋_GB2312" w:cs="Times New Roman"/>
                <w:color w:val="000000"/>
                <w:kern w:val="0"/>
                <w:szCs w:val="21"/>
              </w:rPr>
              <w:t>按规定</w:t>
            </w:r>
            <w:r>
              <w:rPr>
                <w:rFonts w:hint="eastAsia" w:ascii="Times New Roman" w:hAnsi="Times New Roman" w:eastAsia="仿宋_GB2312" w:cs="Times New Roman"/>
                <w:color w:val="000000"/>
                <w:kern w:val="0"/>
                <w:szCs w:val="21"/>
                <w:lang w:eastAsia="zh-CN"/>
              </w:rPr>
              <w:t>执行</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290"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vMerge w:val="continue"/>
            <w:tcBorders>
              <w:left w:val="nil"/>
              <w:right w:val="single" w:color="auto" w:sz="4" w:space="0"/>
            </w:tcBorders>
            <w:noWrap w:val="0"/>
            <w:vAlign w:val="center"/>
          </w:tcPr>
          <w:p>
            <w:pPr>
              <w:widowControl/>
              <w:jc w:val="center"/>
              <w:rPr>
                <w:rFonts w:eastAsia="仿宋_GB2312"/>
                <w:color w:val="000000"/>
                <w:kern w:val="0"/>
                <w:szCs w:val="21"/>
              </w:rPr>
            </w:pP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基本支出</w:t>
            </w:r>
          </w:p>
        </w:tc>
        <w:tc>
          <w:tcPr>
            <w:tcW w:w="1335" w:type="dxa"/>
            <w:tcBorders>
              <w:top w:val="single" w:color="auto" w:sz="4" w:space="0"/>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453.2万元</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ascii="Times New Roman" w:hAnsi="Times New Roman" w:eastAsia="仿宋_GB2312" w:cs="Times New Roman"/>
                <w:color w:val="000000"/>
                <w:kern w:val="0"/>
                <w:szCs w:val="21"/>
                <w:lang w:val="en-US" w:eastAsia="zh-CN"/>
              </w:rPr>
              <w:t>453.2万元</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hint="eastAsia" w:eastAsia="仿宋_GB2312"/>
                <w:color w:val="000000"/>
                <w:kern w:val="0"/>
                <w:szCs w:val="21"/>
                <w:lang w:val="en-US" w:eastAsia="zh-CN"/>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r>
      <w:tr>
        <w:tblPrEx>
          <w:tblCellMar>
            <w:top w:w="0" w:type="dxa"/>
            <w:left w:w="108" w:type="dxa"/>
            <w:bottom w:w="0" w:type="dxa"/>
            <w:right w:w="108" w:type="dxa"/>
          </w:tblCellMar>
        </w:tblPrEx>
        <w:trPr>
          <w:trHeight w:val="245"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50" w:type="dxa"/>
            <w:vMerge w:val="continue"/>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0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项目支出</w:t>
            </w:r>
          </w:p>
        </w:tc>
        <w:tc>
          <w:tcPr>
            <w:tcW w:w="1335" w:type="dxa"/>
            <w:tcBorders>
              <w:top w:val="single" w:color="auto" w:sz="4" w:space="0"/>
              <w:left w:val="nil"/>
              <w:bottom w:val="single" w:color="auto" w:sz="4" w:space="0"/>
              <w:right w:val="single" w:color="auto" w:sz="4" w:space="0"/>
            </w:tcBorders>
            <w:noWrap w:val="0"/>
            <w:vAlign w:val="center"/>
          </w:tcPr>
          <w:p>
            <w:pPr>
              <w:widowControl/>
              <w:jc w:val="left"/>
              <w:rPr>
                <w:rFonts w:hint="default" w:eastAsia="仿宋_GB2312"/>
                <w:color w:val="000000"/>
                <w:kern w:val="0"/>
                <w:szCs w:val="21"/>
                <w:lang w:val="en-US" w:eastAsia="zh-CN"/>
              </w:rPr>
            </w:pPr>
            <w:r>
              <w:rPr>
                <w:rFonts w:hint="eastAsia" w:eastAsia="仿宋_GB2312"/>
                <w:color w:val="000000"/>
                <w:kern w:val="0"/>
                <w:szCs w:val="21"/>
                <w:lang w:val="en-US" w:eastAsia="zh-CN"/>
              </w:rPr>
              <w:t>531.89万元</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val="en-US" w:eastAsia="zh-CN"/>
              </w:rPr>
              <w:t>531.89万元</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hint="eastAsia" w:eastAsia="仿宋_GB2312"/>
                <w:color w:val="000000"/>
                <w:kern w:val="0"/>
                <w:szCs w:val="21"/>
                <w:lang w:val="en-US" w:eastAsia="zh-CN"/>
              </w:rPr>
              <w:t>5</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效益</w:t>
            </w:r>
          </w:p>
          <w:p>
            <w:pPr>
              <w:widowControl/>
              <w:jc w:val="center"/>
              <w:rPr>
                <w:rFonts w:eastAsia="仿宋_GB2312"/>
                <w:color w:val="000000"/>
                <w:kern w:val="0"/>
                <w:szCs w:val="21"/>
              </w:rPr>
            </w:pPr>
            <w:r>
              <w:rPr>
                <w:rFonts w:eastAsia="仿宋_GB2312"/>
                <w:color w:val="000000"/>
                <w:kern w:val="0"/>
                <w:szCs w:val="21"/>
              </w:rPr>
              <w:t>指标</w:t>
            </w:r>
          </w:p>
          <w:p>
            <w:pPr>
              <w:widowControl/>
              <w:jc w:val="left"/>
              <w:rPr>
                <w:rFonts w:hint="eastAsia" w:eastAsia="仿宋_GB2312"/>
                <w:color w:val="000000"/>
                <w:kern w:val="0"/>
                <w:szCs w:val="21"/>
                <w:lang w:eastAsia="zh-CN"/>
              </w:rPr>
            </w:pPr>
            <w:r>
              <w:rPr>
                <w:rFonts w:hint="eastAsia" w:eastAsia="仿宋_GB2312"/>
                <w:color w:val="000000"/>
                <w:kern w:val="0"/>
                <w:szCs w:val="21"/>
                <w:lang w:val="en-US" w:eastAsia="zh-CN"/>
              </w:rPr>
              <w:t>(</w:t>
            </w:r>
            <w:r>
              <w:rPr>
                <w:rFonts w:eastAsia="仿宋_GB2312"/>
                <w:color w:val="000000"/>
                <w:kern w:val="0"/>
                <w:szCs w:val="21"/>
              </w:rPr>
              <w:t>30分</w:t>
            </w:r>
            <w:r>
              <w:rPr>
                <w:rFonts w:hint="eastAsia" w:eastAsia="仿宋_GB2312"/>
                <w:color w:val="000000"/>
                <w:kern w:val="0"/>
                <w:szCs w:val="21"/>
                <w:lang w:val="en-US" w:eastAsia="zh-CN"/>
              </w:rPr>
              <w:t>)</w:t>
            </w:r>
          </w:p>
          <w:p>
            <w:pPr>
              <w:jc w:val="left"/>
              <w:rPr>
                <w:rFonts w:eastAsia="仿宋_GB2312"/>
                <w:color w:val="000000"/>
                <w:kern w:val="0"/>
                <w:szCs w:val="21"/>
              </w:rPr>
            </w:pPr>
            <w:r>
              <w:rPr>
                <w:rFonts w:eastAsia="仿宋_GB2312"/>
                <w:color w:val="000000"/>
                <w:kern w:val="0"/>
                <w:szCs w:val="21"/>
              </w:rPr>
              <w:t>　</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经济效</w:t>
            </w:r>
          </w:p>
          <w:p>
            <w:pPr>
              <w:widowControl/>
              <w:jc w:val="center"/>
              <w:rPr>
                <w:rFonts w:eastAsia="仿宋_GB2312"/>
                <w:color w:val="000000"/>
                <w:kern w:val="0"/>
                <w:szCs w:val="21"/>
              </w:rPr>
            </w:pPr>
            <w:r>
              <w:rPr>
                <w:rFonts w:eastAsia="仿宋_GB2312"/>
                <w:color w:val="000000"/>
                <w:kern w:val="0"/>
                <w:szCs w:val="21"/>
              </w:rPr>
              <w:t>益指标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eastAsia="仿宋_GB2312"/>
                <w:color w:val="000000"/>
                <w:kern w:val="0"/>
                <w:szCs w:val="21"/>
                <w:lang w:eastAsia="zh-CN"/>
              </w:rPr>
            </w:pPr>
            <w:r>
              <w:rPr>
                <w:rFonts w:hint="eastAsia" w:eastAsia="仿宋_GB2312"/>
                <w:color w:val="000000"/>
                <w:kern w:val="0"/>
                <w:szCs w:val="21"/>
                <w:lang w:eastAsia="zh-CN"/>
              </w:rPr>
              <w:t>无</w:t>
            </w:r>
          </w:p>
        </w:tc>
        <w:tc>
          <w:tcPr>
            <w:tcW w:w="133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eastAsia="仿宋_GB2312"/>
                <w:color w:val="000000"/>
                <w:kern w:val="0"/>
                <w:szCs w:val="21"/>
              </w:rPr>
            </w:pP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社会效</w:t>
            </w:r>
          </w:p>
          <w:p>
            <w:pPr>
              <w:widowControl/>
              <w:jc w:val="center"/>
              <w:rPr>
                <w:rFonts w:eastAsia="仿宋_GB2312"/>
                <w:color w:val="000000"/>
                <w:kern w:val="0"/>
                <w:szCs w:val="21"/>
              </w:rPr>
            </w:pPr>
            <w:r>
              <w:rPr>
                <w:rFonts w:eastAsia="仿宋_GB2312"/>
                <w:color w:val="000000"/>
                <w:kern w:val="0"/>
                <w:szCs w:val="21"/>
              </w:rPr>
              <w:t>益指标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提升服务能力</w:t>
            </w:r>
          </w:p>
        </w:tc>
        <w:tc>
          <w:tcPr>
            <w:tcW w:w="1335"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党办服务能力提升</w:t>
            </w:r>
          </w:p>
        </w:tc>
        <w:tc>
          <w:tcPr>
            <w:tcW w:w="1320"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2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78" w:type="dxa"/>
            <w:vMerge w:val="continue"/>
            <w:tcBorders>
              <w:left w:val="single" w:color="auto" w:sz="4" w:space="0"/>
              <w:right w:val="single" w:color="auto" w:sz="4" w:space="0"/>
            </w:tcBorders>
            <w:noWrap w:val="0"/>
            <w:vAlign w:val="center"/>
          </w:tcPr>
          <w:p>
            <w:pPr>
              <w:jc w:val="center"/>
              <w:rPr>
                <w:rFonts w:eastAsia="仿宋_GB2312"/>
                <w:color w:val="000000"/>
                <w:kern w:val="0"/>
                <w:szCs w:val="21"/>
              </w:rPr>
            </w:pPr>
          </w:p>
        </w:tc>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eastAsia="仿宋_GB2312"/>
                <w:color w:val="000000"/>
                <w:kern w:val="0"/>
                <w:szCs w:val="21"/>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生态效</w:t>
            </w:r>
          </w:p>
          <w:p>
            <w:pPr>
              <w:widowControl/>
              <w:jc w:val="center"/>
              <w:rPr>
                <w:rFonts w:eastAsia="仿宋_GB2312"/>
                <w:color w:val="000000"/>
                <w:kern w:val="0"/>
                <w:szCs w:val="21"/>
              </w:rPr>
            </w:pPr>
            <w:r>
              <w:rPr>
                <w:rFonts w:eastAsia="仿宋_GB2312"/>
                <w:color w:val="000000"/>
                <w:kern w:val="0"/>
                <w:szCs w:val="21"/>
              </w:rPr>
              <w:t>益指标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环境保护</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不违背生态环保政策</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900" w:type="dxa"/>
            <w:tcBorders>
              <w:top w:val="single" w:color="auto" w:sz="4" w:space="0"/>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10</w:t>
            </w:r>
          </w:p>
        </w:tc>
        <w:tc>
          <w:tcPr>
            <w:tcW w:w="1181" w:type="dxa"/>
            <w:tcBorders>
              <w:top w:val="single" w:color="auto" w:sz="4" w:space="0"/>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78" w:type="dxa"/>
            <w:vMerge w:val="continue"/>
            <w:tcBorders>
              <w:left w:val="single" w:color="auto" w:sz="4" w:space="0"/>
              <w:right w:val="single" w:color="auto" w:sz="4" w:space="0"/>
            </w:tcBorders>
            <w:noWrap w:val="0"/>
            <w:vAlign w:val="center"/>
          </w:tcPr>
          <w:p>
            <w:pPr>
              <w:widowControl/>
              <w:jc w:val="center"/>
              <w:rPr>
                <w:rFonts w:eastAsia="仿宋_GB2312"/>
                <w:color w:val="000000"/>
                <w:kern w:val="0"/>
                <w:szCs w:val="21"/>
              </w:rPr>
            </w:pPr>
          </w:p>
        </w:tc>
        <w:tc>
          <w:tcPr>
            <w:tcW w:w="81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p>
        </w:tc>
        <w:tc>
          <w:tcPr>
            <w:tcW w:w="13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可持续影响指标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促进全市经济良性发展</w:t>
            </w:r>
          </w:p>
        </w:tc>
        <w:tc>
          <w:tcPr>
            <w:tcW w:w="133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lang w:eastAsia="zh-CN"/>
              </w:rPr>
              <w:t>促进全市经济良性发展</w:t>
            </w:r>
          </w:p>
        </w:tc>
        <w:tc>
          <w:tcPr>
            <w:tcW w:w="13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c>
          <w:tcPr>
            <w:tcW w:w="7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10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9</w:t>
            </w:r>
          </w:p>
        </w:tc>
        <w:tc>
          <w:tcPr>
            <w:tcW w:w="118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1078" w:type="dxa"/>
            <w:vMerge w:val="continue"/>
            <w:tcBorders>
              <w:left w:val="single" w:color="auto" w:sz="4" w:space="0"/>
              <w:right w:val="single" w:color="auto" w:sz="4" w:space="0"/>
            </w:tcBorders>
            <w:noWrap w:val="0"/>
            <w:vAlign w:val="center"/>
          </w:tcPr>
          <w:p>
            <w:pPr>
              <w:jc w:val="left"/>
              <w:rPr>
                <w:rFonts w:eastAsia="仿宋_GB2312"/>
                <w:color w:val="000000"/>
                <w:kern w:val="0"/>
                <w:szCs w:val="21"/>
              </w:rPr>
            </w:pPr>
          </w:p>
        </w:tc>
        <w:tc>
          <w:tcPr>
            <w:tcW w:w="81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满意度指标</w:t>
            </w:r>
          </w:p>
          <w:p>
            <w:pPr>
              <w:widowControl/>
              <w:jc w:val="center"/>
              <w:rPr>
                <w:rFonts w:hint="eastAsia" w:eastAsia="仿宋_GB2312"/>
                <w:color w:val="000000"/>
                <w:kern w:val="0"/>
                <w:szCs w:val="21"/>
                <w:lang w:eastAsia="zh-CN"/>
              </w:rPr>
            </w:pPr>
            <w:r>
              <w:rPr>
                <w:rFonts w:hint="eastAsia" w:eastAsia="仿宋_GB2312"/>
                <w:color w:val="000000"/>
                <w:kern w:val="0"/>
                <w:szCs w:val="21"/>
                <w:lang w:val="en-US" w:eastAsia="zh-CN"/>
              </w:rPr>
              <w:t>(</w:t>
            </w:r>
            <w:r>
              <w:rPr>
                <w:rFonts w:eastAsia="仿宋_GB2312"/>
                <w:color w:val="000000"/>
                <w:kern w:val="0"/>
                <w:szCs w:val="21"/>
              </w:rPr>
              <w:t>10分</w:t>
            </w:r>
            <w:r>
              <w:rPr>
                <w:rFonts w:hint="eastAsia" w:eastAsia="仿宋_GB2312"/>
                <w:color w:val="000000"/>
                <w:kern w:val="0"/>
                <w:szCs w:val="21"/>
                <w:lang w:val="en-US" w:eastAsia="zh-CN"/>
              </w:rPr>
              <w:t>)</w:t>
            </w:r>
          </w:p>
        </w:tc>
        <w:tc>
          <w:tcPr>
            <w:tcW w:w="135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服务对象满意度指标</w:t>
            </w:r>
          </w:p>
        </w:tc>
        <w:tc>
          <w:tcPr>
            <w:tcW w:w="130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仿宋_GB2312"/>
                <w:color w:val="000000"/>
                <w:kern w:val="0"/>
                <w:szCs w:val="21"/>
              </w:rPr>
            </w:pPr>
            <w:r>
              <w:rPr>
                <w:rFonts w:hint="eastAsia" w:eastAsia="仿宋_GB2312"/>
                <w:color w:val="000000"/>
                <w:kern w:val="0"/>
                <w:szCs w:val="21"/>
              </w:rPr>
              <w:t>满意度</w:t>
            </w:r>
          </w:p>
        </w:tc>
        <w:tc>
          <w:tcPr>
            <w:tcW w:w="1335"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仿宋_GB2312" w:eastAsia="仿宋_GB2312"/>
                <w:color w:val="000000"/>
                <w:kern w:val="0"/>
                <w:szCs w:val="21"/>
              </w:rPr>
              <w:t>≥</w:t>
            </w:r>
            <w:r>
              <w:rPr>
                <w:rFonts w:hint="eastAsia" w:eastAsia="仿宋_GB2312"/>
                <w:color w:val="000000"/>
                <w:kern w:val="0"/>
                <w:szCs w:val="21"/>
              </w:rPr>
              <w:t>90</w:t>
            </w:r>
          </w:p>
        </w:tc>
        <w:tc>
          <w:tcPr>
            <w:tcW w:w="1320"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r>
              <w:rPr>
                <w:rFonts w:hint="eastAsia" w:ascii="仿宋_GB2312" w:eastAsia="仿宋_GB2312"/>
                <w:color w:val="000000"/>
                <w:kern w:val="0"/>
                <w:szCs w:val="21"/>
              </w:rPr>
              <w:t>≥</w:t>
            </w:r>
            <w:r>
              <w:rPr>
                <w:rFonts w:hint="eastAsia" w:eastAsia="仿宋_GB2312"/>
                <w:color w:val="000000"/>
                <w:kern w:val="0"/>
                <w:szCs w:val="21"/>
              </w:rPr>
              <w:t>90</w:t>
            </w:r>
          </w:p>
        </w:tc>
        <w:tc>
          <w:tcPr>
            <w:tcW w:w="72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10</w:t>
            </w:r>
          </w:p>
        </w:tc>
        <w:tc>
          <w:tcPr>
            <w:tcW w:w="900"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Cs w:val="21"/>
                <w:lang w:val="en-US" w:eastAsia="zh-CN"/>
              </w:rPr>
            </w:pPr>
            <w:r>
              <w:rPr>
                <w:rFonts w:hint="eastAsia" w:ascii="Times New Roman" w:hAnsi="Times New Roman" w:eastAsia="仿宋_GB2312" w:cs="Times New Roman"/>
                <w:color w:val="000000"/>
                <w:kern w:val="0"/>
                <w:szCs w:val="21"/>
                <w:lang w:val="en-US" w:eastAsia="zh-CN"/>
              </w:rPr>
              <w:t>9</w:t>
            </w:r>
          </w:p>
        </w:tc>
        <w:tc>
          <w:tcPr>
            <w:tcW w:w="118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r>
        <w:tblPrEx>
          <w:tblCellMar>
            <w:top w:w="0" w:type="dxa"/>
            <w:left w:w="108" w:type="dxa"/>
            <w:bottom w:w="0" w:type="dxa"/>
            <w:right w:w="108" w:type="dxa"/>
          </w:tblCellMar>
        </w:tblPrEx>
        <w:trPr>
          <w:trHeight w:val="340" w:hRule="atLeast"/>
          <w:jc w:val="center"/>
        </w:trPr>
        <w:tc>
          <w:tcPr>
            <w:tcW w:w="7198"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eastAsia="仿宋_GB2312"/>
                <w:color w:val="000000"/>
                <w:kern w:val="0"/>
                <w:szCs w:val="21"/>
              </w:rPr>
            </w:pPr>
            <w:r>
              <w:rPr>
                <w:rFonts w:eastAsia="仿宋_GB2312"/>
                <w:color w:val="000000"/>
                <w:kern w:val="0"/>
                <w:szCs w:val="21"/>
              </w:rPr>
              <w:t>总分</w:t>
            </w:r>
          </w:p>
        </w:tc>
        <w:tc>
          <w:tcPr>
            <w:tcW w:w="720" w:type="dxa"/>
            <w:tcBorders>
              <w:top w:val="nil"/>
              <w:left w:val="nil"/>
              <w:bottom w:val="single" w:color="auto" w:sz="4" w:space="0"/>
              <w:right w:val="single" w:color="auto" w:sz="4" w:space="0"/>
            </w:tcBorders>
            <w:noWrap w:val="0"/>
            <w:vAlign w:val="center"/>
          </w:tcPr>
          <w:p>
            <w:pPr>
              <w:widowControl/>
              <w:jc w:val="center"/>
              <w:rPr>
                <w:rFonts w:eastAsia="仿宋_GB2312"/>
                <w:color w:val="000000"/>
                <w:kern w:val="0"/>
                <w:szCs w:val="21"/>
              </w:rPr>
            </w:pPr>
            <w:r>
              <w:rPr>
                <w:rFonts w:eastAsia="仿宋_GB2312"/>
                <w:color w:val="000000"/>
                <w:kern w:val="0"/>
                <w:szCs w:val="21"/>
              </w:rPr>
              <w:t>100</w:t>
            </w:r>
          </w:p>
        </w:tc>
        <w:tc>
          <w:tcPr>
            <w:tcW w:w="900" w:type="dxa"/>
            <w:tcBorders>
              <w:top w:val="nil"/>
              <w:left w:val="nil"/>
              <w:bottom w:val="single" w:color="auto" w:sz="4" w:space="0"/>
              <w:right w:val="single" w:color="auto" w:sz="4" w:space="0"/>
            </w:tcBorders>
            <w:noWrap w:val="0"/>
            <w:vAlign w:val="center"/>
          </w:tcPr>
          <w:p>
            <w:pPr>
              <w:widowControl/>
              <w:jc w:val="center"/>
              <w:rPr>
                <w:rFonts w:hint="default" w:eastAsia="仿宋_GB2312"/>
                <w:color w:val="000000"/>
                <w:kern w:val="0"/>
                <w:szCs w:val="21"/>
                <w:lang w:val="en-US" w:eastAsia="zh-CN"/>
              </w:rPr>
            </w:pPr>
            <w:r>
              <w:rPr>
                <w:rFonts w:hint="eastAsia" w:eastAsia="仿宋_GB2312"/>
                <w:color w:val="000000"/>
                <w:kern w:val="0"/>
                <w:szCs w:val="21"/>
                <w:lang w:val="en-US" w:eastAsia="zh-CN"/>
              </w:rPr>
              <w:t>96</w:t>
            </w:r>
          </w:p>
        </w:tc>
        <w:tc>
          <w:tcPr>
            <w:tcW w:w="1181" w:type="dxa"/>
            <w:tcBorders>
              <w:top w:val="nil"/>
              <w:left w:val="nil"/>
              <w:bottom w:val="single" w:color="auto" w:sz="4" w:space="0"/>
              <w:right w:val="single" w:color="auto" w:sz="4" w:space="0"/>
            </w:tcBorders>
            <w:noWrap w:val="0"/>
            <w:vAlign w:val="center"/>
          </w:tcPr>
          <w:p>
            <w:pPr>
              <w:widowControl/>
              <w:jc w:val="left"/>
              <w:rPr>
                <w:rFonts w:eastAsia="仿宋_GB2312"/>
                <w:color w:val="000000"/>
                <w:kern w:val="0"/>
                <w:szCs w:val="21"/>
              </w:rPr>
            </w:pPr>
            <w:r>
              <w:rPr>
                <w:rFonts w:eastAsia="仿宋_GB2312"/>
                <w:color w:val="000000"/>
                <w:kern w:val="0"/>
                <w:szCs w:val="21"/>
              </w:rPr>
              <w:t>　</w:t>
            </w:r>
          </w:p>
        </w:tc>
      </w:tr>
    </w:tbl>
    <w:p>
      <w:pPr>
        <w:spacing w:before="120" w:beforeLines="50"/>
        <w:jc w:val="left"/>
        <w:rPr>
          <w:sz w:val="20"/>
          <w:szCs w:val="22"/>
        </w:rPr>
      </w:pPr>
      <w:r>
        <w:rPr>
          <w:rFonts w:eastAsia="仿宋_GB2312"/>
          <w:sz w:val="22"/>
          <w:szCs w:val="22"/>
        </w:rPr>
        <w:t>填表人：</w:t>
      </w:r>
      <w:r>
        <w:rPr>
          <w:rFonts w:hint="eastAsia" w:eastAsia="仿宋_GB2312"/>
          <w:sz w:val="22"/>
          <w:szCs w:val="22"/>
          <w:lang w:eastAsia="zh-CN"/>
        </w:rPr>
        <w:t>彭媛媛</w:t>
      </w:r>
      <w:r>
        <w:rPr>
          <w:rFonts w:hint="eastAsia" w:eastAsia="仿宋_GB2312"/>
          <w:sz w:val="22"/>
          <w:szCs w:val="22"/>
          <w:lang w:val="en-US" w:eastAsia="zh-CN"/>
        </w:rPr>
        <w:t xml:space="preserve"> </w:t>
      </w:r>
      <w:r>
        <w:rPr>
          <w:rFonts w:eastAsia="仿宋_GB2312"/>
          <w:sz w:val="22"/>
          <w:szCs w:val="22"/>
        </w:rPr>
        <w:t>填报日期</w:t>
      </w:r>
      <w:r>
        <w:rPr>
          <w:rFonts w:hint="eastAsia" w:eastAsia="仿宋_GB2312"/>
          <w:sz w:val="22"/>
          <w:szCs w:val="22"/>
          <w:lang w:val="en-US" w:eastAsia="zh-CN"/>
        </w:rPr>
        <w:t xml:space="preserve">2022.3.28  </w:t>
      </w:r>
      <w:r>
        <w:rPr>
          <w:rFonts w:eastAsia="仿宋_GB2312"/>
          <w:sz w:val="22"/>
          <w:szCs w:val="22"/>
        </w:rPr>
        <w:t>联系电话：</w:t>
      </w:r>
      <w:r>
        <w:rPr>
          <w:rFonts w:hint="eastAsia" w:eastAsia="仿宋_GB2312"/>
          <w:sz w:val="22"/>
          <w:szCs w:val="22"/>
          <w:lang w:val="en-US" w:eastAsia="zh-CN"/>
        </w:rPr>
        <w:t>191</w:t>
      </w:r>
      <w:bookmarkStart w:id="0" w:name="_GoBack"/>
      <w:bookmarkEnd w:id="0"/>
      <w:r>
        <w:rPr>
          <w:rFonts w:hint="eastAsia" w:eastAsia="仿宋_GB2312"/>
          <w:sz w:val="22"/>
          <w:szCs w:val="22"/>
          <w:lang w:val="en-US" w:eastAsia="zh-CN"/>
        </w:rPr>
        <w:t>73677839</w:t>
      </w:r>
      <w:r>
        <w:rPr>
          <w:rFonts w:eastAsia="仿宋_GB2312"/>
          <w:sz w:val="22"/>
          <w:szCs w:val="22"/>
        </w:rPr>
        <w:t xml:space="preserve">  单位负责人签字：</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C343492"/>
    <w:rsid w:val="0CFE4450"/>
    <w:rsid w:val="14A337F5"/>
    <w:rsid w:val="195F2D42"/>
    <w:rsid w:val="27117D71"/>
    <w:rsid w:val="2D150B2D"/>
    <w:rsid w:val="2E4B2366"/>
    <w:rsid w:val="305B5409"/>
    <w:rsid w:val="389B73A2"/>
    <w:rsid w:val="3C343492"/>
    <w:rsid w:val="487D713D"/>
    <w:rsid w:val="52E923B8"/>
    <w:rsid w:val="739D5DBC"/>
    <w:rsid w:val="797B3499"/>
    <w:rsid w:val="7CE21E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772</Words>
  <Characters>787</Characters>
  <Lines>0</Lines>
  <Paragraphs>0</Paragraphs>
  <TotalTime>5</TotalTime>
  <ScaleCrop>false</ScaleCrop>
  <LinksUpToDate>false</LinksUpToDate>
  <CharactersWithSpaces>942</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2021-03-15T06:51:00Z</dcterms:created>
  <dc:creator>Administrator</dc:creator>
  <cp:lastModifiedBy>Y~maybe~Y</cp:lastModifiedBy>
  <dcterms:modified xsi:type="dcterms:W3CDTF">2022-03-29T08:41:45Z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C6CD5B2C6D5245CBB84BC4F80A5E1BC4</vt:lpwstr>
  </property>
</Properties>
</file>