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Times New Roman" w:hAnsi="Times New Roman" w:eastAsia="方正小标宋_GBK" w:cs="Times New Roman"/>
          <w:sz w:val="36"/>
          <w:szCs w:val="36"/>
          <w:lang w:val="en-US" w:eastAsia="zh-CN"/>
        </w:rPr>
      </w:pPr>
      <w:r>
        <w:rPr>
          <w:rFonts w:hint="eastAsia" w:eastAsia="方正小标宋_GBK"/>
          <w:sz w:val="36"/>
          <w:szCs w:val="36"/>
          <w:lang w:val="en-US" w:eastAsia="zh-CN"/>
        </w:rPr>
        <w:t>接待服务中心单位</w:t>
      </w:r>
      <w:r>
        <w:rPr>
          <w:rFonts w:hint="eastAsia" w:ascii="Times New Roman" w:hAnsi="Times New Roman" w:eastAsia="方正小标宋_GBK" w:cs="Times New Roman"/>
          <w:sz w:val="36"/>
          <w:szCs w:val="36"/>
          <w:lang w:val="en-US" w:eastAsia="zh-CN"/>
        </w:rPr>
        <w:t>公务用车运行维护费项目</w:t>
      </w:r>
    </w:p>
    <w:p>
      <w:pPr>
        <w:spacing w:line="600" w:lineRule="exact"/>
        <w:jc w:val="center"/>
        <w:rPr>
          <w:rFonts w:eastAsia="方正小标宋_GBK"/>
          <w:sz w:val="36"/>
          <w:szCs w:val="36"/>
        </w:rPr>
      </w:pPr>
      <w:r>
        <w:rPr>
          <w:rFonts w:hint="eastAsia" w:ascii="Times New Roman" w:hAnsi="Times New Roman" w:eastAsia="方正小标宋_GBK" w:cs="Times New Roman"/>
          <w:sz w:val="36"/>
          <w:szCs w:val="36"/>
          <w:lang w:val="en-US" w:eastAsia="zh-CN"/>
        </w:rPr>
        <w:t>2021</w:t>
      </w:r>
      <w:r>
        <w:rPr>
          <w:rFonts w:hint="eastAsia" w:eastAsia="方正小标宋_GBK"/>
          <w:sz w:val="36"/>
          <w:szCs w:val="36"/>
          <w:lang w:val="en-US" w:eastAsia="zh-CN"/>
        </w:rPr>
        <w:t>年度</w:t>
      </w:r>
      <w:r>
        <w:rPr>
          <w:rFonts w:hint="eastAsia" w:eastAsia="方正小标宋_GBK"/>
          <w:sz w:val="36"/>
          <w:szCs w:val="36"/>
          <w:lang w:eastAsia="zh-CN"/>
        </w:rPr>
        <w:t>项目</w:t>
      </w:r>
      <w:r>
        <w:rPr>
          <w:rFonts w:eastAsia="方正小标宋_GBK"/>
          <w:sz w:val="36"/>
          <w:szCs w:val="36"/>
        </w:rPr>
        <w:t>支出绩效报告</w:t>
      </w:r>
    </w:p>
    <w:p>
      <w:pPr>
        <w:adjustRightInd w:val="0"/>
        <w:spacing w:line="600" w:lineRule="exact"/>
        <w:ind w:right="641"/>
        <w:rPr>
          <w:rFonts w:eastAsia="仿宋_GB2312"/>
          <w:sz w:val="32"/>
          <w:szCs w:val="32"/>
        </w:rPr>
      </w:pPr>
    </w:p>
    <w:p>
      <w:pPr>
        <w:adjustRightInd w:val="0"/>
        <w:snapToGrid w:val="0"/>
        <w:spacing w:line="600" w:lineRule="exact"/>
        <w:ind w:firstLine="640" w:firstLineChars="200"/>
        <w:rPr>
          <w:rFonts w:eastAsia="黑体"/>
          <w:sz w:val="32"/>
          <w:szCs w:val="32"/>
        </w:rPr>
      </w:pPr>
      <w:r>
        <w:rPr>
          <w:rFonts w:eastAsia="黑体"/>
          <w:sz w:val="32"/>
          <w:szCs w:val="32"/>
        </w:rPr>
        <w:t>一、</w:t>
      </w:r>
      <w:r>
        <w:rPr>
          <w:rFonts w:hint="eastAsia" w:eastAsia="黑体"/>
          <w:sz w:val="32"/>
          <w:szCs w:val="32"/>
          <w:lang w:eastAsia="zh-CN"/>
        </w:rPr>
        <w:t>项目</w:t>
      </w:r>
      <w:r>
        <w:rPr>
          <w:rFonts w:eastAsia="黑体"/>
          <w:sz w:val="32"/>
          <w:szCs w:val="32"/>
        </w:rPr>
        <w:t>支出概况</w:t>
      </w:r>
    </w:p>
    <w:p>
      <w:pPr>
        <w:keepNext w:val="0"/>
        <w:keepLines w:val="0"/>
        <w:pageBreakBefore w:val="0"/>
        <w:widowControl w:val="0"/>
        <w:kinsoku/>
        <w:wordWrap/>
        <w:overflowPunct/>
        <w:topLinePunct w:val="0"/>
        <w:autoSpaceDE/>
        <w:autoSpaceDN/>
        <w:bidi w:val="0"/>
        <w:adjustRightInd/>
        <w:snapToGrid w:val="0"/>
        <w:spacing w:line="580" w:lineRule="exact"/>
        <w:ind w:firstLine="640" w:firstLineChars="200"/>
        <w:textAlignment w:val="auto"/>
        <w:rPr>
          <w:rFonts w:eastAsia="仿宋_GB2312"/>
          <w:sz w:val="32"/>
          <w:szCs w:val="32"/>
        </w:rPr>
      </w:pPr>
      <w:r>
        <w:rPr>
          <w:rFonts w:eastAsia="仿宋_GB2312"/>
          <w:sz w:val="32"/>
          <w:szCs w:val="32"/>
        </w:rPr>
        <w:t>（一）项目实施单位基本情况。</w:t>
      </w:r>
      <w:r>
        <w:rPr>
          <w:rFonts w:hint="eastAsia" w:ascii="仿宋_GB2312" w:hAnsi="Times New Roman" w:eastAsia="仿宋_GB2312"/>
          <w:sz w:val="32"/>
          <w:szCs w:val="32"/>
        </w:rPr>
        <w:t>津市市接待服务中心</w:t>
      </w:r>
      <w:r>
        <w:rPr>
          <w:rFonts w:ascii="Times New Roman" w:hAnsi="Times New Roman" w:eastAsia="仿宋_GB2312"/>
          <w:kern w:val="0"/>
          <w:sz w:val="32"/>
          <w:szCs w:val="32"/>
        </w:rPr>
        <w:t>为</w:t>
      </w:r>
      <w:r>
        <w:rPr>
          <w:rFonts w:hint="eastAsia" w:ascii="仿宋_GB2312" w:hAnsi="Times New Roman" w:eastAsia="仿宋_GB2312"/>
          <w:sz w:val="32"/>
          <w:szCs w:val="32"/>
        </w:rPr>
        <w:t>市委直属的正科级公益一类事业单位。</w:t>
      </w:r>
      <w:r>
        <w:rPr>
          <w:rFonts w:ascii="Times New Roman" w:hAnsi="Times New Roman" w:eastAsia="仿宋_GB2312"/>
          <w:kern w:val="0"/>
          <w:sz w:val="32"/>
          <w:szCs w:val="32"/>
        </w:rPr>
        <w:t>根据编委核定，内设机构</w:t>
      </w:r>
      <w:r>
        <w:rPr>
          <w:rFonts w:hint="eastAsia" w:ascii="Times New Roman" w:hAnsi="Times New Roman" w:eastAsia="仿宋_GB2312"/>
          <w:kern w:val="0"/>
          <w:sz w:val="32"/>
          <w:szCs w:val="32"/>
          <w:lang w:val="en-US" w:eastAsia="zh-CN"/>
        </w:rPr>
        <w:t>2</w:t>
      </w:r>
      <w:r>
        <w:rPr>
          <w:rFonts w:ascii="Times New Roman" w:hAnsi="Times New Roman" w:eastAsia="仿宋_GB2312"/>
          <w:kern w:val="0"/>
          <w:sz w:val="32"/>
          <w:szCs w:val="32"/>
        </w:rPr>
        <w:t>个，办公室、</w:t>
      </w:r>
      <w:r>
        <w:rPr>
          <w:rFonts w:hint="eastAsia" w:ascii="仿宋_GB2312" w:hAnsi="Times New Roman" w:eastAsia="仿宋_GB2312"/>
          <w:sz w:val="32"/>
          <w:szCs w:val="32"/>
        </w:rPr>
        <w:t>接待室</w:t>
      </w:r>
      <w:r>
        <w:rPr>
          <w:rFonts w:ascii="Times New Roman" w:hAnsi="Times New Roman" w:eastAsia="仿宋_GB2312"/>
          <w:kern w:val="0"/>
          <w:sz w:val="32"/>
          <w:szCs w:val="32"/>
        </w:rPr>
        <w:t>，</w:t>
      </w:r>
      <w:r>
        <w:rPr>
          <w:rFonts w:hint="eastAsia" w:ascii="Times New Roman" w:hAnsi="Times New Roman" w:eastAsia="仿宋_GB2312"/>
          <w:kern w:val="0"/>
          <w:sz w:val="32"/>
          <w:szCs w:val="32"/>
          <w:lang w:val="en-US" w:eastAsia="zh-CN"/>
        </w:rPr>
        <w:t>下设1个二级</w:t>
      </w:r>
      <w:r>
        <w:rPr>
          <w:rFonts w:ascii="Times New Roman" w:hAnsi="Times New Roman" w:eastAsia="仿宋_GB2312"/>
          <w:kern w:val="0"/>
          <w:sz w:val="32"/>
          <w:szCs w:val="32"/>
        </w:rPr>
        <w:t>机构。</w:t>
      </w:r>
      <w:r>
        <w:rPr>
          <w:rFonts w:eastAsia="仿宋_GB2312"/>
          <w:sz w:val="32"/>
          <w:szCs w:val="32"/>
        </w:rPr>
        <w:t>市</w:t>
      </w:r>
      <w:r>
        <w:rPr>
          <w:rFonts w:hint="eastAsia" w:eastAsia="仿宋_GB2312"/>
          <w:sz w:val="32"/>
          <w:szCs w:val="32"/>
          <w:lang w:val="en-US" w:eastAsia="zh-CN"/>
        </w:rPr>
        <w:t>接待服务中心核定事业</w:t>
      </w:r>
      <w:r>
        <w:rPr>
          <w:rFonts w:eastAsia="仿宋_GB2312"/>
          <w:sz w:val="32"/>
          <w:szCs w:val="32"/>
        </w:rPr>
        <w:t>编制6名</w:t>
      </w:r>
      <w:r>
        <w:rPr>
          <w:rFonts w:hint="eastAsia" w:eastAsia="仿宋_GB2312"/>
          <w:sz w:val="32"/>
          <w:szCs w:val="32"/>
          <w:lang w:eastAsia="zh-CN"/>
        </w:rPr>
        <w:t>，</w:t>
      </w:r>
      <w:r>
        <w:rPr>
          <w:rFonts w:hint="eastAsia" w:ascii="Times New Roman" w:hAnsi="Times New Roman" w:eastAsia="仿宋_GB2312"/>
          <w:kern w:val="0"/>
          <w:sz w:val="32"/>
          <w:szCs w:val="32"/>
          <w:lang w:val="en-US" w:eastAsia="zh-CN"/>
        </w:rPr>
        <w:t>下设二级</w:t>
      </w:r>
      <w:r>
        <w:rPr>
          <w:rFonts w:ascii="Times New Roman" w:hAnsi="Times New Roman" w:eastAsia="仿宋_GB2312"/>
          <w:kern w:val="0"/>
          <w:sz w:val="32"/>
          <w:szCs w:val="32"/>
        </w:rPr>
        <w:t>机构</w:t>
      </w:r>
      <w:r>
        <w:rPr>
          <w:rFonts w:hint="eastAsia" w:eastAsia="仿宋_GB2312"/>
          <w:sz w:val="32"/>
          <w:szCs w:val="32"/>
          <w:lang w:val="en-US" w:eastAsia="zh-CN"/>
        </w:rPr>
        <w:t>核定事业</w:t>
      </w:r>
      <w:r>
        <w:rPr>
          <w:rFonts w:eastAsia="仿宋_GB2312"/>
          <w:sz w:val="32"/>
          <w:szCs w:val="32"/>
        </w:rPr>
        <w:t>编制</w:t>
      </w:r>
      <w:r>
        <w:rPr>
          <w:rFonts w:hint="eastAsia" w:eastAsia="仿宋_GB2312"/>
          <w:sz w:val="32"/>
          <w:szCs w:val="32"/>
          <w:lang w:val="en-US" w:eastAsia="zh-CN"/>
        </w:rPr>
        <w:t>2</w:t>
      </w:r>
      <w:r>
        <w:rPr>
          <w:rFonts w:eastAsia="仿宋_GB2312"/>
          <w:sz w:val="32"/>
          <w:szCs w:val="32"/>
        </w:rPr>
        <w:t>名。</w:t>
      </w:r>
    </w:p>
    <w:p>
      <w:pPr>
        <w:adjustRightInd w:val="0"/>
        <w:snapToGrid w:val="0"/>
        <w:spacing w:line="600" w:lineRule="exact"/>
        <w:ind w:firstLine="640" w:firstLineChars="200"/>
        <w:rPr>
          <w:rFonts w:hint="default" w:eastAsia="仿宋_GB2312"/>
          <w:sz w:val="32"/>
          <w:szCs w:val="32"/>
          <w:lang w:val="en-US" w:eastAsia="zh-CN"/>
        </w:rPr>
      </w:pPr>
      <w:r>
        <w:rPr>
          <w:rFonts w:eastAsia="仿宋_GB2312"/>
          <w:sz w:val="32"/>
          <w:szCs w:val="32"/>
        </w:rPr>
        <w:t>（二）</w:t>
      </w:r>
      <w:r>
        <w:rPr>
          <w:rFonts w:hint="eastAsia" w:eastAsia="仿宋_GB2312"/>
          <w:sz w:val="32"/>
          <w:szCs w:val="32"/>
          <w:lang w:eastAsia="zh-CN"/>
        </w:rPr>
        <w:t>项目</w:t>
      </w:r>
      <w:r>
        <w:rPr>
          <w:rFonts w:eastAsia="仿宋_GB2312"/>
          <w:sz w:val="32"/>
          <w:szCs w:val="32"/>
        </w:rPr>
        <w:t>基本情况包括</w:t>
      </w:r>
      <w:r>
        <w:rPr>
          <w:rFonts w:hint="eastAsia" w:eastAsia="仿宋_GB2312"/>
          <w:sz w:val="32"/>
          <w:szCs w:val="32"/>
          <w:lang w:eastAsia="zh-CN"/>
        </w:rPr>
        <w:t>项目</w:t>
      </w:r>
      <w:r>
        <w:rPr>
          <w:rFonts w:eastAsia="仿宋_GB2312"/>
          <w:sz w:val="32"/>
          <w:szCs w:val="32"/>
        </w:rPr>
        <w:t>基本性质、用途和主要内容、涉及范围等。</w:t>
      </w:r>
      <w:r>
        <w:rPr>
          <w:rFonts w:hint="eastAsia" w:eastAsia="仿宋_GB2312"/>
          <w:sz w:val="32"/>
          <w:szCs w:val="32"/>
        </w:rPr>
        <w:t>公务用车运行维护费</w:t>
      </w:r>
      <w:r>
        <w:rPr>
          <w:rFonts w:hint="eastAsia" w:eastAsia="仿宋_GB2312"/>
          <w:sz w:val="32"/>
          <w:szCs w:val="32"/>
          <w:lang w:eastAsia="zh-CN"/>
        </w:rPr>
        <w:t>，</w:t>
      </w:r>
      <w:r>
        <w:rPr>
          <w:rFonts w:hint="eastAsia" w:eastAsia="仿宋_GB2312"/>
          <w:sz w:val="32"/>
          <w:szCs w:val="32"/>
          <w:lang w:val="en-US" w:eastAsia="zh-CN"/>
        </w:rPr>
        <w:t>主要用于保障单位公务用车正常运行和公务出行，确保公务用车定点维修，集中上保险等。</w:t>
      </w:r>
    </w:p>
    <w:p>
      <w:pPr>
        <w:adjustRightInd w:val="0"/>
        <w:snapToGrid w:val="0"/>
        <w:spacing w:line="600" w:lineRule="exact"/>
        <w:ind w:firstLine="640" w:firstLineChars="200"/>
        <w:rPr>
          <w:rFonts w:eastAsia="仿宋_GB2312"/>
          <w:sz w:val="32"/>
          <w:szCs w:val="32"/>
        </w:rPr>
      </w:pPr>
      <w:r>
        <w:rPr>
          <w:rFonts w:eastAsia="仿宋_GB2312"/>
          <w:sz w:val="32"/>
          <w:szCs w:val="32"/>
        </w:rPr>
        <w:t>（三）</w:t>
      </w:r>
      <w:r>
        <w:rPr>
          <w:rFonts w:hint="eastAsia" w:eastAsia="仿宋_GB2312"/>
          <w:sz w:val="32"/>
          <w:szCs w:val="32"/>
          <w:lang w:eastAsia="zh-CN"/>
        </w:rPr>
        <w:t>项目</w:t>
      </w:r>
      <w:r>
        <w:rPr>
          <w:rFonts w:eastAsia="仿宋_GB2312"/>
          <w:sz w:val="32"/>
          <w:szCs w:val="32"/>
        </w:rPr>
        <w:t>绩效目标，包括总体目标和年度目标。</w:t>
      </w:r>
      <w:r>
        <w:rPr>
          <w:rFonts w:hint="eastAsia" w:eastAsia="仿宋_GB2312"/>
          <w:sz w:val="32"/>
          <w:szCs w:val="32"/>
        </w:rPr>
        <w:t>保障单位公务用车正常运行和公务出行</w:t>
      </w:r>
      <w:r>
        <w:rPr>
          <w:rFonts w:hint="eastAsia" w:eastAsia="仿宋_GB2312"/>
          <w:sz w:val="32"/>
          <w:szCs w:val="32"/>
          <w:lang w:eastAsia="zh-CN"/>
        </w:rPr>
        <w:t>，</w:t>
      </w:r>
      <w:r>
        <w:rPr>
          <w:rFonts w:hint="eastAsia" w:eastAsia="仿宋_GB2312"/>
          <w:sz w:val="32"/>
          <w:szCs w:val="32"/>
        </w:rPr>
        <w:t>确保接待工作顺利完成。</w:t>
      </w:r>
    </w:p>
    <w:p>
      <w:pPr>
        <w:adjustRightInd w:val="0"/>
        <w:snapToGrid w:val="0"/>
        <w:spacing w:line="600" w:lineRule="exact"/>
        <w:ind w:firstLine="640" w:firstLineChars="200"/>
        <w:rPr>
          <w:rFonts w:eastAsia="黑体"/>
          <w:sz w:val="32"/>
          <w:szCs w:val="32"/>
        </w:rPr>
      </w:pPr>
      <w:r>
        <w:rPr>
          <w:rFonts w:eastAsia="黑体"/>
          <w:sz w:val="32"/>
          <w:szCs w:val="32"/>
        </w:rPr>
        <w:t>二、</w:t>
      </w:r>
      <w:r>
        <w:rPr>
          <w:rFonts w:hint="eastAsia" w:eastAsia="黑体"/>
          <w:sz w:val="32"/>
          <w:szCs w:val="32"/>
          <w:lang w:eastAsia="zh-CN"/>
        </w:rPr>
        <w:t>项目</w:t>
      </w:r>
      <w:r>
        <w:rPr>
          <w:rFonts w:eastAsia="黑体"/>
          <w:sz w:val="32"/>
          <w:szCs w:val="32"/>
        </w:rPr>
        <w:t>资金使用及管理情况</w:t>
      </w:r>
    </w:p>
    <w:p>
      <w:pPr>
        <w:adjustRightInd w:val="0"/>
        <w:snapToGrid w:val="0"/>
        <w:spacing w:line="600" w:lineRule="exact"/>
        <w:ind w:firstLine="640" w:firstLineChars="200"/>
        <w:rPr>
          <w:rFonts w:eastAsia="仿宋_GB2312"/>
          <w:sz w:val="32"/>
          <w:szCs w:val="32"/>
        </w:rPr>
      </w:pPr>
      <w:r>
        <w:rPr>
          <w:rFonts w:eastAsia="仿宋_GB2312"/>
          <w:sz w:val="32"/>
          <w:szCs w:val="32"/>
        </w:rPr>
        <w:t>（一）</w:t>
      </w:r>
      <w:r>
        <w:rPr>
          <w:rFonts w:hint="eastAsia" w:eastAsia="仿宋_GB2312"/>
          <w:sz w:val="32"/>
          <w:szCs w:val="32"/>
          <w:lang w:eastAsia="zh-CN"/>
        </w:rPr>
        <w:t>项目</w:t>
      </w:r>
      <w:r>
        <w:rPr>
          <w:rFonts w:eastAsia="仿宋_GB2312"/>
          <w:sz w:val="32"/>
          <w:szCs w:val="32"/>
        </w:rPr>
        <w:t>资金及自筹资金的安排落实、总投入等情况。</w:t>
      </w:r>
      <w:r>
        <w:rPr>
          <w:rFonts w:hint="eastAsia" w:eastAsia="仿宋_GB2312"/>
          <w:sz w:val="32"/>
          <w:szCs w:val="32"/>
          <w:lang w:val="en-US" w:eastAsia="zh-CN"/>
        </w:rPr>
        <w:t>该项目预算资金8万元，保障单位公务用车正常运行和公务出行</w:t>
      </w:r>
      <w:r>
        <w:rPr>
          <w:rFonts w:hint="eastAsia" w:eastAsia="仿宋_GB2312"/>
          <w:sz w:val="32"/>
          <w:szCs w:val="32"/>
          <w:lang w:eastAsia="zh-CN"/>
        </w:rPr>
        <w:t>，</w:t>
      </w:r>
      <w:r>
        <w:rPr>
          <w:rFonts w:hint="eastAsia" w:eastAsia="仿宋_GB2312"/>
          <w:sz w:val="32"/>
          <w:szCs w:val="32"/>
        </w:rPr>
        <w:t>确保接待工作顺利完成。</w:t>
      </w:r>
    </w:p>
    <w:p>
      <w:pPr>
        <w:adjustRightInd w:val="0"/>
        <w:snapToGrid w:val="0"/>
        <w:spacing w:line="600" w:lineRule="exact"/>
        <w:ind w:firstLine="640" w:firstLineChars="200"/>
        <w:rPr>
          <w:rFonts w:hint="default" w:eastAsia="仿宋_GB2312"/>
          <w:sz w:val="32"/>
          <w:szCs w:val="32"/>
        </w:rPr>
      </w:pPr>
      <w:r>
        <w:rPr>
          <w:rFonts w:eastAsia="仿宋_GB2312"/>
          <w:sz w:val="32"/>
          <w:szCs w:val="32"/>
        </w:rPr>
        <w:t>（二）</w:t>
      </w:r>
      <w:r>
        <w:rPr>
          <w:rFonts w:hint="eastAsia" w:eastAsia="仿宋_GB2312"/>
          <w:sz w:val="32"/>
          <w:szCs w:val="32"/>
          <w:lang w:eastAsia="zh-CN"/>
        </w:rPr>
        <w:t>项目</w:t>
      </w:r>
      <w:r>
        <w:rPr>
          <w:rFonts w:eastAsia="仿宋_GB2312"/>
          <w:sz w:val="32"/>
          <w:szCs w:val="32"/>
        </w:rPr>
        <w:t>资金实际使用情况。</w:t>
      </w:r>
      <w:r>
        <w:rPr>
          <w:rFonts w:hint="eastAsia" w:eastAsia="仿宋_GB2312"/>
          <w:sz w:val="32"/>
          <w:szCs w:val="32"/>
          <w:lang w:val="en-US" w:eastAsia="zh-CN"/>
        </w:rPr>
        <w:t>该项目</w:t>
      </w:r>
      <w:r>
        <w:rPr>
          <w:rFonts w:hint="default" w:eastAsia="仿宋_GB2312"/>
          <w:sz w:val="32"/>
          <w:szCs w:val="32"/>
          <w:lang w:val="en-US" w:eastAsia="zh-CN"/>
        </w:rPr>
        <w:t>实际支出</w:t>
      </w:r>
      <w:r>
        <w:rPr>
          <w:rFonts w:hint="eastAsia" w:eastAsia="仿宋_GB2312"/>
          <w:sz w:val="32"/>
          <w:szCs w:val="32"/>
          <w:lang w:val="en-US" w:eastAsia="zh-CN"/>
        </w:rPr>
        <w:t>2.67</w:t>
      </w:r>
      <w:r>
        <w:rPr>
          <w:rFonts w:hint="default" w:eastAsia="仿宋_GB2312"/>
          <w:sz w:val="32"/>
          <w:szCs w:val="32"/>
          <w:lang w:val="en-US" w:eastAsia="zh-CN"/>
        </w:rPr>
        <w:t>万元，</w:t>
      </w:r>
      <w:r>
        <w:rPr>
          <w:rFonts w:hint="eastAsia" w:eastAsia="仿宋_GB2312"/>
          <w:sz w:val="32"/>
          <w:szCs w:val="32"/>
          <w:lang w:val="en-US" w:eastAsia="zh-CN"/>
        </w:rPr>
        <w:t>主要用于公务用车定点维修，集中上保险等。</w:t>
      </w:r>
    </w:p>
    <w:p>
      <w:pPr>
        <w:adjustRightInd w:val="0"/>
        <w:snapToGrid w:val="0"/>
        <w:spacing w:line="600" w:lineRule="exact"/>
        <w:ind w:firstLine="640" w:firstLineChars="200"/>
        <w:rPr>
          <w:rFonts w:hint="eastAsia" w:eastAsia="仿宋_GB2312"/>
          <w:sz w:val="32"/>
          <w:szCs w:val="32"/>
        </w:rPr>
      </w:pPr>
      <w:r>
        <w:rPr>
          <w:rFonts w:hint="default" w:eastAsia="仿宋_GB2312"/>
          <w:sz w:val="32"/>
          <w:szCs w:val="32"/>
        </w:rPr>
        <w:t>（三）</w:t>
      </w:r>
      <w:r>
        <w:rPr>
          <w:rFonts w:hint="eastAsia" w:eastAsia="仿宋_GB2312"/>
          <w:sz w:val="32"/>
          <w:szCs w:val="32"/>
          <w:lang w:eastAsia="zh-CN"/>
        </w:rPr>
        <w:t>项目</w:t>
      </w:r>
      <w:r>
        <w:rPr>
          <w:rFonts w:hint="default" w:eastAsia="仿宋_GB2312"/>
          <w:sz w:val="32"/>
          <w:szCs w:val="32"/>
        </w:rPr>
        <w:t>资金管理情况分析，主要包括管理制度、办法的制订及执行情况。我</w:t>
      </w:r>
      <w:r>
        <w:rPr>
          <w:rFonts w:hint="eastAsia" w:eastAsia="仿宋_GB2312"/>
          <w:sz w:val="32"/>
          <w:szCs w:val="32"/>
          <w:lang w:val="en-US" w:eastAsia="zh-CN"/>
        </w:rPr>
        <w:t>中心</w:t>
      </w:r>
      <w:r>
        <w:rPr>
          <w:rFonts w:hint="default" w:eastAsia="仿宋_GB2312"/>
          <w:sz w:val="32"/>
          <w:szCs w:val="32"/>
        </w:rPr>
        <w:t>严格按照财务制度规定，</w:t>
      </w:r>
      <w:r>
        <w:rPr>
          <w:rFonts w:hint="eastAsia" w:eastAsia="仿宋_GB2312"/>
          <w:sz w:val="32"/>
          <w:szCs w:val="32"/>
          <w:lang w:eastAsia="zh-CN"/>
        </w:rPr>
        <w:t>制定了《财务管理制度》，制度符合相关财务制度的规定，设计合理并得到有效执行。该项目资金使用基本符合国家财经法规和财务管理制度以及有关专项资金管理办法的规定，符合项目预算批复的用途，项目资金专项管理，资金的拨付有完整的审批程序和手续，未发现截留、挤占、虚列支出等情况。</w:t>
      </w:r>
    </w:p>
    <w:p>
      <w:pPr>
        <w:adjustRightInd w:val="0"/>
        <w:snapToGrid w:val="0"/>
        <w:spacing w:line="600" w:lineRule="exact"/>
        <w:ind w:firstLine="640" w:firstLineChars="200"/>
        <w:rPr>
          <w:rFonts w:eastAsia="黑体"/>
          <w:sz w:val="32"/>
          <w:szCs w:val="32"/>
        </w:rPr>
      </w:pPr>
      <w:r>
        <w:rPr>
          <w:rFonts w:eastAsia="黑体"/>
          <w:sz w:val="32"/>
          <w:szCs w:val="32"/>
        </w:rPr>
        <w:t>三、</w:t>
      </w:r>
      <w:r>
        <w:rPr>
          <w:rFonts w:hint="eastAsia" w:eastAsia="黑体"/>
          <w:sz w:val="32"/>
          <w:szCs w:val="32"/>
          <w:lang w:eastAsia="zh-CN"/>
        </w:rPr>
        <w:t>项目</w:t>
      </w:r>
      <w:r>
        <w:rPr>
          <w:rFonts w:eastAsia="黑体"/>
          <w:sz w:val="32"/>
          <w:szCs w:val="32"/>
        </w:rPr>
        <w:t>支出组织实施情况</w:t>
      </w:r>
    </w:p>
    <w:p>
      <w:pPr>
        <w:adjustRightInd w:val="0"/>
        <w:snapToGrid w:val="0"/>
        <w:spacing w:line="600" w:lineRule="exact"/>
        <w:ind w:firstLine="640" w:firstLineChars="200"/>
        <w:rPr>
          <w:rFonts w:hint="default" w:eastAsia="仿宋_GB2312"/>
          <w:sz w:val="32"/>
          <w:szCs w:val="32"/>
          <w:lang w:val="en-US" w:eastAsia="zh-CN"/>
        </w:rPr>
      </w:pPr>
      <w:r>
        <w:rPr>
          <w:rFonts w:hint="eastAsia" w:eastAsia="仿宋_GB2312"/>
          <w:sz w:val="32"/>
          <w:szCs w:val="32"/>
          <w:lang w:val="en-US" w:eastAsia="zh-CN"/>
        </w:rPr>
        <w:t>我中心有公务用车1辆，</w:t>
      </w:r>
      <w:r>
        <w:rPr>
          <w:rFonts w:hint="eastAsia" w:eastAsia="仿宋_GB2312"/>
          <w:sz w:val="32"/>
          <w:szCs w:val="32"/>
        </w:rPr>
        <w:t>运行维护费</w:t>
      </w:r>
      <w:r>
        <w:rPr>
          <w:rFonts w:hint="eastAsia" w:eastAsia="仿宋_GB2312"/>
          <w:sz w:val="32"/>
          <w:szCs w:val="32"/>
          <w:lang w:val="en-US" w:eastAsia="zh-CN"/>
        </w:rPr>
        <w:t>主要用于公务用车的保险费、燃油费、维修及保养费、洗车费，确保公务用车的正常出行。</w:t>
      </w:r>
    </w:p>
    <w:p>
      <w:pPr>
        <w:numPr>
          <w:ilvl w:val="0"/>
          <w:numId w:val="1"/>
        </w:numPr>
        <w:adjustRightInd w:val="0"/>
        <w:snapToGrid w:val="0"/>
        <w:spacing w:line="600" w:lineRule="exact"/>
        <w:ind w:firstLine="640" w:firstLineChars="200"/>
        <w:rPr>
          <w:rFonts w:eastAsia="黑体"/>
          <w:sz w:val="32"/>
          <w:szCs w:val="32"/>
        </w:rPr>
      </w:pPr>
      <w:r>
        <w:rPr>
          <w:rFonts w:hint="eastAsia" w:eastAsia="黑体"/>
          <w:sz w:val="32"/>
          <w:szCs w:val="32"/>
          <w:lang w:eastAsia="zh-CN"/>
        </w:rPr>
        <w:t>项目</w:t>
      </w:r>
      <w:r>
        <w:rPr>
          <w:rFonts w:eastAsia="黑体"/>
          <w:sz w:val="32"/>
          <w:szCs w:val="32"/>
        </w:rPr>
        <w:t>绩效情况</w:t>
      </w:r>
    </w:p>
    <w:p>
      <w:pPr>
        <w:pStyle w:val="2"/>
        <w:numPr>
          <w:ilvl w:val="0"/>
          <w:numId w:val="0"/>
        </w:numPr>
        <w:rPr>
          <w:rFonts w:hint="default" w:eastAsia="仿宋_GB2312"/>
          <w:sz w:val="32"/>
          <w:szCs w:val="32"/>
          <w:lang w:val="en-US" w:eastAsia="zh-CN"/>
        </w:rPr>
      </w:pPr>
      <w:r>
        <w:rPr>
          <w:rFonts w:hint="eastAsia"/>
          <w:lang w:val="en-US" w:eastAsia="zh-CN"/>
        </w:rPr>
        <w:t xml:space="preserve"> </w:t>
      </w:r>
      <w:r>
        <w:rPr>
          <w:rFonts w:hint="eastAsia" w:eastAsia="仿宋_GB2312"/>
          <w:sz w:val="32"/>
          <w:szCs w:val="32"/>
          <w:lang w:val="en-US" w:eastAsia="zh-CN"/>
        </w:rPr>
        <w:t xml:space="preserve">   公务用车</w:t>
      </w:r>
      <w:r>
        <w:rPr>
          <w:rFonts w:hint="eastAsia" w:eastAsia="仿宋_GB2312"/>
          <w:sz w:val="32"/>
          <w:szCs w:val="32"/>
        </w:rPr>
        <w:t>运行维护费保障单位公务用车正常运行和出行</w:t>
      </w:r>
      <w:r>
        <w:rPr>
          <w:rFonts w:hint="eastAsia" w:eastAsia="仿宋_GB2312"/>
          <w:sz w:val="32"/>
          <w:szCs w:val="32"/>
          <w:lang w:eastAsia="zh-CN"/>
        </w:rPr>
        <w:t>，</w:t>
      </w:r>
      <w:r>
        <w:rPr>
          <w:rFonts w:hint="eastAsia" w:eastAsia="仿宋_GB2312"/>
          <w:sz w:val="32"/>
          <w:szCs w:val="32"/>
        </w:rPr>
        <w:t>确保接待工作顺利完成</w:t>
      </w:r>
      <w:r>
        <w:rPr>
          <w:rFonts w:hint="eastAsia" w:eastAsia="仿宋_GB2312"/>
          <w:sz w:val="32"/>
          <w:szCs w:val="32"/>
          <w:lang w:eastAsia="zh-CN"/>
        </w:rPr>
        <w:t>，</w:t>
      </w:r>
      <w:r>
        <w:rPr>
          <w:rFonts w:hint="eastAsia" w:eastAsia="仿宋_GB2312"/>
          <w:sz w:val="32"/>
          <w:szCs w:val="32"/>
        </w:rPr>
        <w:t>绩效总目标完成得较好。</w:t>
      </w:r>
    </w:p>
    <w:p>
      <w:pPr>
        <w:adjustRightInd w:val="0"/>
        <w:snapToGrid w:val="0"/>
        <w:spacing w:line="600" w:lineRule="exact"/>
        <w:ind w:firstLine="640" w:firstLineChars="200"/>
        <w:rPr>
          <w:rFonts w:eastAsia="黑体"/>
          <w:sz w:val="32"/>
          <w:szCs w:val="32"/>
        </w:rPr>
      </w:pPr>
      <w:r>
        <w:rPr>
          <w:rFonts w:hint="eastAsia" w:eastAsia="黑体"/>
          <w:sz w:val="32"/>
          <w:szCs w:val="32"/>
          <w:lang w:eastAsia="zh-CN"/>
        </w:rPr>
        <w:t>五</w:t>
      </w:r>
      <w:r>
        <w:rPr>
          <w:rFonts w:eastAsia="黑体"/>
          <w:sz w:val="32"/>
          <w:szCs w:val="32"/>
        </w:rPr>
        <w:t>、其他需要说明的问题</w:t>
      </w:r>
    </w:p>
    <w:p>
      <w:pPr>
        <w:adjustRightInd w:val="0"/>
        <w:snapToGrid w:val="0"/>
        <w:spacing w:line="60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无</w:t>
      </w:r>
    </w:p>
    <w:p>
      <w:pPr>
        <w:adjustRightInd w:val="0"/>
        <w:snapToGrid w:val="0"/>
        <w:spacing w:line="600" w:lineRule="exact"/>
        <w:ind w:firstLine="640" w:firstLineChars="200"/>
        <w:rPr>
          <w:rFonts w:eastAsia="仿宋_GB2312"/>
          <w:sz w:val="32"/>
          <w:szCs w:val="32"/>
        </w:rPr>
      </w:pPr>
    </w:p>
    <w:p>
      <w:pPr>
        <w:adjustRightInd w:val="0"/>
        <w:snapToGrid w:val="0"/>
        <w:spacing w:line="600" w:lineRule="exact"/>
        <w:ind w:firstLine="640" w:firstLineChars="200"/>
        <w:rPr>
          <w:rFonts w:eastAsia="仿宋_GB2312"/>
          <w:sz w:val="32"/>
          <w:szCs w:val="32"/>
        </w:rPr>
        <w:sectPr>
          <w:pgSz w:w="11906" w:h="16838"/>
          <w:pgMar w:top="1440" w:right="1800" w:bottom="1440" w:left="1800" w:header="851" w:footer="992" w:gutter="0"/>
          <w:cols w:space="425" w:num="1"/>
          <w:docGrid w:type="lines" w:linePitch="312" w:charSpace="0"/>
        </w:sectPr>
      </w:pPr>
      <w:r>
        <w:rPr>
          <w:rFonts w:eastAsia="仿宋_GB2312"/>
          <w:sz w:val="32"/>
          <w:szCs w:val="32"/>
        </w:rPr>
        <w:t>附件：</w:t>
      </w:r>
      <w:r>
        <w:rPr>
          <w:rFonts w:hint="eastAsia" w:eastAsia="仿宋_GB2312"/>
          <w:sz w:val="32"/>
          <w:szCs w:val="32"/>
          <w:lang w:eastAsia="zh-CN"/>
        </w:rPr>
        <w:t>项目</w:t>
      </w:r>
      <w:r>
        <w:rPr>
          <w:rFonts w:hint="eastAsia" w:eastAsia="仿宋_GB2312"/>
          <w:sz w:val="32"/>
          <w:szCs w:val="32"/>
        </w:rPr>
        <w:t>支出绩效自评表</w:t>
      </w:r>
    </w:p>
    <w:tbl>
      <w:tblPr>
        <w:tblStyle w:val="4"/>
        <w:tblW w:w="9999" w:type="dxa"/>
        <w:jc w:val="center"/>
        <w:tblLayout w:type="autofit"/>
        <w:tblCellMar>
          <w:top w:w="0" w:type="dxa"/>
          <w:left w:w="108" w:type="dxa"/>
          <w:bottom w:w="0" w:type="dxa"/>
          <w:right w:w="108" w:type="dxa"/>
        </w:tblCellMar>
      </w:tblPr>
      <w:tblGrid>
        <w:gridCol w:w="1135"/>
        <w:gridCol w:w="992"/>
        <w:gridCol w:w="1231"/>
        <w:gridCol w:w="1140"/>
        <w:gridCol w:w="1248"/>
        <w:gridCol w:w="1134"/>
        <w:gridCol w:w="828"/>
        <w:gridCol w:w="873"/>
        <w:gridCol w:w="1418"/>
      </w:tblGrid>
      <w:tr>
        <w:tblPrEx>
          <w:tblCellMar>
            <w:top w:w="0" w:type="dxa"/>
            <w:left w:w="108" w:type="dxa"/>
            <w:bottom w:w="0" w:type="dxa"/>
            <w:right w:w="108" w:type="dxa"/>
          </w:tblCellMar>
        </w:tblPrEx>
        <w:trPr>
          <w:trHeight w:val="1165" w:hRule="atLeast"/>
          <w:jc w:val="center"/>
        </w:trPr>
        <w:tc>
          <w:tcPr>
            <w:tcW w:w="9999" w:type="dxa"/>
            <w:gridSpan w:val="9"/>
            <w:tcBorders>
              <w:top w:val="nil"/>
              <w:left w:val="nil"/>
              <w:bottom w:val="nil"/>
              <w:right w:val="nil"/>
            </w:tcBorders>
            <w:noWrap/>
            <w:vAlign w:val="center"/>
          </w:tcPr>
          <w:p>
            <w:pPr>
              <w:widowControl/>
              <w:jc w:val="both"/>
              <w:rPr>
                <w:rFonts w:hint="eastAsia" w:ascii="黑体" w:hAnsi="黑体" w:eastAsia="黑体" w:cs="黑体"/>
                <w:color w:val="000000"/>
                <w:kern w:val="0"/>
                <w:sz w:val="32"/>
                <w:szCs w:val="32"/>
                <w:lang w:eastAsia="zh-CN"/>
              </w:rPr>
            </w:pPr>
            <w:r>
              <w:rPr>
                <w:rFonts w:hint="eastAsia" w:ascii="黑体" w:hAnsi="黑体" w:eastAsia="黑体" w:cs="黑体"/>
                <w:color w:val="000000"/>
                <w:kern w:val="0"/>
                <w:sz w:val="32"/>
                <w:szCs w:val="32"/>
                <w:lang w:eastAsia="zh-CN"/>
              </w:rPr>
              <w:t>附件：</w:t>
            </w:r>
          </w:p>
          <w:p>
            <w:pPr>
              <w:widowControl/>
              <w:jc w:val="center"/>
              <w:rPr>
                <w:rFonts w:eastAsia="方正小标宋_GBK"/>
                <w:color w:val="000000"/>
                <w:kern w:val="0"/>
                <w:sz w:val="36"/>
                <w:szCs w:val="36"/>
              </w:rPr>
            </w:pPr>
            <w:r>
              <w:rPr>
                <w:rFonts w:hint="eastAsia" w:eastAsia="方正小标宋_GBK"/>
                <w:color w:val="000000"/>
                <w:kern w:val="0"/>
                <w:sz w:val="36"/>
                <w:szCs w:val="36"/>
                <w:lang w:eastAsia="zh-CN"/>
              </w:rPr>
              <w:t>项目</w:t>
            </w:r>
            <w:r>
              <w:rPr>
                <w:rFonts w:eastAsia="方正小标宋_GBK"/>
                <w:color w:val="000000"/>
                <w:kern w:val="0"/>
                <w:sz w:val="36"/>
                <w:szCs w:val="36"/>
              </w:rPr>
              <w:t>支出绩效自评表</w:t>
            </w:r>
          </w:p>
        </w:tc>
      </w:tr>
      <w:tr>
        <w:tblPrEx>
          <w:tblCellMar>
            <w:top w:w="0" w:type="dxa"/>
            <w:left w:w="108" w:type="dxa"/>
            <w:bottom w:w="0" w:type="dxa"/>
            <w:right w:w="108" w:type="dxa"/>
          </w:tblCellMar>
        </w:tblPrEx>
        <w:trPr>
          <w:trHeight w:val="270" w:hRule="atLeast"/>
          <w:jc w:val="center"/>
        </w:trPr>
        <w:tc>
          <w:tcPr>
            <w:tcW w:w="9999" w:type="dxa"/>
            <w:gridSpan w:val="9"/>
            <w:tcBorders>
              <w:top w:val="nil"/>
              <w:left w:val="nil"/>
              <w:bottom w:val="single" w:color="auto" w:sz="4" w:space="0"/>
              <w:right w:val="nil"/>
            </w:tcBorders>
            <w:noWrap/>
            <w:vAlign w:val="center"/>
          </w:tcPr>
          <w:p>
            <w:pPr>
              <w:widowControl/>
              <w:jc w:val="center"/>
              <w:rPr>
                <w:color w:val="000000"/>
                <w:kern w:val="0"/>
                <w:sz w:val="22"/>
              </w:rPr>
            </w:pPr>
            <w:r>
              <w:rPr>
                <w:color w:val="000000"/>
                <w:kern w:val="0"/>
                <w:sz w:val="22"/>
              </w:rPr>
              <w:t>（</w:t>
            </w:r>
            <w:r>
              <w:rPr>
                <w:rFonts w:hint="eastAsia"/>
                <w:color w:val="000000"/>
                <w:kern w:val="0"/>
                <w:sz w:val="22"/>
                <w:lang w:val="en-US" w:eastAsia="zh-CN"/>
              </w:rPr>
              <w:t>2021</w:t>
            </w:r>
            <w:r>
              <w:rPr>
                <w:color w:val="000000"/>
                <w:kern w:val="0"/>
                <w:sz w:val="22"/>
              </w:rPr>
              <w:t>年度）</w:t>
            </w:r>
          </w:p>
        </w:tc>
      </w:tr>
      <w:tr>
        <w:tblPrEx>
          <w:tblCellMar>
            <w:top w:w="0" w:type="dxa"/>
            <w:left w:w="108" w:type="dxa"/>
            <w:bottom w:w="0" w:type="dxa"/>
            <w:right w:w="108" w:type="dxa"/>
          </w:tblCellMar>
        </w:tblPrEx>
        <w:trPr>
          <w:trHeight w:val="585" w:hRule="atLeast"/>
          <w:jc w:val="center"/>
        </w:trPr>
        <w:tc>
          <w:tcPr>
            <w:tcW w:w="1135" w:type="dxa"/>
            <w:tcBorders>
              <w:top w:val="nil"/>
              <w:left w:val="single" w:color="auto" w:sz="4" w:space="0"/>
              <w:bottom w:val="single" w:color="auto" w:sz="4" w:space="0"/>
              <w:right w:val="single" w:color="auto" w:sz="4" w:space="0"/>
            </w:tcBorders>
            <w:noWrap w:val="0"/>
            <w:vAlign w:val="center"/>
          </w:tcPr>
          <w:p>
            <w:pPr>
              <w:widowControl/>
              <w:spacing w:line="260" w:lineRule="exact"/>
              <w:jc w:val="center"/>
              <w:rPr>
                <w:rFonts w:eastAsia="仿宋_GB2312"/>
                <w:color w:val="000000"/>
                <w:kern w:val="0"/>
                <w:szCs w:val="21"/>
              </w:rPr>
            </w:pPr>
            <w:r>
              <w:rPr>
                <w:rFonts w:eastAsia="仿宋_GB2312"/>
                <w:color w:val="000000"/>
                <w:kern w:val="0"/>
                <w:szCs w:val="21"/>
              </w:rPr>
              <w:t>项目支</w:t>
            </w:r>
          </w:p>
          <w:p>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8864" w:type="dxa"/>
            <w:gridSpan w:val="8"/>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hint="eastAsia" w:ascii="Times New Roman" w:hAnsi="Times New Roman" w:eastAsia="仿宋_GB2312" w:cs="Times New Roman"/>
                <w:color w:val="000000"/>
                <w:kern w:val="0"/>
                <w:szCs w:val="21"/>
                <w:lang w:val="en-US" w:eastAsia="zh-CN"/>
              </w:rPr>
              <w:t>公务用车运行维护费　</w:t>
            </w:r>
          </w:p>
        </w:tc>
      </w:tr>
      <w:tr>
        <w:tblPrEx>
          <w:tblCellMar>
            <w:top w:w="0" w:type="dxa"/>
            <w:left w:w="108" w:type="dxa"/>
            <w:bottom w:w="0" w:type="dxa"/>
            <w:right w:w="108" w:type="dxa"/>
          </w:tblCellMar>
        </w:tblPrEx>
        <w:trPr>
          <w:trHeight w:val="340" w:hRule="atLeast"/>
          <w:jc w:val="center"/>
        </w:trPr>
        <w:tc>
          <w:tcPr>
            <w:tcW w:w="1135" w:type="dxa"/>
            <w:tcBorders>
              <w:top w:val="nil"/>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主管部门</w:t>
            </w:r>
          </w:p>
        </w:tc>
        <w:tc>
          <w:tcPr>
            <w:tcW w:w="4611" w:type="dxa"/>
            <w:gridSpan w:val="4"/>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财政局</w:t>
            </w:r>
          </w:p>
        </w:tc>
        <w:tc>
          <w:tcPr>
            <w:tcW w:w="1134" w:type="dxa"/>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widowControl/>
              <w:tabs>
                <w:tab w:val="left" w:pos="930"/>
              </w:tabs>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eastAsia="zh-CN"/>
              </w:rPr>
              <w:tab/>
            </w:r>
            <w:r>
              <w:rPr>
                <w:rFonts w:hint="eastAsia" w:eastAsia="仿宋_GB2312"/>
                <w:color w:val="000000"/>
                <w:kern w:val="0"/>
                <w:szCs w:val="21"/>
                <w:lang w:val="en-US" w:eastAsia="zh-CN"/>
              </w:rPr>
              <w:t>接待服务中心</w:t>
            </w: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eastAsia="仿宋_GB2312"/>
                <w:color w:val="000000"/>
                <w:kern w:val="0"/>
                <w:szCs w:val="21"/>
                <w:lang w:eastAsia="zh-CN"/>
              </w:rPr>
            </w:pPr>
            <w:r>
              <w:rPr>
                <w:rFonts w:eastAsia="仿宋_GB2312"/>
                <w:color w:val="000000"/>
                <w:kern w:val="0"/>
                <w:szCs w:val="21"/>
              </w:rPr>
              <w:t>项目资金</w:t>
            </w:r>
          </w:p>
          <w:p>
            <w:pPr>
              <w:widowControl/>
              <w:jc w:val="center"/>
              <w:rPr>
                <w:rFonts w:eastAsia="仿宋_GB2312"/>
                <w:color w:val="000000"/>
                <w:kern w:val="0"/>
                <w:szCs w:val="21"/>
              </w:rPr>
            </w:pPr>
            <w:r>
              <w:rPr>
                <w:rFonts w:eastAsia="仿宋_GB2312"/>
                <w:color w:val="000000"/>
                <w:kern w:val="0"/>
                <w:szCs w:val="21"/>
              </w:rPr>
              <w:t>（万元）</w:t>
            </w:r>
          </w:p>
        </w:tc>
        <w:tc>
          <w:tcPr>
            <w:tcW w:w="222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40"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年初预算数</w:t>
            </w:r>
          </w:p>
        </w:tc>
        <w:tc>
          <w:tcPr>
            <w:tcW w:w="124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全年预算数</w:t>
            </w:r>
          </w:p>
        </w:tc>
        <w:tc>
          <w:tcPr>
            <w:tcW w:w="1134"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全年执行数</w:t>
            </w:r>
          </w:p>
        </w:tc>
        <w:tc>
          <w:tcPr>
            <w:tcW w:w="828"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分值</w:t>
            </w:r>
          </w:p>
        </w:tc>
        <w:tc>
          <w:tcPr>
            <w:tcW w:w="873"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执行率</w:t>
            </w:r>
          </w:p>
        </w:tc>
        <w:tc>
          <w:tcPr>
            <w:tcW w:w="1418"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得分</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2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年度资金总额　</w:t>
            </w:r>
          </w:p>
        </w:tc>
        <w:tc>
          <w:tcPr>
            <w:tcW w:w="1140" w:type="dxa"/>
            <w:tcBorders>
              <w:top w:val="nil"/>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8</w:t>
            </w:r>
          </w:p>
        </w:tc>
        <w:tc>
          <w:tcPr>
            <w:tcW w:w="1248" w:type="dxa"/>
            <w:tcBorders>
              <w:top w:val="nil"/>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8</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10</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2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其中：当年财政拨款　</w:t>
            </w:r>
          </w:p>
        </w:tc>
        <w:tc>
          <w:tcPr>
            <w:tcW w:w="1140" w:type="dxa"/>
            <w:tcBorders>
              <w:top w:val="nil"/>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8</w:t>
            </w:r>
          </w:p>
        </w:tc>
        <w:tc>
          <w:tcPr>
            <w:tcW w:w="1248" w:type="dxa"/>
            <w:tcBorders>
              <w:top w:val="nil"/>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8</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23"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上年结转资金　</w:t>
            </w:r>
          </w:p>
        </w:tc>
        <w:tc>
          <w:tcPr>
            <w:tcW w:w="1140"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4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23"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其他资金</w:t>
            </w:r>
          </w:p>
        </w:tc>
        <w:tc>
          <w:tcPr>
            <w:tcW w:w="1140"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4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年度总</w:t>
            </w:r>
          </w:p>
          <w:p>
            <w:pPr>
              <w:widowControl/>
              <w:jc w:val="center"/>
              <w:rPr>
                <w:rFonts w:eastAsia="仿宋_GB2312"/>
                <w:color w:val="000000"/>
                <w:kern w:val="0"/>
                <w:szCs w:val="21"/>
              </w:rPr>
            </w:pPr>
            <w:r>
              <w:rPr>
                <w:rFonts w:eastAsia="仿宋_GB2312"/>
                <w:color w:val="000000"/>
                <w:kern w:val="0"/>
                <w:szCs w:val="21"/>
              </w:rPr>
              <w:t>体目标</w:t>
            </w:r>
          </w:p>
        </w:tc>
        <w:tc>
          <w:tcPr>
            <w:tcW w:w="4611" w:type="dxa"/>
            <w:gridSpan w:val="4"/>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实际完成情况　</w:t>
            </w:r>
          </w:p>
        </w:tc>
      </w:tr>
      <w:tr>
        <w:tblPrEx>
          <w:tblCellMar>
            <w:top w:w="0" w:type="dxa"/>
            <w:left w:w="108" w:type="dxa"/>
            <w:bottom w:w="0" w:type="dxa"/>
            <w:right w:w="108" w:type="dxa"/>
          </w:tblCellMar>
        </w:tblPrEx>
        <w:trPr>
          <w:trHeight w:val="429" w:hRule="atLeast"/>
          <w:jc w:val="center"/>
        </w:trPr>
        <w:tc>
          <w:tcPr>
            <w:tcW w:w="113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4611" w:type="dxa"/>
            <w:gridSpan w:val="4"/>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rPr>
              <w:t>保障单位公务用车正常运行。</w:t>
            </w:r>
            <w:r>
              <w:rPr>
                <w:rFonts w:eastAsia="仿宋_GB2312"/>
                <w:color w:val="000000"/>
                <w:kern w:val="0"/>
                <w:szCs w:val="21"/>
              </w:rPr>
              <w:t>　　</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　保障</w:t>
            </w:r>
            <w:r>
              <w:rPr>
                <w:rFonts w:hint="eastAsia" w:eastAsia="仿宋_GB2312"/>
                <w:color w:val="000000"/>
                <w:kern w:val="0"/>
                <w:szCs w:val="21"/>
                <w:lang w:val="en-US" w:eastAsia="zh-CN"/>
              </w:rPr>
              <w:t>了</w:t>
            </w:r>
            <w:r>
              <w:rPr>
                <w:rFonts w:hint="eastAsia" w:eastAsia="仿宋_GB2312"/>
                <w:color w:val="000000"/>
                <w:kern w:val="0"/>
                <w:szCs w:val="21"/>
              </w:rPr>
              <w:t>单位公务用车正常运行和公务出行</w:t>
            </w:r>
            <w:r>
              <w:rPr>
                <w:rFonts w:hint="eastAsia" w:eastAsia="仿宋_GB2312"/>
                <w:color w:val="000000"/>
                <w:kern w:val="0"/>
                <w:szCs w:val="21"/>
                <w:lang w:eastAsia="zh-CN"/>
              </w:rPr>
              <w:t>，</w:t>
            </w:r>
            <w:r>
              <w:rPr>
                <w:rFonts w:hint="eastAsia" w:eastAsia="仿宋_GB2312"/>
                <w:color w:val="000000"/>
                <w:kern w:val="0"/>
                <w:szCs w:val="21"/>
              </w:rPr>
              <w:t>确保接待工作顺利完成。</w:t>
            </w:r>
          </w:p>
        </w:tc>
      </w:tr>
      <w:tr>
        <w:tblPrEx>
          <w:tblCellMar>
            <w:top w:w="0" w:type="dxa"/>
            <w:left w:w="108" w:type="dxa"/>
            <w:bottom w:w="0" w:type="dxa"/>
            <w:right w:w="108" w:type="dxa"/>
          </w:tblCellMar>
        </w:tblPrEx>
        <w:trPr>
          <w:trHeight w:val="868" w:hRule="atLeast"/>
          <w:jc w:val="center"/>
        </w:trPr>
        <w:tc>
          <w:tcPr>
            <w:tcW w:w="1135" w:type="dxa"/>
            <w:vMerge w:val="restart"/>
            <w:tcBorders>
              <w:top w:val="single" w:color="auto" w:sz="4" w:space="0"/>
              <w:left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绩</w:t>
            </w:r>
          </w:p>
          <w:p>
            <w:pPr>
              <w:widowControl/>
              <w:jc w:val="center"/>
              <w:rPr>
                <w:rFonts w:eastAsia="仿宋_GB2312"/>
                <w:color w:val="000000"/>
                <w:kern w:val="0"/>
                <w:szCs w:val="21"/>
              </w:rPr>
            </w:pPr>
            <w:r>
              <w:rPr>
                <w:rFonts w:eastAsia="仿宋_GB2312"/>
                <w:color w:val="000000"/>
                <w:kern w:val="0"/>
                <w:szCs w:val="21"/>
              </w:rPr>
              <w:t>效</w:t>
            </w:r>
          </w:p>
          <w:p>
            <w:pPr>
              <w:widowControl/>
              <w:jc w:val="center"/>
              <w:rPr>
                <w:rFonts w:eastAsia="仿宋_GB2312"/>
                <w:color w:val="000000"/>
                <w:kern w:val="0"/>
                <w:szCs w:val="21"/>
              </w:rPr>
            </w:pPr>
            <w:r>
              <w:rPr>
                <w:rFonts w:eastAsia="仿宋_GB2312"/>
                <w:color w:val="000000"/>
                <w:kern w:val="0"/>
                <w:szCs w:val="21"/>
              </w:rPr>
              <w:t>指</w:t>
            </w:r>
          </w:p>
          <w:p>
            <w:pPr>
              <w:widowControl/>
              <w:jc w:val="center"/>
              <w:rPr>
                <w:rFonts w:eastAsia="仿宋_GB2312"/>
                <w:color w:val="000000"/>
                <w:kern w:val="0"/>
                <w:szCs w:val="21"/>
              </w:rPr>
            </w:pPr>
            <w:r>
              <w:rPr>
                <w:rFonts w:eastAsia="仿宋_GB2312"/>
                <w:color w:val="000000"/>
                <w:kern w:val="0"/>
                <w:szCs w:val="21"/>
              </w:rPr>
              <w:t>标</w:t>
            </w:r>
          </w:p>
        </w:tc>
        <w:tc>
          <w:tcPr>
            <w:tcW w:w="992"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23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14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24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年度</w:t>
            </w:r>
          </w:p>
          <w:p>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实际</w:t>
            </w:r>
          </w:p>
          <w:p>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82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73"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1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偏差原因</w:t>
            </w:r>
          </w:p>
          <w:p>
            <w:pPr>
              <w:widowControl/>
              <w:spacing w:line="240" w:lineRule="exact"/>
              <w:jc w:val="center"/>
              <w:rPr>
                <w:rFonts w:eastAsia="仿宋_GB2312"/>
                <w:color w:val="000000"/>
                <w:kern w:val="0"/>
                <w:szCs w:val="21"/>
              </w:rPr>
            </w:pPr>
            <w:r>
              <w:rPr>
                <w:rFonts w:eastAsia="仿宋_GB2312"/>
                <w:color w:val="000000"/>
                <w:kern w:val="0"/>
                <w:szCs w:val="21"/>
              </w:rPr>
              <w:t>分析及</w:t>
            </w:r>
          </w:p>
          <w:p>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tblPrEx>
          <w:tblCellMar>
            <w:top w:w="0" w:type="dxa"/>
            <w:left w:w="108" w:type="dxa"/>
            <w:bottom w:w="0" w:type="dxa"/>
            <w:right w:w="108" w:type="dxa"/>
          </w:tblCellMar>
        </w:tblPrEx>
        <w:trPr>
          <w:trHeight w:val="613"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产出</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p>
          <w:p>
            <w:pPr>
              <w:widowControl/>
              <w:jc w:val="center"/>
              <w:rPr>
                <w:rFonts w:eastAsia="仿宋_GB2312"/>
                <w:color w:val="000000"/>
                <w:kern w:val="0"/>
                <w:szCs w:val="21"/>
              </w:rPr>
            </w:pPr>
            <w:r>
              <w:rPr>
                <w:rFonts w:eastAsia="仿宋_GB2312"/>
                <w:color w:val="000000"/>
                <w:kern w:val="0"/>
                <w:szCs w:val="21"/>
              </w:rPr>
              <w:t>(50分)</w:t>
            </w:r>
          </w:p>
        </w:tc>
        <w:tc>
          <w:tcPr>
            <w:tcW w:w="1231"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数量指标</w:t>
            </w:r>
          </w:p>
        </w:tc>
        <w:tc>
          <w:tcPr>
            <w:tcW w:w="1140"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全年使用车辆次数</w:t>
            </w:r>
          </w:p>
        </w:tc>
        <w:tc>
          <w:tcPr>
            <w:tcW w:w="124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平均</w:t>
            </w:r>
            <w:r>
              <w:rPr>
                <w:rFonts w:hint="eastAsia" w:eastAsia="仿宋_GB2312"/>
                <w:color w:val="000000"/>
                <w:kern w:val="0"/>
                <w:szCs w:val="21"/>
                <w:lang w:val="en-US" w:eastAsia="zh-CN"/>
              </w:rPr>
              <w:t>周</w:t>
            </w:r>
            <w:r>
              <w:rPr>
                <w:rFonts w:hint="eastAsia" w:eastAsia="仿宋_GB2312"/>
                <w:color w:val="000000"/>
                <w:kern w:val="0"/>
                <w:szCs w:val="21"/>
              </w:rPr>
              <w:t>派辆</w:t>
            </w:r>
            <w:r>
              <w:rPr>
                <w:rFonts w:hint="eastAsia" w:eastAsia="仿宋_GB2312"/>
                <w:color w:val="000000"/>
                <w:kern w:val="0"/>
                <w:szCs w:val="21"/>
                <w:lang w:val="en-US" w:eastAsia="zh-CN"/>
              </w:rPr>
              <w:t>1-2</w:t>
            </w:r>
            <w:r>
              <w:rPr>
                <w:rFonts w:hint="eastAsia" w:eastAsia="仿宋_GB2312"/>
                <w:color w:val="000000"/>
                <w:kern w:val="0"/>
                <w:szCs w:val="21"/>
              </w:rPr>
              <w:t>次</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平均</w:t>
            </w:r>
            <w:r>
              <w:rPr>
                <w:rFonts w:hint="eastAsia" w:eastAsia="仿宋_GB2312"/>
                <w:color w:val="000000"/>
                <w:kern w:val="0"/>
                <w:szCs w:val="21"/>
                <w:lang w:val="en-US" w:eastAsia="zh-CN"/>
              </w:rPr>
              <w:t>周</w:t>
            </w:r>
            <w:r>
              <w:rPr>
                <w:rFonts w:hint="eastAsia" w:eastAsia="仿宋_GB2312"/>
                <w:color w:val="000000"/>
                <w:kern w:val="0"/>
                <w:szCs w:val="21"/>
              </w:rPr>
              <w:t>派辆</w:t>
            </w:r>
            <w:r>
              <w:rPr>
                <w:rFonts w:hint="eastAsia" w:eastAsia="仿宋_GB2312"/>
                <w:color w:val="000000"/>
                <w:kern w:val="0"/>
                <w:szCs w:val="21"/>
                <w:lang w:val="en-US" w:eastAsia="zh-CN"/>
              </w:rPr>
              <w:t>1</w:t>
            </w:r>
            <w:r>
              <w:rPr>
                <w:rFonts w:hint="eastAsia" w:eastAsia="仿宋_GB2312"/>
                <w:color w:val="000000"/>
                <w:kern w:val="0"/>
                <w:szCs w:val="21"/>
              </w:rPr>
              <w:t>次</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rPr>
              <w:t>规范管理，满足用车需求</w:t>
            </w:r>
          </w:p>
        </w:tc>
      </w:tr>
      <w:tr>
        <w:tblPrEx>
          <w:tblCellMar>
            <w:top w:w="0" w:type="dxa"/>
            <w:left w:w="108" w:type="dxa"/>
            <w:bottom w:w="0" w:type="dxa"/>
            <w:right w:w="108" w:type="dxa"/>
          </w:tblCellMar>
        </w:tblPrEx>
        <w:trPr>
          <w:trHeight w:val="499"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31"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质量指标</w:t>
            </w:r>
          </w:p>
        </w:tc>
        <w:tc>
          <w:tcPr>
            <w:tcW w:w="1140"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lang w:val="en-US" w:eastAsia="zh-CN"/>
              </w:rPr>
              <w:t>加强</w:t>
            </w:r>
            <w:r>
              <w:rPr>
                <w:rFonts w:hint="eastAsia" w:eastAsia="仿宋_GB2312"/>
                <w:color w:val="000000"/>
                <w:kern w:val="0"/>
                <w:szCs w:val="21"/>
              </w:rPr>
              <w:t>车辆</w:t>
            </w:r>
            <w:r>
              <w:rPr>
                <w:rFonts w:hint="eastAsia" w:eastAsia="仿宋_GB2312"/>
                <w:color w:val="000000"/>
                <w:kern w:val="0"/>
                <w:szCs w:val="21"/>
                <w:lang w:val="en-US" w:eastAsia="zh-CN"/>
              </w:rPr>
              <w:t>定期</w:t>
            </w:r>
            <w:r>
              <w:rPr>
                <w:rFonts w:hint="eastAsia" w:eastAsia="仿宋_GB2312"/>
                <w:color w:val="000000"/>
                <w:kern w:val="0"/>
                <w:szCs w:val="21"/>
              </w:rPr>
              <w:t>维护</w:t>
            </w:r>
          </w:p>
        </w:tc>
        <w:tc>
          <w:tcPr>
            <w:tcW w:w="1248" w:type="dxa"/>
            <w:tcBorders>
              <w:top w:val="single" w:color="auto" w:sz="4" w:space="0"/>
              <w:left w:val="nil"/>
              <w:bottom w:val="single" w:color="auto" w:sz="4" w:space="0"/>
              <w:right w:val="single" w:color="auto" w:sz="4" w:space="0"/>
            </w:tcBorders>
            <w:noWrap w:val="0"/>
            <w:vAlign w:val="center"/>
          </w:tcPr>
          <w:p>
            <w:pPr>
              <w:widowControl/>
              <w:jc w:val="both"/>
              <w:rPr>
                <w:rFonts w:eastAsia="仿宋_GB2312"/>
                <w:color w:val="000000"/>
                <w:kern w:val="0"/>
                <w:szCs w:val="21"/>
              </w:rPr>
            </w:pPr>
            <w:r>
              <w:rPr>
                <w:rFonts w:hint="eastAsia" w:eastAsia="仿宋_GB2312"/>
                <w:color w:val="000000"/>
                <w:kern w:val="0"/>
                <w:szCs w:val="21"/>
              </w:rPr>
              <w:t xml:space="preserve"> ≦10%</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 xml:space="preserve"> ≦10%</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lang w:val="en-US" w:eastAsia="zh-CN"/>
              </w:rPr>
              <w:t>加强</w:t>
            </w:r>
            <w:r>
              <w:rPr>
                <w:rFonts w:hint="eastAsia" w:eastAsia="仿宋_GB2312"/>
                <w:color w:val="000000"/>
                <w:kern w:val="0"/>
                <w:szCs w:val="21"/>
              </w:rPr>
              <w:t>车辆</w:t>
            </w:r>
            <w:r>
              <w:rPr>
                <w:rFonts w:hint="eastAsia" w:eastAsia="仿宋_GB2312"/>
                <w:color w:val="000000"/>
                <w:kern w:val="0"/>
                <w:szCs w:val="21"/>
                <w:lang w:val="en-US" w:eastAsia="zh-CN"/>
              </w:rPr>
              <w:t>定期</w:t>
            </w:r>
            <w:r>
              <w:rPr>
                <w:rFonts w:hint="eastAsia" w:eastAsia="仿宋_GB2312"/>
                <w:color w:val="000000"/>
                <w:kern w:val="0"/>
                <w:szCs w:val="21"/>
              </w:rPr>
              <w:t>维护</w:t>
            </w:r>
          </w:p>
        </w:tc>
      </w:tr>
      <w:tr>
        <w:tblPrEx>
          <w:tblCellMar>
            <w:top w:w="0" w:type="dxa"/>
            <w:left w:w="108" w:type="dxa"/>
            <w:bottom w:w="0" w:type="dxa"/>
            <w:right w:w="108" w:type="dxa"/>
          </w:tblCellMar>
        </w:tblPrEx>
        <w:trPr>
          <w:trHeight w:val="559"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31"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时效指标</w:t>
            </w:r>
          </w:p>
        </w:tc>
        <w:tc>
          <w:tcPr>
            <w:tcW w:w="1140"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确保公务用车出行</w:t>
            </w:r>
          </w:p>
        </w:tc>
        <w:tc>
          <w:tcPr>
            <w:tcW w:w="1248" w:type="dxa"/>
            <w:tcBorders>
              <w:top w:val="single" w:color="auto" w:sz="4" w:space="0"/>
              <w:left w:val="nil"/>
              <w:bottom w:val="single" w:color="auto" w:sz="4" w:space="0"/>
              <w:right w:val="single" w:color="auto" w:sz="4" w:space="0"/>
            </w:tcBorders>
            <w:noWrap w:val="0"/>
            <w:vAlign w:val="center"/>
          </w:tcPr>
          <w:p>
            <w:pPr>
              <w:widowControl/>
              <w:jc w:val="both"/>
              <w:rPr>
                <w:rFonts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1至12月</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1至12月</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20</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20</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满足用车需求</w:t>
            </w:r>
          </w:p>
        </w:tc>
      </w:tr>
      <w:tr>
        <w:tblPrEx>
          <w:tblCellMar>
            <w:top w:w="0" w:type="dxa"/>
            <w:left w:w="108" w:type="dxa"/>
            <w:bottom w:w="0" w:type="dxa"/>
            <w:right w:w="108" w:type="dxa"/>
          </w:tblCellMar>
        </w:tblPrEx>
        <w:trPr>
          <w:trHeight w:val="528"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31"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成本指标</w:t>
            </w:r>
          </w:p>
        </w:tc>
        <w:tc>
          <w:tcPr>
            <w:tcW w:w="1140"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高效运转、规范管理</w:t>
            </w:r>
          </w:p>
        </w:tc>
        <w:tc>
          <w:tcPr>
            <w:tcW w:w="124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≦10%</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≦10%</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保障公务出行</w:t>
            </w:r>
          </w:p>
        </w:tc>
      </w:tr>
      <w:tr>
        <w:tblPrEx>
          <w:tblCellMar>
            <w:top w:w="0" w:type="dxa"/>
            <w:left w:w="108" w:type="dxa"/>
            <w:bottom w:w="0" w:type="dxa"/>
            <w:right w:w="108" w:type="dxa"/>
          </w:tblCellMar>
        </w:tblPrEx>
        <w:trPr>
          <w:trHeight w:val="559"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restart"/>
            <w:tcBorders>
              <w:top w:val="single" w:color="auto" w:sz="4" w:space="0"/>
              <w:left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效益</w:t>
            </w:r>
          </w:p>
          <w:p>
            <w:pPr>
              <w:widowControl/>
              <w:jc w:val="center"/>
              <w:rPr>
                <w:rFonts w:eastAsia="仿宋_GB2312"/>
                <w:color w:val="000000"/>
                <w:kern w:val="0"/>
                <w:szCs w:val="21"/>
              </w:rPr>
            </w:pPr>
            <w:r>
              <w:rPr>
                <w:rFonts w:eastAsia="仿宋_GB2312"/>
                <w:color w:val="000000"/>
                <w:kern w:val="0"/>
                <w:szCs w:val="21"/>
              </w:rPr>
              <w:t>指标</w:t>
            </w:r>
          </w:p>
          <w:p>
            <w:pPr>
              <w:widowControl/>
              <w:jc w:val="left"/>
              <w:rPr>
                <w:rFonts w:eastAsia="仿宋_GB2312"/>
                <w:color w:val="000000"/>
                <w:kern w:val="0"/>
                <w:szCs w:val="21"/>
              </w:rPr>
            </w:pPr>
          </w:p>
          <w:p>
            <w:pPr>
              <w:widowControl/>
              <w:jc w:val="left"/>
              <w:rPr>
                <w:rFonts w:eastAsia="仿宋_GB2312"/>
                <w:color w:val="000000"/>
                <w:kern w:val="0"/>
                <w:szCs w:val="21"/>
              </w:rPr>
            </w:pPr>
            <w:r>
              <w:rPr>
                <w:rFonts w:eastAsia="仿宋_GB2312"/>
                <w:color w:val="000000"/>
                <w:kern w:val="0"/>
                <w:szCs w:val="21"/>
              </w:rPr>
              <w:t>（30分）</w:t>
            </w:r>
          </w:p>
          <w:p>
            <w:pPr>
              <w:jc w:val="left"/>
              <w:rPr>
                <w:rFonts w:eastAsia="仿宋_GB2312"/>
                <w:color w:val="000000"/>
                <w:kern w:val="0"/>
                <w:szCs w:val="21"/>
              </w:rPr>
            </w:pPr>
            <w:r>
              <w:rPr>
                <w:rFonts w:eastAsia="仿宋_GB2312"/>
                <w:color w:val="000000"/>
                <w:kern w:val="0"/>
                <w:szCs w:val="21"/>
              </w:rPr>
              <w:t>　</w:t>
            </w:r>
          </w:p>
        </w:tc>
        <w:tc>
          <w:tcPr>
            <w:tcW w:w="1231"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经济效</w:t>
            </w:r>
          </w:p>
          <w:p>
            <w:pPr>
              <w:widowControl/>
              <w:jc w:val="center"/>
              <w:rPr>
                <w:rFonts w:eastAsia="仿宋_GB2312"/>
                <w:color w:val="000000"/>
                <w:kern w:val="0"/>
                <w:szCs w:val="21"/>
              </w:rPr>
            </w:pPr>
            <w:r>
              <w:rPr>
                <w:rFonts w:eastAsia="仿宋_GB2312"/>
                <w:color w:val="000000"/>
                <w:kern w:val="0"/>
                <w:szCs w:val="21"/>
              </w:rPr>
              <w:t>益指标</w:t>
            </w:r>
          </w:p>
        </w:tc>
        <w:tc>
          <w:tcPr>
            <w:tcW w:w="1140"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保障公务出行</w:t>
            </w:r>
          </w:p>
        </w:tc>
        <w:tc>
          <w:tcPr>
            <w:tcW w:w="124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≦10%</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≦10%</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高效运转、规范管理</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single" w:color="auto" w:sz="4" w:space="0"/>
              <w:right w:val="single" w:color="auto" w:sz="4" w:space="0"/>
            </w:tcBorders>
            <w:noWrap w:val="0"/>
            <w:vAlign w:val="center"/>
          </w:tcPr>
          <w:p>
            <w:pPr>
              <w:jc w:val="left"/>
              <w:rPr>
                <w:rFonts w:eastAsia="仿宋_GB2312"/>
                <w:color w:val="000000"/>
                <w:kern w:val="0"/>
                <w:szCs w:val="21"/>
              </w:rPr>
            </w:pPr>
          </w:p>
        </w:tc>
        <w:tc>
          <w:tcPr>
            <w:tcW w:w="1231"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社会效</w:t>
            </w:r>
          </w:p>
          <w:p>
            <w:pPr>
              <w:widowControl/>
              <w:jc w:val="center"/>
              <w:rPr>
                <w:rFonts w:eastAsia="仿宋_GB2312"/>
                <w:color w:val="000000"/>
                <w:kern w:val="0"/>
                <w:szCs w:val="21"/>
              </w:rPr>
            </w:pPr>
            <w:r>
              <w:rPr>
                <w:rFonts w:eastAsia="仿宋_GB2312"/>
                <w:color w:val="000000"/>
                <w:kern w:val="0"/>
                <w:szCs w:val="21"/>
              </w:rPr>
              <w:t>益指标</w:t>
            </w:r>
          </w:p>
        </w:tc>
        <w:tc>
          <w:tcPr>
            <w:tcW w:w="1140"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保障公务出行</w:t>
            </w:r>
          </w:p>
        </w:tc>
        <w:tc>
          <w:tcPr>
            <w:tcW w:w="1248" w:type="dxa"/>
            <w:tcBorders>
              <w:top w:val="single" w:color="auto" w:sz="4" w:space="0"/>
              <w:left w:val="nil"/>
              <w:bottom w:val="single" w:color="auto" w:sz="4" w:space="0"/>
              <w:right w:val="single" w:color="auto" w:sz="4" w:space="0"/>
            </w:tcBorders>
            <w:noWrap w:val="0"/>
            <w:vAlign w:val="center"/>
          </w:tcPr>
          <w:p>
            <w:pPr>
              <w:widowControl/>
              <w:jc w:val="left"/>
              <w:rPr>
                <w:rFonts w:ascii="Times New Roman" w:hAnsi="Times New Roman" w:eastAsia="仿宋_GB2312" w:cs="Times New Roman"/>
                <w:color w:val="000000"/>
                <w:kern w:val="0"/>
                <w:sz w:val="21"/>
                <w:szCs w:val="21"/>
                <w:lang w:val="en-US" w:eastAsia="zh-CN" w:bidi="ar-SA"/>
              </w:rPr>
            </w:pPr>
            <w:r>
              <w:rPr>
                <w:rFonts w:hint="eastAsia"/>
              </w:rPr>
              <w:t>≧100%</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ascii="Times New Roman" w:hAnsi="Times New Roman" w:eastAsia="仿宋_GB2312" w:cs="Times New Roman"/>
                <w:color w:val="000000"/>
                <w:kern w:val="0"/>
                <w:sz w:val="21"/>
                <w:szCs w:val="21"/>
                <w:lang w:val="en-US" w:eastAsia="zh-CN" w:bidi="ar-SA"/>
              </w:rPr>
            </w:pPr>
            <w:r>
              <w:rPr>
                <w:rFonts w:hint="eastAsia"/>
              </w:rPr>
              <w:t>≧100%</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rPr>
              <w:t>高效运转、规范管理</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single" w:color="auto" w:sz="4" w:space="0"/>
              <w:right w:val="single" w:color="auto" w:sz="4" w:space="0"/>
            </w:tcBorders>
            <w:noWrap w:val="0"/>
            <w:vAlign w:val="center"/>
          </w:tcPr>
          <w:p>
            <w:pPr>
              <w:jc w:val="left"/>
              <w:rPr>
                <w:rFonts w:eastAsia="仿宋_GB2312"/>
                <w:color w:val="000000"/>
                <w:kern w:val="0"/>
                <w:szCs w:val="21"/>
              </w:rPr>
            </w:pPr>
          </w:p>
        </w:tc>
        <w:tc>
          <w:tcPr>
            <w:tcW w:w="12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生态效</w:t>
            </w:r>
          </w:p>
          <w:p>
            <w:pPr>
              <w:widowControl/>
              <w:jc w:val="center"/>
              <w:rPr>
                <w:rFonts w:eastAsia="仿宋_GB2312"/>
                <w:color w:val="000000"/>
                <w:kern w:val="0"/>
                <w:szCs w:val="21"/>
              </w:rPr>
            </w:pPr>
            <w:r>
              <w:rPr>
                <w:rFonts w:eastAsia="仿宋_GB2312"/>
                <w:color w:val="000000"/>
                <w:kern w:val="0"/>
                <w:szCs w:val="21"/>
              </w:rPr>
              <w:t>益指标</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hint="eastAsia" w:eastAsia="仿宋_GB2312"/>
                <w:color w:val="000000"/>
                <w:kern w:val="0"/>
                <w:szCs w:val="21"/>
                <w:lang w:val="en-US" w:eastAsia="zh-CN"/>
              </w:rPr>
              <w:t>无</w:t>
            </w:r>
          </w:p>
        </w:tc>
        <w:tc>
          <w:tcPr>
            <w:tcW w:w="124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无</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无</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0</w:t>
            </w:r>
          </w:p>
        </w:tc>
        <w:tc>
          <w:tcPr>
            <w:tcW w:w="873"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0</w:t>
            </w:r>
          </w:p>
        </w:tc>
        <w:tc>
          <w:tcPr>
            <w:tcW w:w="1418"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无</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widowControl/>
              <w:jc w:val="center"/>
              <w:rPr>
                <w:rFonts w:eastAsia="仿宋_GB2312"/>
                <w:color w:val="000000"/>
                <w:kern w:val="0"/>
                <w:szCs w:val="21"/>
              </w:rPr>
            </w:pPr>
          </w:p>
        </w:tc>
        <w:tc>
          <w:tcPr>
            <w:tcW w:w="992" w:type="dxa"/>
            <w:vMerge w:val="continue"/>
            <w:tcBorders>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可持续影响指标</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高效运转、规范管理</w:t>
            </w:r>
          </w:p>
        </w:tc>
        <w:tc>
          <w:tcPr>
            <w:tcW w:w="124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≦10%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≦10%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rPr>
              <w:t>保障</w:t>
            </w:r>
            <w:r>
              <w:rPr>
                <w:rFonts w:hint="eastAsia" w:eastAsia="仿宋_GB2312"/>
                <w:color w:val="000000"/>
                <w:kern w:val="0"/>
                <w:szCs w:val="21"/>
                <w:lang w:val="en-US" w:eastAsia="zh-CN"/>
              </w:rPr>
              <w:t>公务出</w:t>
            </w:r>
            <w:r>
              <w:rPr>
                <w:rFonts w:hint="eastAsia" w:eastAsia="仿宋_GB2312"/>
                <w:color w:val="000000"/>
                <w:kern w:val="0"/>
                <w:szCs w:val="21"/>
              </w:rPr>
              <w:t>行</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left"/>
              <w:rPr>
                <w:rFonts w:eastAsia="仿宋_GB2312"/>
                <w:color w:val="000000"/>
                <w:kern w:val="0"/>
                <w:szCs w:val="21"/>
              </w:rPr>
            </w:pPr>
          </w:p>
        </w:tc>
        <w:tc>
          <w:tcPr>
            <w:tcW w:w="992" w:type="dxa"/>
            <w:tcBorders>
              <w:top w:val="single" w:color="auto" w:sz="4" w:space="0"/>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满意度</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（10分）</w:t>
            </w:r>
          </w:p>
        </w:tc>
        <w:tc>
          <w:tcPr>
            <w:tcW w:w="1231" w:type="dxa"/>
            <w:tcBorders>
              <w:top w:val="single" w:color="auto" w:sz="4" w:space="0"/>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服务对象满意度指标</w:t>
            </w:r>
          </w:p>
        </w:tc>
        <w:tc>
          <w:tcPr>
            <w:tcW w:w="1140"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提供安全、优质服务</w:t>
            </w:r>
            <w:bookmarkStart w:id="0" w:name="_GoBack"/>
            <w:bookmarkEnd w:id="0"/>
          </w:p>
        </w:tc>
        <w:tc>
          <w:tcPr>
            <w:tcW w:w="124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rPr>
              <w:t>≧100%</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rPr>
              <w:t>≧100%</w:t>
            </w:r>
          </w:p>
        </w:tc>
        <w:tc>
          <w:tcPr>
            <w:tcW w:w="828"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rPr>
              <w:t>高效运转、规范管理</w:t>
            </w:r>
          </w:p>
        </w:tc>
      </w:tr>
      <w:tr>
        <w:tblPrEx>
          <w:tblCellMar>
            <w:top w:w="0" w:type="dxa"/>
            <w:left w:w="108" w:type="dxa"/>
            <w:bottom w:w="0" w:type="dxa"/>
            <w:right w:w="108" w:type="dxa"/>
          </w:tblCellMar>
        </w:tblPrEx>
        <w:trPr>
          <w:trHeight w:val="340" w:hRule="atLeast"/>
          <w:jc w:val="center"/>
        </w:trPr>
        <w:tc>
          <w:tcPr>
            <w:tcW w:w="6880" w:type="dxa"/>
            <w:gridSpan w:val="6"/>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总分</w:t>
            </w:r>
          </w:p>
        </w:tc>
        <w:tc>
          <w:tcPr>
            <w:tcW w:w="828" w:type="dxa"/>
            <w:tcBorders>
              <w:top w:val="nil"/>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100</w:t>
            </w:r>
          </w:p>
        </w:tc>
        <w:tc>
          <w:tcPr>
            <w:tcW w:w="873"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1418"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p>
        </w:tc>
      </w:tr>
    </w:tbl>
    <w:p>
      <w:pPr>
        <w:spacing w:before="120" w:beforeLines="50"/>
      </w:pPr>
      <w:r>
        <w:rPr>
          <w:rFonts w:eastAsia="仿宋_GB2312"/>
          <w:sz w:val="24"/>
        </w:rPr>
        <w:t>填表人：</w:t>
      </w:r>
      <w:r>
        <w:rPr>
          <w:rFonts w:hint="eastAsia" w:eastAsia="仿宋_GB2312"/>
          <w:sz w:val="24"/>
          <w:lang w:val="en-US" w:eastAsia="zh-CN"/>
        </w:rPr>
        <w:t xml:space="preserve">梁甜 </w:t>
      </w:r>
      <w:r>
        <w:rPr>
          <w:rFonts w:eastAsia="仿宋_GB2312"/>
          <w:sz w:val="24"/>
        </w:rPr>
        <w:t xml:space="preserve"> 填报日期：</w:t>
      </w:r>
      <w:r>
        <w:rPr>
          <w:rFonts w:hint="eastAsia" w:eastAsia="仿宋_GB2312"/>
          <w:sz w:val="24"/>
          <w:lang w:val="en-US" w:eastAsia="zh-CN"/>
        </w:rPr>
        <w:t>2022.3.23</w:t>
      </w:r>
      <w:r>
        <w:rPr>
          <w:rFonts w:eastAsia="仿宋_GB2312"/>
          <w:sz w:val="24"/>
        </w:rPr>
        <w:t xml:space="preserve">   联系电话：</w:t>
      </w:r>
      <w:r>
        <w:rPr>
          <w:rFonts w:hint="eastAsia" w:eastAsia="仿宋_GB2312"/>
          <w:sz w:val="24"/>
          <w:lang w:val="en-US" w:eastAsia="zh-CN"/>
        </w:rPr>
        <w:t>4203608</w:t>
      </w:r>
      <w:r>
        <w:rPr>
          <w:rFonts w:eastAsia="仿宋_GB2312"/>
          <w:sz w:val="24"/>
        </w:rPr>
        <w:t xml:space="preserve">   单位负责人签字：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194F36"/>
    <w:multiLevelType w:val="singleLevel"/>
    <w:tmpl w:val="44194F36"/>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343492"/>
    <w:rsid w:val="053A35D0"/>
    <w:rsid w:val="07EC2E3C"/>
    <w:rsid w:val="07F95559"/>
    <w:rsid w:val="09296EC2"/>
    <w:rsid w:val="09373CCC"/>
    <w:rsid w:val="093D1475"/>
    <w:rsid w:val="09C5341D"/>
    <w:rsid w:val="0CFE4450"/>
    <w:rsid w:val="0D725787"/>
    <w:rsid w:val="18DF42F7"/>
    <w:rsid w:val="1D604E00"/>
    <w:rsid w:val="1D801303"/>
    <w:rsid w:val="20C133EB"/>
    <w:rsid w:val="2361631D"/>
    <w:rsid w:val="25635B60"/>
    <w:rsid w:val="2668575D"/>
    <w:rsid w:val="28EE3C65"/>
    <w:rsid w:val="2A0A4DCD"/>
    <w:rsid w:val="2B3B740C"/>
    <w:rsid w:val="2C5E06CD"/>
    <w:rsid w:val="2CBC077F"/>
    <w:rsid w:val="305B5409"/>
    <w:rsid w:val="30F304E8"/>
    <w:rsid w:val="31211B01"/>
    <w:rsid w:val="320E0C3F"/>
    <w:rsid w:val="34777D1C"/>
    <w:rsid w:val="352756CB"/>
    <w:rsid w:val="3ABB67A4"/>
    <w:rsid w:val="3AFD4B18"/>
    <w:rsid w:val="3C343492"/>
    <w:rsid w:val="3D2F0AF9"/>
    <w:rsid w:val="3D7D6490"/>
    <w:rsid w:val="3E611186"/>
    <w:rsid w:val="3F7C3D7A"/>
    <w:rsid w:val="41995C67"/>
    <w:rsid w:val="42845443"/>
    <w:rsid w:val="48735932"/>
    <w:rsid w:val="487D713D"/>
    <w:rsid w:val="4B184ACB"/>
    <w:rsid w:val="4BB72CB0"/>
    <w:rsid w:val="4C46376A"/>
    <w:rsid w:val="4E487C6D"/>
    <w:rsid w:val="51105A11"/>
    <w:rsid w:val="54114EDA"/>
    <w:rsid w:val="5A7259B3"/>
    <w:rsid w:val="69A17C70"/>
    <w:rsid w:val="6D6A3304"/>
    <w:rsid w:val="710E357B"/>
    <w:rsid w:val="7270316B"/>
    <w:rsid w:val="751522D8"/>
    <w:rsid w:val="78A2690E"/>
    <w:rsid w:val="78C22246"/>
    <w:rsid w:val="79570B52"/>
    <w:rsid w:val="796233FD"/>
    <w:rsid w:val="7CE21EFC"/>
    <w:rsid w:val="7CFA448D"/>
    <w:rsid w:val="7ECC0F0F"/>
    <w:rsid w:val="7F3304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Lines="0" w:afterAutospacing="0"/>
    </w:p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2021-03-15T06:51:00Z</dcterms:created>
  <dc:creator>Administrator</dc:creator>
  <cp:lastModifiedBy>HP69</cp:lastModifiedBy>
  <cp:lastPrinted>2022-03-24T01:19:01Z</cp:lastPrinted>
  <dcterms:modified xsi:type="dcterms:W3CDTF">2022-03-24T01:50:22Z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C6CD5B2C6D5245CBB84BC4F80A5E1BC4</vt:lpwstr>
  </property>
</Properties>
</file>