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hint="eastAsia" w:eastAsia="方正小标宋_GBK"/>
          <w:sz w:val="36"/>
          <w:szCs w:val="36"/>
          <w:lang w:val="en-US" w:eastAsia="zh-CN"/>
        </w:rPr>
        <w:t>政协机关2021年度</w:t>
      </w:r>
      <w:r>
        <w:rPr>
          <w:rFonts w:eastAsia="方正小标宋_GBK"/>
          <w:sz w:val="36"/>
          <w:szCs w:val="36"/>
        </w:rPr>
        <w:t>部门整体支出</w:t>
      </w:r>
    </w:p>
    <w:p>
      <w:pPr>
        <w:spacing w:line="600" w:lineRule="exact"/>
        <w:jc w:val="center"/>
        <w:rPr>
          <w:rFonts w:eastAsia="方正小标宋_GBK"/>
          <w:sz w:val="32"/>
          <w:szCs w:val="32"/>
        </w:rPr>
      </w:pPr>
      <w:r>
        <w:rPr>
          <w:rFonts w:eastAsia="方正小标宋_GBK"/>
          <w:sz w:val="36"/>
          <w:szCs w:val="36"/>
        </w:rPr>
        <w:t>绩效报告</w:t>
      </w:r>
    </w:p>
    <w:p>
      <w:pPr>
        <w:spacing w:line="600" w:lineRule="exact"/>
        <w:jc w:val="center"/>
        <w:rPr>
          <w:rFonts w:eastAsia="方正小标宋_GBK"/>
          <w:sz w:val="32"/>
          <w:szCs w:val="32"/>
        </w:rPr>
      </w:pPr>
    </w:p>
    <w:p>
      <w:pPr>
        <w:pStyle w:val="5"/>
        <w:widowControl/>
        <w:numPr>
          <w:ilvl w:val="0"/>
          <w:numId w:val="1"/>
        </w:numPr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部门、单位基本情况</w:t>
      </w:r>
    </w:p>
    <w:p>
      <w:pPr>
        <w:spacing w:line="560" w:lineRule="exact"/>
        <w:ind w:firstLine="640" w:firstLineChars="200"/>
        <w:rPr>
          <w:rFonts w:hint="eastAsia" w:ascii="Times New Roman" w:hAnsi="Times New Roman" w:eastAsia="黑体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津市政协是行政单位。包括</w:t>
      </w:r>
      <w:r>
        <w:rPr>
          <w:rFonts w:hint="eastAsia" w:ascii="仿宋_GB2312" w:hAnsi="方正大标宋简体" w:eastAsia="仿宋_GB2312"/>
          <w:sz w:val="32"/>
          <w:szCs w:val="32"/>
        </w:rPr>
        <w:t>政协机关、一室六委和政协云服务中心，不含下属单位或机构。</w:t>
      </w:r>
    </w:p>
    <w:p>
      <w:pPr>
        <w:pStyle w:val="5"/>
        <w:widowControl/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二、</w:t>
      </w:r>
      <w:r>
        <w:rPr>
          <w:rFonts w:ascii="Times New Roman" w:hAnsi="Times New Roman" w:eastAsia="黑体"/>
          <w:sz w:val="32"/>
          <w:szCs w:val="32"/>
        </w:rPr>
        <w:t>一般公共预算支出情况</w:t>
      </w:r>
    </w:p>
    <w:p>
      <w:pPr>
        <w:pStyle w:val="5"/>
        <w:widowControl/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（一）</w:t>
      </w:r>
      <w:r>
        <w:rPr>
          <w:rFonts w:ascii="Times New Roman" w:hAnsi="Times New Roman" w:eastAsia="黑体"/>
          <w:sz w:val="32"/>
          <w:szCs w:val="32"/>
        </w:rPr>
        <w:t>基本支出情况</w:t>
      </w:r>
    </w:p>
    <w:p>
      <w:pPr>
        <w:pStyle w:val="5"/>
        <w:widowControl/>
        <w:spacing w:line="600" w:lineRule="exact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 w:bidi="ar-SA"/>
        </w:rPr>
        <w:t>2021年本年支出601.1万元。一般公共预算财政拨款支出601.1万元，占本年支出的100%。</w:t>
      </w:r>
    </w:p>
    <w:p>
      <w:pPr>
        <w:pStyle w:val="5"/>
        <w:widowControl/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（二）</w:t>
      </w:r>
      <w:r>
        <w:rPr>
          <w:rFonts w:ascii="Times New Roman" w:hAnsi="Times New Roman" w:eastAsia="黑体"/>
          <w:sz w:val="32"/>
          <w:szCs w:val="32"/>
        </w:rPr>
        <w:t>项目支出情况</w:t>
      </w:r>
    </w:p>
    <w:p>
      <w:pPr>
        <w:widowControl/>
        <w:spacing w:line="600" w:lineRule="exact"/>
        <w:ind w:firstLine="640" w:firstLineChars="200"/>
        <w:jc w:val="left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1.2021</w:t>
      </w:r>
      <w:r>
        <w:rPr>
          <w:rFonts w:eastAsia="仿宋_GB2312"/>
          <w:sz w:val="32"/>
          <w:szCs w:val="32"/>
        </w:rPr>
        <w:t>年度专项资金安排和使用管理情况</w:t>
      </w:r>
      <w:r>
        <w:rPr>
          <w:rFonts w:hint="eastAsia" w:eastAsia="仿宋_GB2312"/>
          <w:sz w:val="32"/>
          <w:szCs w:val="32"/>
          <w:lang w:eastAsia="zh-CN"/>
        </w:rPr>
        <w:t>：</w:t>
      </w:r>
    </w:p>
    <w:p>
      <w:pPr>
        <w:widowControl/>
        <w:numPr>
          <w:ilvl w:val="0"/>
          <w:numId w:val="2"/>
        </w:numPr>
        <w:spacing w:line="600" w:lineRule="exact"/>
        <w:ind w:left="0" w:leftChars="0" w:firstLine="403" w:firstLineChars="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委员活动、工作组及委办活动经费</w:t>
      </w:r>
      <w:r>
        <w:rPr>
          <w:rFonts w:hint="eastAsia" w:eastAsia="仿宋_GB2312"/>
          <w:sz w:val="32"/>
          <w:szCs w:val="32"/>
          <w:lang w:val="en-US" w:eastAsia="zh-CN"/>
        </w:rPr>
        <w:t xml:space="preserve">  57.7万元；</w:t>
      </w:r>
    </w:p>
    <w:p>
      <w:pPr>
        <w:widowControl/>
        <w:numPr>
          <w:ilvl w:val="0"/>
          <w:numId w:val="2"/>
        </w:numPr>
        <w:spacing w:line="600" w:lineRule="exact"/>
        <w:ind w:left="0" w:leftChars="0" w:firstLine="403" w:firstLineChars="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全会、常委会议经费30万元；</w:t>
      </w:r>
    </w:p>
    <w:p>
      <w:pPr>
        <w:widowControl/>
        <w:numPr>
          <w:ilvl w:val="0"/>
          <w:numId w:val="2"/>
        </w:numPr>
        <w:spacing w:line="600" w:lineRule="exact"/>
        <w:ind w:left="0" w:leftChars="0" w:firstLine="403" w:firstLineChars="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信息化建设、调研、培训、文史征编、评议、招商等</w:t>
      </w:r>
      <w:r>
        <w:rPr>
          <w:rFonts w:hint="eastAsia" w:eastAsia="仿宋_GB2312"/>
          <w:sz w:val="32"/>
          <w:szCs w:val="32"/>
          <w:lang w:eastAsia="zh-CN"/>
        </w:rPr>
        <w:t>经费</w:t>
      </w:r>
      <w:r>
        <w:rPr>
          <w:rFonts w:hint="eastAsia" w:eastAsia="仿宋_GB2312"/>
          <w:sz w:val="32"/>
          <w:szCs w:val="32"/>
          <w:lang w:val="en-US" w:eastAsia="zh-CN"/>
        </w:rPr>
        <w:t>65.2万元；</w:t>
      </w:r>
    </w:p>
    <w:p>
      <w:pPr>
        <w:widowControl/>
        <w:numPr>
          <w:ilvl w:val="0"/>
          <w:numId w:val="2"/>
        </w:numPr>
        <w:spacing w:line="600" w:lineRule="exact"/>
        <w:ind w:left="0" w:leftChars="0" w:firstLine="403" w:firstLineChars="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委员培训、委员工作室等经费32</w:t>
      </w:r>
      <w:bookmarkStart w:id="0" w:name="_GoBack"/>
      <w:bookmarkEnd w:id="0"/>
      <w:r>
        <w:rPr>
          <w:rFonts w:hint="eastAsia" w:eastAsia="仿宋_GB2312"/>
          <w:sz w:val="32"/>
          <w:szCs w:val="32"/>
          <w:lang w:val="en-US" w:eastAsia="zh-CN"/>
        </w:rPr>
        <w:t>万。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2.</w:t>
      </w:r>
      <w:r>
        <w:rPr>
          <w:rFonts w:eastAsia="仿宋_GB2312"/>
          <w:sz w:val="32"/>
          <w:szCs w:val="32"/>
        </w:rPr>
        <w:t>除专项资金以外的其他项目支出情况</w:t>
      </w:r>
      <w:r>
        <w:rPr>
          <w:rFonts w:hint="eastAsia" w:eastAsia="仿宋_GB2312"/>
          <w:sz w:val="32"/>
          <w:szCs w:val="32"/>
          <w:lang w:eastAsia="zh-CN"/>
        </w:rPr>
        <w:t>：无</w:t>
      </w:r>
    </w:p>
    <w:p>
      <w:pPr>
        <w:pStyle w:val="5"/>
        <w:widowControl/>
        <w:spacing w:line="600" w:lineRule="exact"/>
        <w:ind w:left="0" w:leftChars="0"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三、</w:t>
      </w:r>
      <w:r>
        <w:rPr>
          <w:rFonts w:ascii="Times New Roman" w:hAnsi="Times New Roman" w:eastAsia="黑体"/>
          <w:sz w:val="32"/>
          <w:szCs w:val="32"/>
        </w:rPr>
        <w:t>政府性基金预算支出情况</w:t>
      </w:r>
    </w:p>
    <w:p>
      <w:pPr>
        <w:pStyle w:val="5"/>
        <w:widowControl/>
        <w:numPr>
          <w:ilvl w:val="0"/>
          <w:numId w:val="0"/>
        </w:numPr>
        <w:spacing w:line="600" w:lineRule="exact"/>
        <w:ind w:firstLine="640" w:firstLineChars="20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无</w:t>
      </w:r>
    </w:p>
    <w:p>
      <w:pPr>
        <w:widowControl/>
        <w:numPr>
          <w:ilvl w:val="0"/>
          <w:numId w:val="3"/>
        </w:numPr>
        <w:spacing w:line="60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部门整体支出绩效情况</w:t>
      </w:r>
    </w:p>
    <w:p>
      <w:pPr>
        <w:widowControl/>
        <w:numPr>
          <w:ilvl w:val="0"/>
          <w:numId w:val="0"/>
        </w:numPr>
        <w:spacing w:line="600" w:lineRule="exact"/>
        <w:ind w:firstLine="640" w:firstLineChars="200"/>
        <w:jc w:val="left"/>
        <w:rPr>
          <w:rFonts w:hint="eastAsia" w:ascii="仿宋_GB2312" w:hAnsi="方正大标宋简体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D3D3D"/>
          <w:spacing w:val="0"/>
          <w:sz w:val="32"/>
          <w:szCs w:val="32"/>
          <w:shd w:val="clear" w:color="auto" w:fill="FFFFFF"/>
        </w:rPr>
        <w:t>预算绩效情况的说明。</w:t>
      </w:r>
      <w:r>
        <w:rPr>
          <w:rFonts w:hint="eastAsia" w:ascii="仿宋_GB2312" w:hAnsi="仿宋_GB2312" w:eastAsia="仿宋_GB2312" w:cs="仿宋_GB2312"/>
          <w:i w:val="0"/>
          <w:caps w:val="0"/>
          <w:color w:val="3D3D3D"/>
          <w:spacing w:val="0"/>
          <w:sz w:val="32"/>
          <w:szCs w:val="32"/>
          <w:shd w:val="clear" w:color="auto" w:fill="FFFFFF"/>
          <w:lang w:eastAsia="zh-CN"/>
        </w:rPr>
        <w:t>于</w:t>
      </w:r>
      <w:r>
        <w:rPr>
          <w:rFonts w:hint="eastAsia" w:ascii="仿宋_GB2312" w:hAnsi="仿宋_GB2312" w:eastAsia="仿宋_GB2312" w:cs="仿宋_GB2312"/>
          <w:i w:val="0"/>
          <w:caps w:val="0"/>
          <w:color w:val="3D3D3D"/>
          <w:spacing w:val="0"/>
          <w:sz w:val="32"/>
          <w:szCs w:val="32"/>
          <w:shd w:val="clear" w:color="auto" w:fill="FFFFFF"/>
        </w:rPr>
        <w:t>20</w:t>
      </w:r>
      <w:r>
        <w:rPr>
          <w:rFonts w:hint="eastAsia" w:ascii="仿宋_GB2312" w:hAnsi="仿宋_GB2312" w:eastAsia="仿宋_GB2312" w:cs="仿宋_GB2312"/>
          <w:i w:val="0"/>
          <w:caps w:val="0"/>
          <w:color w:val="3D3D3D"/>
          <w:spacing w:val="0"/>
          <w:sz w:val="32"/>
          <w:szCs w:val="32"/>
          <w:shd w:val="clear" w:color="auto" w:fill="FFFFFF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i w:val="0"/>
          <w:caps w:val="0"/>
          <w:color w:val="3D3D3D"/>
          <w:spacing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i w:val="0"/>
          <w:caps w:val="0"/>
          <w:color w:val="3D3D3D"/>
          <w:spacing w:val="0"/>
          <w:sz w:val="32"/>
          <w:szCs w:val="32"/>
          <w:shd w:val="clear" w:color="auto" w:fill="FFFFFF"/>
          <w:lang w:val="en-US" w:eastAsia="zh-CN"/>
        </w:rPr>
        <w:t>10月召开</w:t>
      </w:r>
      <w:r>
        <w:rPr>
          <w:rFonts w:hint="eastAsia" w:ascii="仿宋_GB2312" w:hAnsi="仿宋_GB2312" w:eastAsia="仿宋_GB2312" w:cs="仿宋_GB2312"/>
          <w:i w:val="0"/>
          <w:caps w:val="0"/>
          <w:color w:val="3D3D3D"/>
          <w:spacing w:val="0"/>
          <w:sz w:val="32"/>
          <w:szCs w:val="32"/>
          <w:shd w:val="clear" w:color="auto" w:fill="FFFFFF"/>
        </w:rPr>
        <w:t>市政协</w:t>
      </w:r>
      <w:r>
        <w:rPr>
          <w:rFonts w:hint="eastAsia" w:ascii="仿宋_GB2312" w:hAnsi="仿宋_GB2312" w:eastAsia="仿宋_GB2312" w:cs="仿宋_GB2312"/>
          <w:i w:val="0"/>
          <w:caps w:val="0"/>
          <w:color w:val="3D3D3D"/>
          <w:spacing w:val="0"/>
          <w:sz w:val="32"/>
          <w:szCs w:val="32"/>
          <w:shd w:val="clear" w:color="auto" w:fill="FFFFFF"/>
          <w:lang w:val="en-US" w:eastAsia="zh-CN"/>
        </w:rPr>
        <w:t>十三届一次会议，调动委员充分发挥主体</w:t>
      </w:r>
      <w:r>
        <w:rPr>
          <w:rFonts w:hint="eastAsia" w:ascii="仿宋_GB2312" w:hAnsi="方正大标宋简体" w:eastAsia="仿宋_GB2312"/>
          <w:kern w:val="2"/>
          <w:sz w:val="32"/>
          <w:szCs w:val="32"/>
          <w:lang w:val="en-US" w:eastAsia="zh-CN" w:bidi="ar-SA"/>
        </w:rPr>
        <w:t>作用，履行好政治协商、民主监督、参政议政的基本职能，</w:t>
      </w:r>
      <w:r>
        <w:rPr>
          <w:rFonts w:hint="eastAsia" w:ascii="仿宋_GB2312" w:hAnsi="仿宋_GB2312" w:eastAsia="仿宋_GB2312" w:cs="仿宋_GB2312"/>
          <w:i w:val="0"/>
          <w:caps w:val="0"/>
          <w:color w:val="3D3D3D"/>
          <w:spacing w:val="0"/>
          <w:sz w:val="32"/>
          <w:szCs w:val="32"/>
          <w:shd w:val="clear" w:color="auto" w:fill="FFFFFF"/>
          <w:lang w:val="en-US" w:eastAsia="zh-CN"/>
        </w:rPr>
        <w:t>完成政协第十三届委员会第一次会议各项议程，组织委员参与各项履职活动。同时，</w:t>
      </w:r>
      <w:r>
        <w:rPr>
          <w:rFonts w:hint="eastAsia" w:ascii="仿宋_GB2312" w:hAnsi="仿宋_GB2312" w:eastAsia="仿宋_GB2312" w:cs="仿宋_GB2312"/>
          <w:i w:val="0"/>
          <w:caps w:val="0"/>
          <w:color w:val="3D3D3D"/>
          <w:spacing w:val="0"/>
          <w:sz w:val="32"/>
          <w:szCs w:val="32"/>
          <w:shd w:val="clear" w:color="auto" w:fill="FFFFFF"/>
        </w:rPr>
        <w:t>市政协牢牢把握团结和民主两大主题，</w:t>
      </w:r>
      <w:r>
        <w:rPr>
          <w:rFonts w:hint="eastAsia" w:ascii="仿宋_GB2312" w:hAnsi="仿宋_GB2312" w:eastAsia="仿宋_GB2312" w:cs="仿宋_GB2312"/>
          <w:i w:val="0"/>
          <w:caps w:val="0"/>
          <w:color w:val="3D3D3D"/>
          <w:spacing w:val="0"/>
          <w:sz w:val="32"/>
          <w:szCs w:val="32"/>
          <w:shd w:val="clear" w:color="auto" w:fill="FFFFFF"/>
          <w:lang w:val="en-US" w:eastAsia="zh-CN"/>
        </w:rPr>
        <w:t>按照</w:t>
      </w:r>
      <w:r>
        <w:rPr>
          <w:rFonts w:hint="eastAsia" w:ascii="仿宋_GB2312" w:hAnsi="仿宋_GB2312" w:eastAsia="仿宋_GB2312" w:cs="仿宋_GB2312"/>
          <w:i w:val="0"/>
          <w:caps w:val="0"/>
          <w:color w:val="3D3D3D"/>
          <w:spacing w:val="0"/>
          <w:sz w:val="32"/>
          <w:szCs w:val="32"/>
          <w:shd w:val="clear" w:color="auto" w:fill="FFFFFF"/>
        </w:rPr>
        <w:t>20</w:t>
      </w:r>
      <w:r>
        <w:rPr>
          <w:rFonts w:hint="eastAsia" w:ascii="仿宋_GB2312" w:hAnsi="仿宋_GB2312" w:eastAsia="仿宋_GB2312" w:cs="仿宋_GB2312"/>
          <w:i w:val="0"/>
          <w:caps w:val="0"/>
          <w:color w:val="3D3D3D"/>
          <w:spacing w:val="0"/>
          <w:sz w:val="32"/>
          <w:szCs w:val="32"/>
          <w:shd w:val="clear" w:color="auto" w:fill="FFFFFF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i w:val="0"/>
          <w:caps w:val="0"/>
          <w:color w:val="3D3D3D"/>
          <w:spacing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i w:val="0"/>
          <w:caps w:val="0"/>
          <w:color w:val="3D3D3D"/>
          <w:spacing w:val="0"/>
          <w:sz w:val="32"/>
          <w:szCs w:val="32"/>
          <w:shd w:val="clear" w:color="auto" w:fill="FFFFFF"/>
          <w:lang w:val="en-US" w:eastAsia="zh-CN"/>
        </w:rPr>
        <w:t>政协常委会工作要点的相关要求，</w:t>
      </w:r>
      <w:r>
        <w:rPr>
          <w:rFonts w:hint="eastAsia" w:ascii="仿宋_GB2312" w:hAnsi="仿宋_GB2312" w:eastAsia="仿宋_GB2312" w:cs="仿宋_GB2312"/>
          <w:i w:val="0"/>
          <w:caps w:val="0"/>
          <w:color w:val="3D3D3D"/>
          <w:spacing w:val="0"/>
          <w:sz w:val="32"/>
          <w:szCs w:val="32"/>
          <w:shd w:val="clear" w:color="auto" w:fill="FFFFFF"/>
        </w:rPr>
        <w:t>坚持“忠实履职，奉献津市”，</w:t>
      </w:r>
      <w:r>
        <w:rPr>
          <w:rFonts w:hint="eastAsia" w:ascii="仿宋_GB2312" w:hAnsi="仿宋_GB2312" w:eastAsia="仿宋_GB2312" w:cs="仿宋_GB2312"/>
          <w:i w:val="0"/>
          <w:caps w:val="0"/>
          <w:color w:val="3D3D3D"/>
          <w:spacing w:val="0"/>
          <w:sz w:val="32"/>
          <w:szCs w:val="32"/>
          <w:shd w:val="clear" w:color="auto" w:fill="FFFFFF"/>
          <w:lang w:eastAsia="zh-CN"/>
        </w:rPr>
        <w:t>组织委员开展</w:t>
      </w:r>
      <w:r>
        <w:rPr>
          <w:rFonts w:hint="eastAsia" w:ascii="仿宋_GB2312" w:hAnsi="仿宋_GB2312" w:eastAsia="仿宋_GB2312" w:cs="仿宋_GB2312"/>
          <w:i w:val="0"/>
          <w:caps w:val="0"/>
          <w:color w:val="3D3D3D"/>
          <w:spacing w:val="0"/>
          <w:sz w:val="32"/>
          <w:szCs w:val="32"/>
          <w:shd w:val="clear" w:color="auto" w:fill="FFFFFF"/>
          <w:lang w:val="en-US" w:eastAsia="zh-CN"/>
        </w:rPr>
        <w:t>调研、视察及委员活动等，充分发挥市政协委员主体的作用，履行好政治协商、民主监督、参政议政的基本职能，较好地完成全会、常委会、主席会及其他政协工作相关安排。</w:t>
      </w:r>
    </w:p>
    <w:p>
      <w:pPr>
        <w:pStyle w:val="5"/>
        <w:widowControl/>
        <w:spacing w:line="600" w:lineRule="exact"/>
        <w:ind w:left="640" w:firstLine="0" w:firstLineChars="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五</w:t>
      </w:r>
      <w:r>
        <w:rPr>
          <w:rFonts w:hint="eastAsia" w:ascii="Times New Roman" w:hAnsi="Times New Roman" w:eastAsia="黑体"/>
          <w:sz w:val="32"/>
          <w:szCs w:val="32"/>
        </w:rPr>
        <w:t>、</w:t>
      </w:r>
      <w:r>
        <w:rPr>
          <w:rFonts w:ascii="Times New Roman" w:hAnsi="Times New Roman" w:eastAsia="黑体"/>
          <w:sz w:val="32"/>
          <w:szCs w:val="32"/>
        </w:rPr>
        <w:t>存在的问题及原因分析</w:t>
      </w:r>
    </w:p>
    <w:p>
      <w:pPr>
        <w:widowControl/>
        <w:spacing w:line="600" w:lineRule="exact"/>
        <w:ind w:firstLine="640" w:firstLineChars="200"/>
        <w:jc w:val="left"/>
        <w:rPr>
          <w:rFonts w:hint="eastAsia" w:ascii="仿宋_GB2312" w:hAnsi="仿宋_GB2312" w:eastAsia="仿宋_GB2312" w:cs="仿宋_GB2312"/>
          <w:i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1.财务管理制度有待进一步完善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仿宋_GB2312" w:hAnsi="仿宋_GB2312" w:eastAsia="仿宋_GB2312" w:cs="仿宋_GB2312"/>
          <w:i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2.财务业务知识欠缺</w:t>
      </w:r>
    </w:p>
    <w:p>
      <w:pPr>
        <w:widowControl/>
        <w:spacing w:line="600" w:lineRule="exact"/>
        <w:ind w:firstLine="640" w:firstLineChars="200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六</w:t>
      </w:r>
      <w:r>
        <w:rPr>
          <w:rFonts w:eastAsia="黑体"/>
          <w:sz w:val="32"/>
          <w:szCs w:val="32"/>
        </w:rPr>
        <w:t>、下一步改进措施</w:t>
      </w:r>
    </w:p>
    <w:p>
      <w:pPr>
        <w:widowControl/>
        <w:spacing w:line="600" w:lineRule="exact"/>
        <w:ind w:firstLine="640" w:firstLineChars="200"/>
        <w:jc w:val="left"/>
        <w:rPr>
          <w:rFonts w:hint="eastAsia" w:ascii="仿宋_GB2312" w:hAnsi="仿宋_GB2312" w:eastAsia="仿宋_GB2312" w:cs="仿宋_GB2312"/>
          <w:i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加强财务知识的学习，加强内部管理与协作，进一步规范财务管理。</w:t>
      </w:r>
    </w:p>
    <w:p>
      <w:pPr>
        <w:widowControl/>
        <w:numPr>
          <w:ilvl w:val="0"/>
          <w:numId w:val="4"/>
        </w:numPr>
        <w:spacing w:line="60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其他需要说明的情况</w:t>
      </w:r>
    </w:p>
    <w:p>
      <w:pPr>
        <w:widowControl/>
        <w:spacing w:line="600" w:lineRule="exact"/>
        <w:ind w:firstLine="645"/>
        <w:jc w:val="left"/>
        <w:rPr>
          <w:rFonts w:hint="eastAsia" w:eastAsia="黑体"/>
          <w:sz w:val="32"/>
          <w:szCs w:val="32"/>
          <w:lang w:eastAsia="zh-CN"/>
        </w:rPr>
      </w:pPr>
      <w:r>
        <w:rPr>
          <w:rFonts w:hint="eastAsia" w:eastAsia="黑体"/>
          <w:sz w:val="32"/>
          <w:szCs w:val="32"/>
          <w:lang w:eastAsia="zh-CN"/>
        </w:rPr>
        <w:t>无</w:t>
      </w:r>
    </w:p>
    <w:p>
      <w:pPr>
        <w:widowControl/>
        <w:numPr>
          <w:ilvl w:val="0"/>
          <w:numId w:val="0"/>
        </w:numPr>
        <w:spacing w:line="600" w:lineRule="exact"/>
        <w:jc w:val="left"/>
        <w:rPr>
          <w:rFonts w:eastAsia="黑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C697DE"/>
    <w:multiLevelType w:val="singleLevel"/>
    <w:tmpl w:val="08C697DE"/>
    <w:lvl w:ilvl="0" w:tentative="0">
      <w:start w:val="1"/>
      <w:numFmt w:val="decimalEnclosedCircleChinese"/>
      <w:suff w:val="nothing"/>
      <w:lvlText w:val="%1　"/>
      <w:lvlJc w:val="left"/>
      <w:pPr>
        <w:tabs>
          <w:tab w:val="left" w:pos="0"/>
        </w:tabs>
        <w:ind w:left="0" w:firstLine="403"/>
      </w:pPr>
      <w:rPr>
        <w:rFonts w:hint="eastAsia"/>
      </w:rPr>
    </w:lvl>
  </w:abstractNum>
  <w:abstractNum w:abstractNumId="1">
    <w:nsid w:val="62B69F11"/>
    <w:multiLevelType w:val="singleLevel"/>
    <w:tmpl w:val="62B69F11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7FEE76C"/>
    <w:multiLevelType w:val="singleLevel"/>
    <w:tmpl w:val="67FEE76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7F682F2F"/>
    <w:multiLevelType w:val="singleLevel"/>
    <w:tmpl w:val="7F682F2F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76E09"/>
    <w:rsid w:val="14975CFE"/>
    <w:rsid w:val="235C3CA1"/>
    <w:rsid w:val="2EC26EC1"/>
    <w:rsid w:val="3A076E09"/>
    <w:rsid w:val="3B8F3226"/>
    <w:rsid w:val="5A9D5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List Paragraph"/>
    <w:basedOn w:val="1"/>
    <w:qFormat/>
    <w:uiPriority w:val="99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2021-03-15T06:50:00Z</dcterms:created>
  <dc:creator>Administrator</dc:creator>
  <cp:lastModifiedBy>翠翠</cp:lastModifiedBy>
  <dcterms:modified xsi:type="dcterms:W3CDTF">2022-03-24T07:00:56Z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7D43B314F7C24157BF42E5D065D8A65F</vt:lpwstr>
  </property>
</Properties>
</file>