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津市市人民政府办公室2021年度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2"/>
        <w:adjustRightInd w:val="0"/>
        <w:snapToGrid w:val="0"/>
        <w:spacing w:before="0" w:line="600" w:lineRule="exact"/>
        <w:ind w:left="0" w:firstLine="611" w:firstLineChars="200"/>
        <w:jc w:val="both"/>
        <w:rPr>
          <w:rFonts w:ascii="仿宋_GB2312" w:hAnsi="仿宋_GB2312" w:eastAsia="仿宋_GB2312" w:cs="仿宋_GB2312"/>
          <w:w w:val="95"/>
        </w:rPr>
      </w:pPr>
      <w:r>
        <w:rPr>
          <w:rFonts w:hint="eastAsia" w:ascii="仿宋_GB2312" w:hAnsi="仿宋_GB2312" w:eastAsia="仿宋_GB2312" w:cs="仿宋_GB2312"/>
          <w:w w:val="95"/>
        </w:rPr>
        <w:t>（一）职能职责。</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1.协助市政府领导组织起草或审核以市政府、市政府办名义发布的公文。</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2.研究市政府各部门、镇政府、街道办事处向市政府请示的事项，提出审核意见，或对市政府部门间的分歧事项提出处理意见，报市政府领导审批、决定。</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3.负责市政府会议和重大活动的组织和服务工作，并协助市政府领导组织实施会议决定事项。</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4.负责市政府值班工作，及时报告重要情况，传达和督促落实市政府领导指示。</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5.督促检查市政府各部门和镇政府、街道办事处对市政府决定事项及市政府领导有关指示的贯彻落实情况，及时向市政府领导报告。</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6.起草《政府工作报告》和市政府领导的重要讲话；负责起草市政府向省委、常德市委、政府的重要汇报材料；组织和协同有关方面起草、修改市政府有关重要综</w:t>
      </w:r>
    </w:p>
    <w:p>
      <w:pPr>
        <w:spacing w:line="560" w:lineRule="exact"/>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合性文件；组织起草市政府有关重要会议文件。</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7.对涉及全市经济社会发展和改革开放中带全局性的重大课题进行调查研究，提出政策建议。</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8.组织有关专家对全市经济社会发展的重大问题、重大决策、重大项目等进行研究论证，提供咨询服务。</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9.搜集、研究和综合经济社会发展的重要信息、动态，为市政府决策提供参考；编辑市政府公报和有关内刊。</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10.协调推进优化经济发展环境、治理工程建设领域突出问题等工作，指导镇政府、街道办事处相关工作。</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11.组织办理人大代表建议和政协委员提案；督促检查市人民政府各部门贯彻落实市人大常委会决定、决议的情况。</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12.负责市人民政府城市工作。</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13.负责市人民政府金融工作。</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14.承办市委、市人民政府交办的其他事项。</w:t>
      </w:r>
    </w:p>
    <w:p>
      <w:pPr>
        <w:pStyle w:val="2"/>
        <w:adjustRightInd w:val="0"/>
        <w:snapToGrid w:val="0"/>
        <w:spacing w:before="0" w:line="600" w:lineRule="exact"/>
        <w:ind w:left="0" w:firstLine="643" w:firstLineChars="200"/>
        <w:jc w:val="both"/>
        <w:rPr>
          <w:rFonts w:ascii="仿宋_GB2312" w:hAnsi="仿宋_GB2312" w:eastAsia="仿宋_GB2312" w:cs="仿宋_GB2312"/>
        </w:rPr>
      </w:pPr>
      <w:r>
        <w:rPr>
          <w:rFonts w:hint="eastAsia" w:ascii="仿宋_GB2312" w:hAnsi="仿宋_GB2312" w:eastAsia="仿宋_GB2312" w:cs="仿宋_GB2312"/>
        </w:rPr>
        <w:t>（二）机构设置。</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根据上述职责，市政府办设10个内设机构：</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1.值班室</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2.秘书室</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3.综合调研室</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4.督查室（津市市人民政府督查室）</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5.热线办公室</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6.城市工作办公室</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7.优化经济发展环境办公室</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8.金融工作办公室</w:t>
      </w:r>
    </w:p>
    <w:p>
      <w:pPr>
        <w:spacing w:line="560" w:lineRule="exact"/>
        <w:ind w:firstLine="610" w:firstLineChars="200"/>
        <w:rPr>
          <w:rFonts w:ascii="仿宋" w:hAnsi="仿宋" w:eastAsia="仿宋"/>
          <w:color w:val="000000"/>
          <w:spacing w:val="10"/>
          <w:w w:val="95"/>
          <w:sz w:val="30"/>
          <w:szCs w:val="30"/>
        </w:rPr>
      </w:pPr>
      <w:r>
        <w:rPr>
          <w:rFonts w:hint="eastAsia" w:ascii="仿宋" w:hAnsi="仿宋" w:eastAsia="仿宋"/>
          <w:color w:val="000000"/>
          <w:spacing w:val="10"/>
          <w:w w:val="95"/>
          <w:sz w:val="30"/>
          <w:szCs w:val="30"/>
        </w:rPr>
        <w:t>9.后勤办</w:t>
      </w:r>
    </w:p>
    <w:p>
      <w:pPr>
        <w:spacing w:line="560" w:lineRule="exact"/>
        <w:ind w:firstLine="610" w:firstLineChars="200"/>
        <w:rPr>
          <w:rFonts w:ascii="仿宋_GB2312" w:hAnsi="仿宋_GB2312" w:eastAsia="仿宋_GB2312" w:cs="仿宋_GB2312"/>
          <w:sz w:val="32"/>
          <w:szCs w:val="32"/>
        </w:rPr>
      </w:pPr>
      <w:r>
        <w:rPr>
          <w:rFonts w:hint="eastAsia" w:ascii="仿宋" w:hAnsi="仿宋" w:eastAsia="仿宋"/>
          <w:color w:val="000000"/>
          <w:spacing w:val="10"/>
          <w:w w:val="95"/>
          <w:sz w:val="30"/>
          <w:szCs w:val="30"/>
        </w:rPr>
        <w:t>10.党建办</w:t>
      </w:r>
    </w:p>
    <w:p>
      <w:pPr>
        <w:pStyle w:val="5"/>
        <w:widowControl/>
        <w:numPr>
          <w:ilvl w:val="0"/>
          <w:numId w:val="0"/>
        </w:numPr>
        <w:spacing w:line="600" w:lineRule="exact"/>
        <w:ind w:left="640" w:leftChars="0"/>
        <w:rPr>
          <w:rFonts w:ascii="Times New Roman" w:hAnsi="Times New Roman" w:eastAsia="黑体"/>
          <w:sz w:val="32"/>
          <w:szCs w:val="32"/>
        </w:rPr>
      </w:pPr>
    </w:p>
    <w:p>
      <w:pPr>
        <w:pStyle w:val="5"/>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snapToGrid w:val="0"/>
        <w:spacing w:line="520" w:lineRule="exact"/>
        <w:ind w:firstLine="640" w:firstLineChars="200"/>
        <w:rPr>
          <w:rFonts w:hint="eastAsia" w:ascii="仿宋_GB2312" w:eastAsia="仿宋_GB2312"/>
          <w:sz w:val="32"/>
          <w:szCs w:val="32"/>
          <w:shd w:val="clear" w:color="auto" w:fill="FFFFFF"/>
          <w:lang w:eastAsia="zh-CN"/>
        </w:rPr>
      </w:pPr>
      <w:r>
        <w:rPr>
          <w:rFonts w:hint="eastAsia"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年我单位总支出</w:t>
      </w:r>
      <w:r>
        <w:rPr>
          <w:rFonts w:hint="eastAsia" w:ascii="仿宋_GB2312" w:eastAsia="仿宋_GB2312"/>
          <w:sz w:val="32"/>
          <w:szCs w:val="32"/>
          <w:shd w:val="clear" w:color="auto" w:fill="FFFFFF"/>
          <w:lang w:val="en-US" w:eastAsia="zh-CN"/>
        </w:rPr>
        <w:t>1055.177</w:t>
      </w:r>
      <w:r>
        <w:rPr>
          <w:rFonts w:hint="eastAsia" w:ascii="仿宋_GB2312" w:eastAsia="仿宋_GB2312"/>
          <w:sz w:val="32"/>
          <w:szCs w:val="32"/>
        </w:rPr>
        <w:t>万元，比上年支出</w:t>
      </w:r>
      <w:r>
        <w:rPr>
          <w:rFonts w:hint="eastAsia" w:ascii="仿宋_GB2312" w:eastAsia="仿宋_GB2312"/>
          <w:sz w:val="32"/>
          <w:szCs w:val="32"/>
          <w:lang w:val="en-US" w:eastAsia="zh-CN"/>
        </w:rPr>
        <w:t>976.7</w:t>
      </w:r>
      <w:r>
        <w:rPr>
          <w:rFonts w:hint="eastAsia" w:ascii="仿宋_GB2312" w:eastAsia="仿宋_GB2312"/>
          <w:sz w:val="32"/>
          <w:szCs w:val="32"/>
        </w:rPr>
        <w:t>万元</w:t>
      </w:r>
      <w:r>
        <w:rPr>
          <w:rFonts w:hint="eastAsia" w:ascii="仿宋_GB2312" w:eastAsia="仿宋_GB2312"/>
          <w:sz w:val="32"/>
          <w:szCs w:val="32"/>
          <w:shd w:val="clear" w:color="auto" w:fill="FFFFFF"/>
          <w:lang w:eastAsia="zh-CN"/>
        </w:rPr>
        <w:t>增加</w:t>
      </w:r>
      <w:r>
        <w:rPr>
          <w:rFonts w:hint="eastAsia" w:ascii="仿宋_GB2312" w:eastAsia="仿宋_GB2312"/>
          <w:sz w:val="32"/>
          <w:szCs w:val="32"/>
          <w:shd w:val="clear" w:color="auto" w:fill="FFFFFF"/>
          <w:lang w:val="en-US" w:eastAsia="zh-CN"/>
        </w:rPr>
        <w:t>78.4万元，</w:t>
      </w:r>
      <w:r>
        <w:rPr>
          <w:rFonts w:hint="eastAsia" w:ascii="仿宋_GB2312" w:eastAsia="仿宋_GB2312"/>
          <w:sz w:val="32"/>
          <w:szCs w:val="32"/>
        </w:rPr>
        <w:t>支出</w:t>
      </w:r>
      <w:r>
        <w:rPr>
          <w:rFonts w:hint="eastAsia" w:ascii="仿宋_GB2312" w:eastAsia="仿宋_GB2312"/>
          <w:sz w:val="32"/>
          <w:szCs w:val="32"/>
          <w:lang w:eastAsia="zh-CN"/>
        </w:rPr>
        <w:t>增加</w:t>
      </w:r>
      <w:r>
        <w:rPr>
          <w:rFonts w:hint="eastAsia" w:ascii="仿宋_GB2312" w:eastAsia="仿宋_GB2312"/>
          <w:sz w:val="32"/>
          <w:szCs w:val="32"/>
        </w:rPr>
        <w:t>主要是</w:t>
      </w:r>
      <w:r>
        <w:rPr>
          <w:rFonts w:hint="eastAsia" w:ascii="仿宋_GB2312" w:eastAsia="仿宋_GB2312"/>
          <w:sz w:val="32"/>
          <w:szCs w:val="32"/>
          <w:shd w:val="clear" w:color="auto" w:fill="FFFFFF"/>
          <w:lang w:eastAsia="zh-CN"/>
        </w:rPr>
        <w:t>新进人员工资调整等。</w:t>
      </w:r>
      <w:bookmarkStart w:id="0" w:name="_GoBack"/>
      <w:bookmarkEnd w:id="0"/>
    </w:p>
    <w:p>
      <w:pPr>
        <w:pStyle w:val="5"/>
        <w:widowControl/>
        <w:numPr>
          <w:ilvl w:val="0"/>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5"/>
        <w:widowControl/>
        <w:numPr>
          <w:ilvl w:val="0"/>
          <w:numId w:val="0"/>
        </w:numPr>
        <w:spacing w:line="600" w:lineRule="exact"/>
        <w:ind w:left="640" w:leftChars="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无</w:t>
      </w:r>
    </w:p>
    <w:p>
      <w:pPr>
        <w:pStyle w:val="5"/>
        <w:widowControl/>
        <w:numPr>
          <w:ilvl w:val="0"/>
          <w:numId w:val="0"/>
        </w:numPr>
        <w:spacing w:line="600" w:lineRule="exact"/>
        <w:ind w:left="640" w:leftChars="0"/>
        <w:jc w:val="left"/>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四、部门整体支出绩效情况</w:t>
      </w:r>
    </w:p>
    <w:p>
      <w:pPr>
        <w:pStyle w:val="5"/>
        <w:widowControl/>
        <w:numPr>
          <w:ilvl w:val="0"/>
          <w:numId w:val="0"/>
        </w:numPr>
        <w:spacing w:line="600" w:lineRule="exact"/>
        <w:ind w:left="640" w:leftChars="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1、职责执行到位</w:t>
      </w:r>
    </w:p>
    <w:p>
      <w:pPr>
        <w:pStyle w:val="5"/>
        <w:widowControl/>
        <w:numPr>
          <w:ilvl w:val="0"/>
          <w:numId w:val="0"/>
        </w:numPr>
        <w:spacing w:line="600" w:lineRule="exact"/>
        <w:ind w:left="640" w:leftChars="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2、办公大楼正常运行</w:t>
      </w:r>
    </w:p>
    <w:p>
      <w:pPr>
        <w:pStyle w:val="5"/>
        <w:widowControl/>
        <w:numPr>
          <w:ilvl w:val="0"/>
          <w:numId w:val="0"/>
        </w:numPr>
        <w:spacing w:line="600" w:lineRule="exact"/>
        <w:ind w:left="640" w:leftChars="0"/>
        <w:jc w:val="left"/>
        <w:rPr>
          <w:rFonts w:hint="eastAsia" w:ascii="Times New Roman" w:hAnsi="Times New Roman" w:eastAsia="黑体"/>
          <w:sz w:val="32"/>
          <w:szCs w:val="32"/>
          <w:lang w:val="en-US" w:eastAsia="zh-CN"/>
        </w:rPr>
      </w:pPr>
      <w:r>
        <w:rPr>
          <w:rFonts w:hint="eastAsia" w:ascii="仿宋_GB2312" w:eastAsia="仿宋_GB2312"/>
          <w:sz w:val="32"/>
          <w:szCs w:val="32"/>
          <w:lang w:val="en-US" w:eastAsia="zh-CN"/>
        </w:rPr>
        <w:t>3、办公设施购置与办公设备正常运转</w:t>
      </w:r>
    </w:p>
    <w:p>
      <w:pPr>
        <w:pStyle w:val="5"/>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pStyle w:val="5"/>
        <w:widowControl/>
        <w:numPr>
          <w:ilvl w:val="0"/>
          <w:numId w:val="0"/>
        </w:numPr>
        <w:spacing w:line="600" w:lineRule="exact"/>
        <w:ind w:left="640" w:leftChars="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无</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pStyle w:val="5"/>
        <w:widowControl/>
        <w:numPr>
          <w:ilvl w:val="0"/>
          <w:numId w:val="0"/>
        </w:numPr>
        <w:spacing w:line="600" w:lineRule="exact"/>
        <w:ind w:left="640" w:leftChars="0"/>
        <w:jc w:val="left"/>
        <w:rPr>
          <w:rFonts w:eastAsia="黑体"/>
          <w:sz w:val="32"/>
          <w:szCs w:val="32"/>
        </w:rPr>
      </w:pPr>
      <w:r>
        <w:rPr>
          <w:rFonts w:hint="eastAsia" w:ascii="Times New Roman" w:hAnsi="Times New Roman" w:eastAsia="黑体"/>
          <w:sz w:val="32"/>
          <w:szCs w:val="32"/>
          <w:lang w:eastAsia="zh-CN"/>
        </w:rPr>
        <w:t>无</w:t>
      </w:r>
    </w:p>
    <w:p>
      <w:pPr>
        <w:widowControl/>
        <w:numPr>
          <w:ilvl w:val="0"/>
          <w:numId w:val="2"/>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pStyle w:val="5"/>
        <w:widowControl/>
        <w:numPr>
          <w:ilvl w:val="0"/>
          <w:numId w:val="0"/>
        </w:numPr>
        <w:spacing w:line="600" w:lineRule="exact"/>
        <w:ind w:left="640" w:leftChars="0"/>
        <w:jc w:val="left"/>
        <w:rPr>
          <w:rFonts w:eastAsia="黑体"/>
          <w:sz w:val="32"/>
          <w:szCs w:val="32"/>
        </w:rPr>
      </w:pPr>
      <w:r>
        <w:rPr>
          <w:rFonts w:hint="eastAsia" w:ascii="Times New Roman" w:hAnsi="Times New Roman" w:eastAsia="黑体"/>
          <w:sz w:val="32"/>
          <w:szCs w:val="32"/>
          <w:lang w:eastAsia="zh-CN"/>
        </w:rPr>
        <w:t>无</w:t>
      </w:r>
    </w:p>
    <w:p>
      <w:pPr>
        <w:widowControl/>
        <w:numPr>
          <w:ilvl w:val="0"/>
          <w:numId w:val="0"/>
        </w:numPr>
        <w:spacing w:line="600" w:lineRule="exact"/>
        <w:ind w:leftChars="200"/>
        <w:jc w:val="left"/>
        <w:rPr>
          <w:rFonts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E0B30"/>
    <w:multiLevelType w:val="singleLevel"/>
    <w:tmpl w:val="A0BE0B30"/>
    <w:lvl w:ilvl="0" w:tentative="0">
      <w:start w:val="6"/>
      <w:numFmt w:val="chineseCounting"/>
      <w:suff w:val="nothing"/>
      <w:lvlText w:val="%1、"/>
      <w:lvlJc w:val="left"/>
      <w:rPr>
        <w:rFonts w:hint="eastAsia"/>
      </w:rPr>
    </w:lvl>
  </w:abstractNum>
  <w:abstractNum w:abstractNumId="1">
    <w:nsid w:val="DD60F3FD"/>
    <w:multiLevelType w:val="singleLevel"/>
    <w:tmpl w:val="DD60F3F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32D4341"/>
    <w:rsid w:val="10872109"/>
    <w:rsid w:val="1A393414"/>
    <w:rsid w:val="3A076E09"/>
    <w:rsid w:val="3B8F3226"/>
    <w:rsid w:val="5A9D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85"/>
      <w:ind w:left="751"/>
      <w:outlineLvl w:val="0"/>
    </w:pPr>
    <w:rPr>
      <w:rFonts w:ascii="Microsoft JhengHei" w:hAnsi="Microsoft JhengHei" w:eastAsia="Microsoft JhengHei" w:cs="Microsoft JhengHe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897</Words>
  <Characters>948</Characters>
  <Lines>0</Lines>
  <Paragraphs>0</Paragraphs>
  <TotalTime>7</TotalTime>
  <ScaleCrop>false</ScaleCrop>
  <LinksUpToDate>false</LinksUpToDate>
  <CharactersWithSpaces>948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w。</cp:lastModifiedBy>
  <dcterms:modified xsi:type="dcterms:W3CDTF">2022-04-08T03:24:53Z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