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津市市教育局2021年度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1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（一）职能职责。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.贯彻落实国家关于教育工作的法律、法规。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2.负责各级各类教育的统筹规划和协调管理综合管理。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3.会同有关部门审批、设置各级各类学校。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4.参与管理市本级教育经费和上级对本市的教育拨款；参与拟定全市教育经费筹措、教育拨款、教育基建投资政策；负责统计和监测教育经费的投入和使用情况。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5.负责指导、管理全市资助经济困难学生工作。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6.组织、指导、协调全市教育系统和各级各类学校社会治安综合治理和安全工作。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7.指导和管理全市学前教育、基础教育、特殊教育、普通高等和中等专业教育、职业技术教育、成人教育等工作；指导全市各级各类学校的思想政治教育工作。统筹管理全市中小学学籍。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8.在职责范围内，主管全市教师和校长队伍建设工作，负责全市教师奖励、录用考核、职务评审、教师资格认定和注册、教师职业道德教育及教师调配、岗位管理考核、教师退休、教师管理信息系统贯彻实施各级各类教师资格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9.指导和管理全市教育督导工作。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10.组织全市普通高校招生考试、初中学业水平考试、全国英语等级考试、普通高中学业水平考试、教师资格考试工作及选拔飞行员工作。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11.制定全市教学教研改革指导性文件和教研工作计划；.负责贯彻执行教学工作的各项规定，组织教学专项视导，加强教学工作调研；组织开展多层次教改教研活动，参与指导、检查、督促基层学校和教师落实课程计划和课程标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leftChars="0" w:right="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（二）机构设置。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 w:bidi="ar-SA"/>
        </w:rPr>
        <w:t>津市市教育局设10个股室，分别是办公室、安稳办、规划财务股、组织人事股、党建指导股、工会、教育股、学前办、师训股、督导室。5个二级机构分别是管理教学研究室、教学仪器站、勤工俭学管理站、招生自考办公室、学生资助管理中心，5个二级机构未进行独立核算。</w:t>
      </w:r>
    </w:p>
    <w:p>
      <w:pPr>
        <w:pStyle w:val="14"/>
        <w:widowControl/>
        <w:spacing w:line="600" w:lineRule="exact"/>
        <w:ind w:left="0" w:leftChars="0"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14"/>
        <w:widowControl/>
        <w:spacing w:line="600" w:lineRule="exact"/>
        <w:ind w:left="0" w:leftChars="0"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0" w:afterAutospacing="0" w:line="33" w:lineRule="atLeast"/>
        <w:ind w:right="0" w:firstLine="608" w:firstLineChars="200"/>
        <w:jc w:val="both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w w:val="95"/>
          <w:kern w:val="2"/>
          <w:sz w:val="32"/>
          <w:szCs w:val="32"/>
          <w:lang w:val="en-US" w:eastAsia="zh-CN" w:bidi="ar-SA"/>
        </w:rPr>
        <w:t>2021年预算安排资金到位后，我局按照管理制度，真实核算各项教育工作实际支出，将各项资金使用到位。2021年基本支出 9606391.35元，其中：人员经费6689515.21元，日常公用经费2916876.14元。</w:t>
      </w:r>
    </w:p>
    <w:p>
      <w:pPr>
        <w:pStyle w:val="14"/>
        <w:widowControl/>
        <w:numPr>
          <w:ilvl w:val="0"/>
          <w:numId w:val="2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0" w:afterAutospacing="0" w:line="33" w:lineRule="atLeast"/>
        <w:ind w:right="0"/>
        <w:jc w:val="both"/>
        <w:rPr>
          <w:rFonts w:hint="default" w:ascii="仿宋_GB2312" w:hAnsi="仿宋_GB2312" w:eastAsia="仿宋_GB2312" w:cs="仿宋_GB2312"/>
          <w:color w:val="auto"/>
          <w:w w:val="95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w w:val="95"/>
          <w:kern w:val="2"/>
          <w:sz w:val="32"/>
          <w:szCs w:val="32"/>
          <w:lang w:val="en-US" w:eastAsia="zh-CN" w:bidi="ar-SA"/>
        </w:rPr>
        <w:t xml:space="preserve">     2021年项目支出资金为19703170.65元，其中校车专项1774520元，师训费1650000元，其他项目支出16278650.65元。</w:t>
      </w:r>
    </w:p>
    <w:p>
      <w:pPr>
        <w:pStyle w:val="14"/>
        <w:widowControl/>
        <w:numPr>
          <w:ilvl w:val="0"/>
          <w:numId w:val="3"/>
        </w:numPr>
        <w:spacing w:line="600" w:lineRule="exact"/>
        <w:ind w:left="640" w:leftChars="0" w:firstLine="320" w:firstLineChars="1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2021</w:t>
      </w:r>
      <w:r>
        <w:rPr>
          <w:rFonts w:eastAsia="仿宋_GB2312"/>
          <w:sz w:val="32"/>
          <w:szCs w:val="32"/>
        </w:rPr>
        <w:t>年度专项资金安排和使用管理情况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(1)校车专项：2021年校车专项资金1774520元，专项资金安排已落实到位。主要严格执行项目有关制度规定，做到财务制度健全、管理规范、会计核算规范。校车办负责对校车专项资金使用进行监督管理。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(2)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师训费专项：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2021年师训费专项资金1650000元，</w:t>
      </w:r>
      <w:r>
        <w:rPr>
          <w:rFonts w:ascii="Calibri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专</w:t>
      </w:r>
      <w:r>
        <w:rPr>
          <w:rFonts w:hint="eastAsia" w:ascii="Calibri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项资金</w:t>
      </w:r>
      <w:r>
        <w:rPr>
          <w:rFonts w:hint="eastAsia" w:eastAsia="仿宋_GB2312"/>
          <w:sz w:val="32"/>
          <w:szCs w:val="32"/>
          <w:lang w:val="en-US" w:eastAsia="zh-CN"/>
        </w:rPr>
        <w:t>安排已落实到位。</w:t>
      </w: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按</w:t>
      </w:r>
      <w:r>
        <w:rPr>
          <w:rFonts w:hint="eastAsia" w:ascii="仿宋_GB2312" w:hAnsi="宋体" w:eastAsia="仿宋_GB2312" w:cs="宋体"/>
          <w:sz w:val="32"/>
          <w:szCs w:val="32"/>
        </w:rPr>
        <w:t>上级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要求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教育局</w:t>
      </w:r>
      <w:r>
        <w:rPr>
          <w:rFonts w:hint="eastAsia" w:ascii="仿宋_GB2312" w:hAnsi="宋体" w:eastAsia="仿宋_GB2312" w:cs="宋体"/>
          <w:sz w:val="32"/>
          <w:szCs w:val="32"/>
        </w:rPr>
        <w:t>按照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师训工作</w:t>
      </w:r>
      <w:r>
        <w:rPr>
          <w:rFonts w:hint="eastAsia" w:ascii="仿宋_GB2312" w:hAnsi="宋体" w:eastAsia="仿宋_GB2312" w:cs="宋体"/>
          <w:sz w:val="32"/>
          <w:szCs w:val="32"/>
        </w:rPr>
        <w:t>年初计划，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有序</w:t>
      </w:r>
      <w:r>
        <w:rPr>
          <w:rFonts w:hint="eastAsia" w:ascii="仿宋_GB2312" w:hAnsi="宋体" w:eastAsia="仿宋_GB2312" w:cs="宋体"/>
          <w:sz w:val="32"/>
          <w:szCs w:val="32"/>
        </w:rPr>
        <w:t>完成了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师训</w:t>
      </w:r>
      <w:r>
        <w:rPr>
          <w:rFonts w:hint="eastAsia" w:ascii="仿宋_GB2312" w:hAnsi="宋体" w:eastAsia="仿宋_GB2312" w:cs="宋体"/>
          <w:sz w:val="32"/>
          <w:szCs w:val="32"/>
        </w:rPr>
        <w:t>工作，有效提升了全市中小学教师的专业素养和业务能力。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我局建立健全财务管理制度和会计核算制度，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师训专项资金专款专用，严格审批程序，使用规范，会计核算结果真实、准确。</w:t>
      </w:r>
    </w:p>
    <w:p>
      <w:pPr>
        <w:pStyle w:val="14"/>
        <w:widowControl/>
        <w:numPr>
          <w:ilvl w:val="0"/>
          <w:numId w:val="0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eastAsia="仿宋_GB2312"/>
          <w:sz w:val="32"/>
          <w:szCs w:val="32"/>
        </w:rPr>
        <w:t>其他项目支出情况。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  <w:t>2021其他项目支出资金16278650.65元，</w:t>
      </w:r>
      <w:r>
        <w:rPr>
          <w:rFonts w:hint="eastAsia" w:ascii="Calibri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eastAsia" w:eastAsia="仿宋_GB2312"/>
          <w:sz w:val="32"/>
          <w:szCs w:val="32"/>
          <w:lang w:val="en-US" w:eastAsia="zh-CN"/>
        </w:rPr>
        <w:t>安排已落实到位。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用于新建、改扩建和修缮必要的校舍，有序增加整体教育资源不足地区的学位供给，消除城镇“大班额”；重点加强乡镇寄宿制学校宿舍、食堂、厕所和体育运动场地建设；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宋体"/>
          <w:sz w:val="32"/>
          <w:szCs w:val="32"/>
        </w:rPr>
        <w:t>年度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计划实施的建设项目主要包括：白中道路和篮球场改造、保中运动场改造、车胤中学校园改造、信息化设备购置、教学设施设备购置、教学及辅助用房维修、配套设施设备购置。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1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14"/>
        <w:widowControl/>
        <w:spacing w:line="600" w:lineRule="exact"/>
        <w:ind w:left="640" w:firstLine="0" w:firstLineChars="0"/>
        <w:jc w:val="lef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4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right="0" w:firstLine="640" w:firstLineChars="20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2021年主要绩效评价及结论：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合理规划、整合资金，不断改善办学条件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加大维修改造项目力度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教育精准帮扶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推进学前教育发展，加强公办幼儿园建设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单位预算编制科学，民主理财、公开理财氛围浓厚，重大财务事项经由集体研究决策，财务制度健全。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预算执行方面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教育局经费开支严格按预算执行，基本支出的日常财务管理工作由机关财务实行统一核算和统一管理，经费开支按用途使用合理，做到专帐专管,专款专用，不铺张浪费，开源节流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“三公”经费方面，公务接待费及公务用车运行维护费用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略有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下降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预算管理方面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我局制定了切实有效的内部管理制度和经费支出控制方案，有较强的内控风险管理意识、各项经费支出得到了有效控制。</w:t>
      </w:r>
    </w:p>
    <w:p>
      <w:pPr>
        <w:pStyle w:val="14"/>
        <w:widowControl/>
        <w:spacing w:line="600" w:lineRule="exact"/>
        <w:ind w:left="0" w:leftChars="0"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640"/>
        <w:jc w:val="both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因部分工作是年中或年末根据省市相关要求开展，未纳入年初预算，另外还有部分不可预见经费的追加，无法纳入预算，导致预算执行存在偏差。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600"/>
        <w:jc w:val="both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</w:rPr>
        <w:t>2.固定资产管理有待进一步规范。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640"/>
        <w:jc w:val="both"/>
        <w:rPr>
          <w:rFonts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科学合理编制预算，严格执行预算,避免年中大幅追加以及超预算。同时严格预算执行，提高资金使用效率。进一步完善、明确和细化各项费用支出管理制度，严格控制招待费和各项费用支出。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640"/>
        <w:jc w:val="both"/>
        <w:rPr>
          <w:rFonts w:eastAsia="黑体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（二）加强固定资产的管理，配置专管部门和专管人员，对固定资产进行一次全面清查盘点，建立固定资产卡片，切实做到账卡相符、账物相符。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                            津市市教育局</w:t>
      </w:r>
    </w:p>
    <w:p>
      <w:pPr>
        <w:widowControl/>
        <w:spacing w:line="600" w:lineRule="exact"/>
        <w:ind w:firstLine="645"/>
        <w:jc w:val="left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                           2022年3月25日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90CCE"/>
    <w:multiLevelType w:val="singleLevel"/>
    <w:tmpl w:val="10990C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6F3ADC0"/>
    <w:multiLevelType w:val="singleLevel"/>
    <w:tmpl w:val="26F3AD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6A8A11"/>
    <w:multiLevelType w:val="singleLevel"/>
    <w:tmpl w:val="696A8A1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8C3546F"/>
    <w:multiLevelType w:val="singleLevel"/>
    <w:tmpl w:val="78C3546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66F58ED"/>
    <w:rsid w:val="295A7F1F"/>
    <w:rsid w:val="2EA231E1"/>
    <w:rsid w:val="37A87075"/>
    <w:rsid w:val="3A076E09"/>
    <w:rsid w:val="3B8F3226"/>
    <w:rsid w:val="5A9D5D9B"/>
    <w:rsid w:val="7363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5"/>
      <w:ind w:left="75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auto"/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337AB7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  <w:rPr>
      <w:i/>
      <w:iCs/>
    </w:rPr>
  </w:style>
  <w:style w:type="character" w:styleId="10">
    <w:name w:val="Hyperlink"/>
    <w:basedOn w:val="5"/>
    <w:qFormat/>
    <w:uiPriority w:val="0"/>
    <w:rPr>
      <w:color w:val="337AB7"/>
      <w:u w:val="none"/>
    </w:rPr>
  </w:style>
  <w:style w:type="character" w:styleId="11">
    <w:name w:val="HTML Code"/>
    <w:basedOn w:val="5"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2">
    <w:name w:val="HTML Keyboard"/>
    <w:basedOn w:val="5"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3">
    <w:name w:val="HTML Sample"/>
    <w:basedOn w:val="5"/>
    <w:uiPriority w:val="0"/>
    <w:rPr>
      <w:rFonts w:hint="default" w:ascii="Consolas" w:hAnsi="Consolas" w:eastAsia="Consolas" w:cs="Consolas"/>
      <w:sz w:val="21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last"/>
    <w:basedOn w:val="5"/>
    <w:uiPriority w:val="0"/>
  </w:style>
  <w:style w:type="character" w:customStyle="1" w:styleId="16">
    <w:name w:val="last1"/>
    <w:basedOn w:val="5"/>
    <w:uiPriority w:val="0"/>
  </w:style>
  <w:style w:type="character" w:customStyle="1" w:styleId="17">
    <w:name w:val="sp5"/>
    <w:basedOn w:val="5"/>
    <w:uiPriority w:val="0"/>
  </w:style>
  <w:style w:type="character" w:customStyle="1" w:styleId="18">
    <w:name w:val="s3"/>
    <w:basedOn w:val="5"/>
    <w:uiPriority w:val="0"/>
  </w:style>
  <w:style w:type="character" w:customStyle="1" w:styleId="19">
    <w:name w:val="sp2"/>
    <w:basedOn w:val="5"/>
    <w:uiPriority w:val="0"/>
  </w:style>
  <w:style w:type="character" w:customStyle="1" w:styleId="20">
    <w:name w:val="active"/>
    <w:basedOn w:val="5"/>
    <w:uiPriority w:val="0"/>
    <w:rPr>
      <w:color w:val="FFFFFF"/>
      <w:shd w:val="clear" w:fill="0069AE"/>
    </w:rPr>
  </w:style>
  <w:style w:type="character" w:customStyle="1" w:styleId="21">
    <w:name w:val="active1"/>
    <w:basedOn w:val="5"/>
    <w:uiPriority w:val="0"/>
    <w:rPr>
      <w:shd w:val="clear" w:fill="20A0E4"/>
    </w:rPr>
  </w:style>
  <w:style w:type="character" w:customStyle="1" w:styleId="22">
    <w:name w:val="sp1"/>
    <w:basedOn w:val="5"/>
    <w:uiPriority w:val="0"/>
  </w:style>
  <w:style w:type="character" w:customStyle="1" w:styleId="23">
    <w:name w:val="time"/>
    <w:basedOn w:val="5"/>
    <w:uiPriority w:val="0"/>
    <w:rPr>
      <w:rFonts w:ascii="Arial" w:hAnsi="Arial" w:cs="Arial"/>
      <w:color w:val="999999"/>
      <w:sz w:val="21"/>
      <w:szCs w:val="21"/>
    </w:rPr>
  </w:style>
  <w:style w:type="character" w:customStyle="1" w:styleId="24">
    <w:name w:val="sp3"/>
    <w:basedOn w:val="5"/>
    <w:uiPriority w:val="0"/>
  </w:style>
  <w:style w:type="character" w:customStyle="1" w:styleId="25">
    <w:name w:val="select2-selection__rendered"/>
    <w:basedOn w:val="5"/>
    <w:uiPriority w:val="0"/>
    <w:rPr>
      <w:sz w:val="18"/>
      <w:szCs w:val="18"/>
    </w:rPr>
  </w:style>
  <w:style w:type="character" w:customStyle="1" w:styleId="26">
    <w:name w:val="sp4"/>
    <w:basedOn w:val="5"/>
    <w:uiPriority w:val="0"/>
  </w:style>
  <w:style w:type="character" w:customStyle="1" w:styleId="27">
    <w:name w:val="sp7"/>
    <w:basedOn w:val="5"/>
    <w:qFormat/>
    <w:uiPriority w:val="0"/>
  </w:style>
  <w:style w:type="character" w:customStyle="1" w:styleId="28">
    <w:name w:val="sp6"/>
    <w:basedOn w:val="5"/>
    <w:qFormat/>
    <w:uiPriority w:val="0"/>
  </w:style>
  <w:style w:type="character" w:customStyle="1" w:styleId="29">
    <w:name w:val="after2"/>
    <w:basedOn w:val="5"/>
    <w:qFormat/>
    <w:uiPriority w:val="0"/>
  </w:style>
  <w:style w:type="character" w:customStyle="1" w:styleId="30">
    <w:name w:val="box6"/>
    <w:basedOn w:val="5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31">
    <w:name w:val="active20"/>
    <w:basedOn w:val="5"/>
    <w:uiPriority w:val="0"/>
    <w:rPr>
      <w:color w:val="FFFFFF"/>
      <w:shd w:val="clear" w:fill="0069AE"/>
    </w:rPr>
  </w:style>
  <w:style w:type="character" w:customStyle="1" w:styleId="32">
    <w:name w:val="active21"/>
    <w:basedOn w:val="5"/>
    <w:uiPriority w:val="0"/>
    <w:rPr>
      <w:shd w:val="clear" w:fill="20A0E4"/>
    </w:rPr>
  </w:style>
  <w:style w:type="character" w:customStyle="1" w:styleId="33">
    <w:name w:val="last2"/>
    <w:basedOn w:val="5"/>
    <w:uiPriority w:val="0"/>
  </w:style>
  <w:style w:type="character" w:customStyle="1" w:styleId="34">
    <w:name w:val="last3"/>
    <w:basedOn w:val="5"/>
    <w:uiPriority w:val="0"/>
  </w:style>
  <w:style w:type="character" w:customStyle="1" w:styleId="35">
    <w:name w:val="time2"/>
    <w:basedOn w:val="5"/>
    <w:uiPriority w:val="0"/>
    <w:rPr>
      <w:rFonts w:ascii="Arial" w:hAnsi="Arial" w:cs="Arial"/>
      <w:color w:val="999999"/>
      <w:sz w:val="21"/>
      <w:szCs w:val="21"/>
    </w:rPr>
  </w:style>
  <w:style w:type="character" w:customStyle="1" w:styleId="36">
    <w:name w:val="aft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1677</Words>
  <Characters>1778</Characters>
  <Lines>0</Lines>
  <Paragraphs>0</Paragraphs>
  <TotalTime>2</TotalTime>
  <ScaleCrop>false</ScaleCrop>
  <LinksUpToDate>false</LinksUpToDate>
  <CharactersWithSpaces>1842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何小芸</cp:lastModifiedBy>
  <dcterms:modified xsi:type="dcterms:W3CDTF">2022-03-30T01:15:06Z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