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津市市文旅广体局2021年度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4"/>
        <w:widowControl/>
        <w:numPr>
          <w:ilvl w:val="0"/>
          <w:numId w:val="1"/>
        </w:numPr>
        <w:spacing w:line="600" w:lineRule="exact"/>
        <w:ind w:left="630" w:leftChars="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widowControl/>
        <w:spacing w:line="560" w:lineRule="exact"/>
        <w:ind w:firstLine="640"/>
        <w:rPr>
          <w:rFonts w:hint="eastAsia" w:ascii="仿宋" w:hAnsi="仿宋" w:eastAsia="仿宋" w:cs="仿宋"/>
          <w:b/>
          <w:bCs/>
          <w:color w:val="222222"/>
          <w:kern w:val="0"/>
          <w:sz w:val="32"/>
          <w:szCs w:val="32"/>
        </w:rPr>
      </w:pPr>
      <w:r>
        <w:rPr>
          <w:rFonts w:hint="eastAsia" w:ascii="仿宋" w:hAnsi="仿宋" w:eastAsia="仿宋" w:cs="仿宋"/>
          <w:b/>
          <w:bCs/>
          <w:color w:val="222222"/>
          <w:kern w:val="0"/>
          <w:sz w:val="32"/>
          <w:szCs w:val="32"/>
        </w:rPr>
        <w:t>（一）机构、人员构成</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222222"/>
          <w:kern w:val="0"/>
          <w:sz w:val="32"/>
          <w:szCs w:val="32"/>
          <w:lang w:val="en-US" w:eastAsia="zh-CN"/>
        </w:rPr>
      </w:pPr>
      <w:r>
        <w:rPr>
          <w:rFonts w:hint="eastAsia" w:ascii="仿宋" w:hAnsi="仿宋" w:eastAsia="仿宋" w:cs="仿宋"/>
          <w:color w:val="222222"/>
          <w:kern w:val="0"/>
          <w:sz w:val="32"/>
          <w:szCs w:val="32"/>
          <w:lang w:val="en-US" w:eastAsia="zh-CN"/>
        </w:rPr>
        <w:t>文旅广体局编制内实有在职人员44人，其中，行政及参照公务员管理13人，事业编制30人，工勤人员1人。</w:t>
      </w:r>
    </w:p>
    <w:p>
      <w:pPr>
        <w:widowControl/>
        <w:numPr>
          <w:ilvl w:val="0"/>
          <w:numId w:val="2"/>
        </w:numPr>
        <w:spacing w:line="560" w:lineRule="exact"/>
        <w:ind w:firstLine="640"/>
        <w:rPr>
          <w:rFonts w:hint="eastAsia" w:ascii="仿宋" w:hAnsi="仿宋" w:eastAsia="仿宋" w:cs="仿宋"/>
          <w:b/>
          <w:bCs/>
          <w:color w:val="222222"/>
          <w:kern w:val="0"/>
          <w:sz w:val="32"/>
          <w:szCs w:val="32"/>
        </w:rPr>
      </w:pPr>
      <w:r>
        <w:rPr>
          <w:rFonts w:hint="eastAsia" w:ascii="仿宋" w:hAnsi="仿宋" w:eastAsia="仿宋" w:cs="仿宋"/>
          <w:b/>
          <w:bCs/>
          <w:color w:val="222222"/>
          <w:kern w:val="0"/>
          <w:sz w:val="32"/>
          <w:szCs w:val="32"/>
        </w:rPr>
        <w:t>单位主要职责</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w:t>
      </w:r>
      <w:r>
        <w:rPr>
          <w:rFonts w:hint="default" w:ascii="仿宋_GB2312" w:hAnsi="仿宋" w:eastAsia="仿宋_GB2312" w:cs="仿宋_GB2312"/>
          <w:kern w:val="2"/>
          <w:sz w:val="32"/>
          <w:szCs w:val="32"/>
          <w:lang w:val="en-US" w:eastAsia="zh-CN" w:bidi="ar"/>
        </w:rPr>
        <w:t>贯彻执行中央、省有关文化（文物）、旅游、广播电视、体育的政策、法律、法规。</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2、</w:t>
      </w:r>
      <w:r>
        <w:rPr>
          <w:rFonts w:hint="default" w:ascii="仿宋_GB2312" w:hAnsi="仿宋" w:eastAsia="仿宋_GB2312" w:cs="仿宋_GB2312"/>
          <w:kern w:val="2"/>
          <w:sz w:val="32"/>
          <w:szCs w:val="32"/>
          <w:lang w:val="en-US" w:eastAsia="zh-CN" w:bidi="ar"/>
        </w:rPr>
        <w:t>统筹规划全市文化（文物）、旅游、广播电视、体育事业产业发展，拟定发展规划并组织实施，推进相关产业融合发展，推进相关领域体制机制创新。</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3、</w:t>
      </w:r>
      <w:r>
        <w:rPr>
          <w:rFonts w:hint="default" w:ascii="仿宋_GB2312" w:hAnsi="仿宋" w:eastAsia="仿宋_GB2312" w:cs="仿宋_GB2312"/>
          <w:kern w:val="2"/>
          <w:sz w:val="32"/>
          <w:szCs w:val="32"/>
          <w:lang w:val="en-US" w:eastAsia="zh-CN" w:bidi="ar"/>
        </w:rPr>
        <w:t>管理全市性重大文化（文物）、旅游、广播电视、体育活动；负责本市重点文化、旅游、广电、体育基础设施建设；负责津市市旅游整体形象打造及宣传推广，促进相关行业对外交流和合作，制定旅游市场开发战略并组织实施，指导、推进全域旅游。</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4、</w:t>
      </w:r>
      <w:r>
        <w:rPr>
          <w:rFonts w:hint="default" w:ascii="仿宋_GB2312" w:hAnsi="仿宋" w:eastAsia="仿宋_GB2312" w:cs="仿宋_GB2312"/>
          <w:kern w:val="2"/>
          <w:sz w:val="32"/>
          <w:szCs w:val="32"/>
          <w:lang w:val="en-US" w:eastAsia="zh-CN" w:bidi="ar"/>
        </w:rPr>
        <w:t>负责全市文化（文物）、旅游、广播电视、体育市场经营活动的行业监管，推进行业信用体系和行业标准化建设，依法规范市场。</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5、</w:t>
      </w:r>
      <w:r>
        <w:rPr>
          <w:rFonts w:hint="default" w:ascii="仿宋_GB2312" w:hAnsi="仿宋" w:eastAsia="仿宋_GB2312" w:cs="仿宋_GB2312"/>
          <w:kern w:val="2"/>
          <w:sz w:val="32"/>
          <w:szCs w:val="32"/>
          <w:lang w:val="en-US" w:eastAsia="zh-CN" w:bidi="ar"/>
        </w:rPr>
        <w:t>负责推进全市文化（文物）、旅游、广播电视、体育公共服务体系建设，深入实施文化惠民工程，统筹推进基本公共文化服务标准化、均等化。</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6、</w:t>
      </w:r>
      <w:r>
        <w:rPr>
          <w:rFonts w:hint="default" w:ascii="仿宋_GB2312" w:hAnsi="仿宋" w:eastAsia="仿宋_GB2312" w:cs="仿宋_GB2312"/>
          <w:kern w:val="2"/>
          <w:sz w:val="32"/>
          <w:szCs w:val="32"/>
          <w:lang w:val="en-US" w:eastAsia="zh-CN" w:bidi="ar"/>
        </w:rPr>
        <w:t>实施文化（文物）、旅游、广播电视、体育科技创新发展，推进相关行业信息化建设。组织开展文化（文物）、旅游、广播电视、体育领域的科研活动及成果推广。</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7、</w:t>
      </w:r>
      <w:r>
        <w:rPr>
          <w:rFonts w:hint="default" w:ascii="仿宋_GB2312" w:hAnsi="仿宋" w:eastAsia="仿宋_GB2312" w:cs="仿宋_GB2312"/>
          <w:kern w:val="2"/>
          <w:sz w:val="32"/>
          <w:szCs w:val="32"/>
          <w:lang w:val="en-US" w:eastAsia="zh-CN" w:bidi="ar"/>
        </w:rPr>
        <w:t>负责全市文化、旅游、广播电视、体育、文物工作领域的行政许可和监督。</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8、</w:t>
      </w:r>
      <w:r>
        <w:rPr>
          <w:rFonts w:hint="default" w:ascii="仿宋_GB2312" w:hAnsi="仿宋" w:eastAsia="仿宋_GB2312" w:cs="仿宋_GB2312"/>
          <w:kern w:val="2"/>
          <w:sz w:val="32"/>
          <w:szCs w:val="32"/>
          <w:lang w:val="en-US" w:eastAsia="zh-CN" w:bidi="ar"/>
        </w:rPr>
        <w:t>指导全市文化（文物）、旅游、广播电视、体育市场综合执法，组织查处全市性文化（文物）、旅游、广播电视等市场的违法行为。</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9、</w:t>
      </w:r>
      <w:r>
        <w:rPr>
          <w:rFonts w:hint="default" w:ascii="仿宋_GB2312" w:hAnsi="仿宋" w:eastAsia="仿宋_GB2312" w:cs="仿宋_GB2312"/>
          <w:kern w:val="2"/>
          <w:sz w:val="32"/>
          <w:szCs w:val="32"/>
          <w:lang w:val="en-US" w:eastAsia="zh-CN" w:bidi="ar"/>
        </w:rPr>
        <w:t>组织实施文化（文物）和旅游资源普查、挖掘、保护和利用工作，促进全市文化产业和旅游产业发展；负责市本级体育彩票的销售管理。</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10、</w:t>
      </w:r>
      <w:r>
        <w:rPr>
          <w:rFonts w:hint="default" w:ascii="仿宋_GB2312" w:hAnsi="仿宋" w:eastAsia="仿宋_GB2312" w:cs="仿宋_GB2312"/>
          <w:kern w:val="2"/>
          <w:sz w:val="32"/>
          <w:szCs w:val="32"/>
          <w:lang w:val="en-US" w:eastAsia="zh-CN" w:bidi="ar"/>
        </w:rPr>
        <w:t>拟订全市文化（文物）、旅游、广播电视、体育行业人才发展规划并组织实施。负责全市文化、旅游、广播电视、体育行业教育培训工作；会同有关部门指导实施旅游从业人员的职业标准和等级标准。</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11、</w:t>
      </w:r>
      <w:r>
        <w:rPr>
          <w:rFonts w:hint="default" w:ascii="仿宋_GB2312" w:hAnsi="仿宋" w:eastAsia="仿宋_GB2312" w:cs="仿宋_GB2312"/>
          <w:kern w:val="2"/>
          <w:sz w:val="32"/>
          <w:szCs w:val="32"/>
          <w:lang w:val="en-US" w:eastAsia="zh-CN" w:bidi="ar"/>
        </w:rPr>
        <w:t>负责推动文化（文物）、旅游、广播电视、体育与新媒体新技术新业态创新融合发展。推进广电网与电信网、互联网三网融合。</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12、</w:t>
      </w:r>
      <w:r>
        <w:rPr>
          <w:rFonts w:hint="default" w:ascii="仿宋_GB2312" w:hAnsi="仿宋" w:eastAsia="仿宋_GB2312" w:cs="仿宋_GB2312"/>
          <w:kern w:val="2"/>
          <w:sz w:val="32"/>
          <w:szCs w:val="32"/>
          <w:lang w:val="en-US" w:eastAsia="zh-CN" w:bidi="ar"/>
        </w:rPr>
        <w:t>指导、管理文艺事业，指导艺术创作生产，扶持体现社会主义核心价值观、具有导向性代表性示范性的文艺作品，推动各门类艺术、各艺术品种发展。</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13、</w:t>
      </w:r>
      <w:r>
        <w:rPr>
          <w:rFonts w:hint="default" w:ascii="仿宋_GB2312" w:hAnsi="仿宋" w:eastAsia="仿宋_GB2312" w:cs="仿宋_GB2312"/>
          <w:kern w:val="2"/>
          <w:sz w:val="32"/>
          <w:szCs w:val="32"/>
          <w:lang w:val="en-US" w:eastAsia="zh-CN" w:bidi="ar"/>
        </w:rPr>
        <w:t>负责对全市广播电视机构进行业务指导和行业监管，会同有关部门对网络视听节目服务机构进行管理；监管、审查广播电视节目、网络视听节目的内容和质量；指导、监管广播电视广告播放；指导、协调全市广播电视重大宣传活动和重要保障期的广播电视安全播出事项；指导实施全市广播电视节目评价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14、</w:t>
      </w:r>
      <w:r>
        <w:rPr>
          <w:rFonts w:hint="default" w:ascii="仿宋_GB2312" w:hAnsi="仿宋" w:eastAsia="仿宋_GB2312" w:cs="仿宋_GB2312"/>
          <w:kern w:val="2"/>
          <w:sz w:val="32"/>
          <w:szCs w:val="32"/>
          <w:lang w:val="en-US" w:eastAsia="zh-CN" w:bidi="ar"/>
        </w:rPr>
        <w:t>负责对全市广播电视节目传输覆盖、监测和安全播出进行监管，指导、推进全市应急广播体系建设。指导、协调全市广播电视系统安全播出工作。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15、</w:t>
      </w:r>
      <w:r>
        <w:rPr>
          <w:rFonts w:hint="default" w:ascii="仿宋_GB2312" w:hAnsi="仿宋" w:eastAsia="仿宋_GB2312" w:cs="仿宋_GB2312"/>
          <w:kern w:val="2"/>
          <w:sz w:val="32"/>
          <w:szCs w:val="32"/>
          <w:lang w:val="en-US" w:eastAsia="zh-CN" w:bidi="ar"/>
        </w:rPr>
        <w:t>统筹规划全市群众体育发展，负责推行全民健身计划，指导全市群众性体育活动的开展，监督实施国家体育锻炼标准，推动国民体质监测和社会体育指导工作队伍制度建设。</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16、</w:t>
      </w:r>
      <w:r>
        <w:rPr>
          <w:rFonts w:hint="default" w:ascii="仿宋_GB2312" w:hAnsi="仿宋" w:eastAsia="仿宋_GB2312" w:cs="仿宋_GB2312"/>
          <w:kern w:val="2"/>
          <w:sz w:val="32"/>
          <w:szCs w:val="32"/>
          <w:lang w:val="en-US" w:eastAsia="zh-CN" w:bidi="ar"/>
        </w:rPr>
        <w:t>统筹规划全市竞技体育发展，研究全市体育竞赛项目的设置与布局，组织管理体育训练、体育竞赛、运动队伍建设，协调运动员社会保障工作。负责体育运动中反兴奋剂的相关工作。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17、</w:t>
      </w:r>
      <w:r>
        <w:rPr>
          <w:rFonts w:hint="default" w:ascii="仿宋_GB2312" w:hAnsi="仿宋" w:eastAsia="仿宋_GB2312" w:cs="仿宋_GB2312"/>
          <w:kern w:val="2"/>
          <w:sz w:val="32"/>
          <w:szCs w:val="32"/>
          <w:lang w:val="en-US" w:eastAsia="zh-CN" w:bidi="ar"/>
        </w:rPr>
        <w:t>统筹规划全市青少年体育发展，加强全市体育后备人才建设，指导和推进全市青少年体育工作。会同教育部门协调青少年运动员文化教育和日常管理事项。</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18、</w:t>
      </w:r>
      <w:r>
        <w:rPr>
          <w:rFonts w:hint="default" w:ascii="仿宋_GB2312" w:hAnsi="仿宋" w:eastAsia="仿宋_GB2312" w:cs="仿宋_GB2312"/>
          <w:kern w:val="2"/>
          <w:sz w:val="32"/>
          <w:szCs w:val="32"/>
          <w:lang w:val="en-US" w:eastAsia="zh-CN" w:bidi="ar"/>
        </w:rPr>
        <w:t>指导、管理全市文物和博物馆工作，负责文物及非物质文化遗产保护，推动文物、非物质文化遗产的保护、传承，协同有关部门开展历史文化名镇（村）保护和监督管理工作。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kern w:val="2"/>
          <w:sz w:val="32"/>
          <w:szCs w:val="32"/>
        </w:rPr>
      </w:pPr>
      <w:r>
        <w:rPr>
          <w:rFonts w:hint="eastAsia" w:ascii="仿宋_GB2312" w:hAnsi="仿宋" w:eastAsia="仿宋_GB2312" w:cs="仿宋_GB2312"/>
          <w:kern w:val="2"/>
          <w:sz w:val="32"/>
          <w:szCs w:val="32"/>
          <w:lang w:val="en-US" w:eastAsia="zh-CN" w:bidi="ar"/>
        </w:rPr>
        <w:t>19、</w:t>
      </w:r>
      <w:r>
        <w:rPr>
          <w:rFonts w:hint="default" w:ascii="仿宋_GB2312" w:hAnsi="仿宋" w:eastAsia="仿宋_GB2312" w:cs="仿宋_GB2312"/>
          <w:kern w:val="2"/>
          <w:sz w:val="32"/>
          <w:szCs w:val="32"/>
          <w:lang w:val="en-US" w:eastAsia="zh-CN" w:bidi="ar"/>
        </w:rPr>
        <w:t>依照有关法律法规承担权限范围内文物保护单位的审核及其保护、利用、维修项目审核、审批、备案工作；承担权限范围内文物维修设计单位和施工单位资格审核工作；根据授权，对全市基本建设工程的考古勘探和抢救性发掘项目进行审核；负责行政区域内博物馆、纪念馆的监督管理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ascii="Times New Roman" w:hAnsi="Times New Roman" w:eastAsia="黑体"/>
          <w:sz w:val="32"/>
          <w:szCs w:val="32"/>
        </w:rPr>
      </w:pPr>
      <w:r>
        <w:rPr>
          <w:rFonts w:hint="eastAsia" w:ascii="仿宋_GB2312" w:hAnsi="仿宋" w:eastAsia="仿宋_GB2312" w:cs="仿宋_GB2312"/>
          <w:kern w:val="2"/>
          <w:sz w:val="32"/>
          <w:szCs w:val="32"/>
          <w:lang w:val="en-US" w:eastAsia="zh-CN" w:bidi="ar"/>
        </w:rPr>
        <w:t>20、</w:t>
      </w:r>
      <w:r>
        <w:rPr>
          <w:rFonts w:hint="default" w:ascii="仿宋_GB2312" w:hAnsi="仿宋" w:eastAsia="仿宋_GB2312" w:cs="仿宋_GB2312"/>
          <w:kern w:val="2"/>
          <w:sz w:val="32"/>
          <w:szCs w:val="32"/>
          <w:lang w:val="en-US" w:eastAsia="zh-CN" w:bidi="ar"/>
        </w:rPr>
        <w:t>完成市委、市人民政府交办的其他事项。</w:t>
      </w:r>
    </w:p>
    <w:p>
      <w:pPr>
        <w:pStyle w:val="4"/>
        <w:widowControl/>
        <w:numPr>
          <w:ilvl w:val="0"/>
          <w:numId w:val="0"/>
        </w:numPr>
        <w:spacing w:line="600" w:lineRule="exact"/>
        <w:ind w:left="640" w:leftChars="0"/>
        <w:rPr>
          <w:rFonts w:ascii="Times New Roman" w:hAnsi="Times New Roman" w:eastAsia="黑体"/>
          <w:sz w:val="32"/>
          <w:szCs w:val="32"/>
        </w:rPr>
      </w:pP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ascii="Times New Roman" w:hAnsi="Times New Roman" w:eastAsia="黑体"/>
          <w:sz w:val="32"/>
          <w:szCs w:val="32"/>
        </w:rPr>
      </w:pPr>
      <w:r>
        <w:rPr>
          <w:rFonts w:hint="default" w:ascii="仿宋_GB2312" w:hAnsi="仿宋" w:eastAsia="仿宋_GB2312" w:cs="仿宋_GB2312"/>
          <w:kern w:val="2"/>
          <w:sz w:val="32"/>
          <w:szCs w:val="32"/>
          <w:lang w:val="en-US" w:eastAsia="zh-CN" w:bidi="ar"/>
        </w:rPr>
        <w:t>全年财政拨款支</w:t>
      </w:r>
      <w:r>
        <w:rPr>
          <w:rFonts w:hint="default" w:ascii="仿宋_GB2312" w:hAnsi="仿宋" w:eastAsia="仿宋_GB2312" w:cs="仿宋_GB2312"/>
          <w:kern w:val="2"/>
          <w:sz w:val="32"/>
          <w:szCs w:val="32"/>
          <w:highlight w:val="none"/>
          <w:lang w:val="en-US" w:eastAsia="zh-CN" w:bidi="ar"/>
        </w:rPr>
        <w:t>出</w:t>
      </w:r>
      <w:r>
        <w:rPr>
          <w:rFonts w:hint="eastAsia" w:ascii="仿宋_GB2312" w:hAnsi="仿宋" w:eastAsia="仿宋_GB2312" w:cs="仿宋_GB2312"/>
          <w:kern w:val="2"/>
          <w:sz w:val="32"/>
          <w:szCs w:val="32"/>
          <w:highlight w:val="none"/>
          <w:lang w:val="en-US" w:eastAsia="zh-CN" w:bidi="ar"/>
        </w:rPr>
        <w:t>2692.24</w:t>
      </w:r>
      <w:r>
        <w:rPr>
          <w:rFonts w:hint="default" w:ascii="仿宋_GB2312" w:hAnsi="仿宋" w:eastAsia="仿宋_GB2312" w:cs="仿宋_GB2312"/>
          <w:kern w:val="2"/>
          <w:sz w:val="32"/>
          <w:szCs w:val="32"/>
          <w:highlight w:val="none"/>
          <w:lang w:val="en-US" w:eastAsia="zh-CN" w:bidi="ar"/>
        </w:rPr>
        <w:t>万元，其中:基本支出</w:t>
      </w:r>
      <w:r>
        <w:rPr>
          <w:rFonts w:hint="eastAsia" w:ascii="仿宋_GB2312" w:hAnsi="仿宋" w:eastAsia="仿宋_GB2312" w:cs="仿宋_GB2312"/>
          <w:kern w:val="2"/>
          <w:sz w:val="32"/>
          <w:szCs w:val="32"/>
          <w:highlight w:val="none"/>
          <w:lang w:val="en-US" w:eastAsia="zh-CN" w:bidi="ar"/>
        </w:rPr>
        <w:t>796.4</w:t>
      </w:r>
      <w:r>
        <w:rPr>
          <w:rFonts w:hint="default" w:ascii="仿宋_GB2312" w:hAnsi="仿宋" w:eastAsia="仿宋_GB2312" w:cs="仿宋_GB2312"/>
          <w:kern w:val="2"/>
          <w:sz w:val="32"/>
          <w:szCs w:val="32"/>
          <w:highlight w:val="none"/>
          <w:lang w:val="en-US" w:eastAsia="zh-CN" w:bidi="ar"/>
        </w:rPr>
        <w:t>万元；项目支出</w:t>
      </w:r>
      <w:r>
        <w:rPr>
          <w:rFonts w:hint="eastAsia" w:ascii="仿宋_GB2312" w:hAnsi="仿宋" w:eastAsia="仿宋_GB2312"/>
          <w:sz w:val="32"/>
          <w:szCs w:val="32"/>
          <w:lang w:val="en-US" w:eastAsia="zh-CN"/>
        </w:rPr>
        <w:t>1895.84</w:t>
      </w:r>
      <w:r>
        <w:rPr>
          <w:rFonts w:hint="default" w:ascii="仿宋_GB2312" w:hAnsi="仿宋" w:eastAsia="仿宋_GB2312" w:cs="仿宋_GB2312"/>
          <w:kern w:val="2"/>
          <w:sz w:val="32"/>
          <w:szCs w:val="32"/>
          <w:highlight w:val="none"/>
          <w:lang w:val="en-US" w:eastAsia="zh-CN" w:bidi="ar"/>
        </w:rPr>
        <w:t>万元。</w:t>
      </w:r>
      <w:r>
        <w:rPr>
          <w:rFonts w:hint="eastAsia" w:ascii="仿宋_GB2312" w:hAnsi="仿宋" w:eastAsia="仿宋_GB2312" w:cs="仿宋_GB2312"/>
          <w:kern w:val="2"/>
          <w:sz w:val="32"/>
          <w:szCs w:val="32"/>
          <w:highlight w:val="none"/>
          <w:lang w:val="en-US" w:eastAsia="zh-CN" w:bidi="ar"/>
        </w:rPr>
        <w:t>基本支出796.4万元，其中</w:t>
      </w:r>
      <w:r>
        <w:rPr>
          <w:rFonts w:hint="eastAsia" w:ascii="仿宋" w:hAnsi="仿宋" w:eastAsia="仿宋" w:cs="仿宋"/>
          <w:color w:val="222222"/>
          <w:kern w:val="0"/>
          <w:sz w:val="32"/>
          <w:szCs w:val="32"/>
          <w:highlight w:val="none"/>
          <w:lang w:val="en-US" w:eastAsia="zh-CN"/>
        </w:rPr>
        <w:t>工资福利支</w:t>
      </w:r>
      <w:r>
        <w:rPr>
          <w:rFonts w:hint="eastAsia" w:ascii="仿宋_GB2312" w:hAnsi="仿宋" w:eastAsia="仿宋_GB2312" w:cs="Times New Roman"/>
          <w:sz w:val="32"/>
          <w:szCs w:val="32"/>
          <w:lang w:val="en-US" w:eastAsia="zh-CN"/>
        </w:rPr>
        <w:t>出624.48</w:t>
      </w:r>
      <w:r>
        <w:rPr>
          <w:rFonts w:hint="eastAsia" w:ascii="仿宋" w:hAnsi="仿宋" w:eastAsia="仿宋" w:cs="仿宋"/>
          <w:color w:val="222222"/>
          <w:kern w:val="0"/>
          <w:sz w:val="32"/>
          <w:szCs w:val="32"/>
          <w:highlight w:val="none"/>
          <w:lang w:val="en-US" w:eastAsia="zh-CN"/>
        </w:rPr>
        <w:t>万元，商品服务支出135.15</w:t>
      </w:r>
      <w:r>
        <w:rPr>
          <w:rFonts w:hint="eastAsia" w:ascii="仿宋" w:hAnsi="仿宋" w:eastAsia="仿宋" w:cs="仿宋"/>
          <w:color w:val="222222"/>
          <w:kern w:val="0"/>
          <w:sz w:val="32"/>
          <w:szCs w:val="32"/>
          <w:lang w:val="en-US" w:eastAsia="zh-CN"/>
        </w:rPr>
        <w:t>万元，对个人和家庭的补助27.29万元，资本性支出9.48万元。</w:t>
      </w:r>
    </w:p>
    <w:p>
      <w:pPr>
        <w:pStyle w:val="4"/>
        <w:widowControl/>
        <w:numPr>
          <w:numId w:val="0"/>
        </w:numPr>
        <w:spacing w:line="600" w:lineRule="exact"/>
        <w:ind w:left="640" w:leftChars="0"/>
        <w:rPr>
          <w:rFonts w:hint="default" w:ascii="Times New Roman" w:hAnsi="Times New Roman" w:eastAsia="黑体"/>
          <w:sz w:val="32"/>
          <w:szCs w:val="32"/>
          <w:lang w:val="en-US"/>
        </w:rPr>
      </w:pPr>
      <w:r>
        <w:rPr>
          <w:rFonts w:hint="eastAsia" w:ascii="Times New Roman" w:hAnsi="Times New Roman" w:eastAsia="黑体"/>
          <w:sz w:val="32"/>
          <w:szCs w:val="32"/>
          <w:lang w:eastAsia="zh-CN"/>
        </w:rPr>
        <w:t>（二）</w:t>
      </w:r>
      <w:r>
        <w:rPr>
          <w:rFonts w:ascii="Times New Roman" w:hAnsi="Times New Roman" w:eastAsia="黑体"/>
          <w:sz w:val="32"/>
          <w:szCs w:val="32"/>
        </w:rPr>
        <w:t>项目支出情况</w:t>
      </w:r>
      <w:r>
        <w:rPr>
          <w:rFonts w:hint="eastAsia" w:ascii="Times New Roman" w:hAnsi="Times New Roman" w:eastAsia="黑体"/>
          <w:sz w:val="32"/>
          <w:szCs w:val="32"/>
          <w:lang w:val="en-US" w:eastAsia="zh-CN"/>
        </w:rPr>
        <w:t xml:space="preserve">   </w:t>
      </w:r>
    </w:p>
    <w:p>
      <w:pPr>
        <w:pStyle w:val="4"/>
        <w:widowControl/>
        <w:numPr>
          <w:ilvl w:val="0"/>
          <w:numId w:val="0"/>
        </w:numPr>
        <w:spacing w:line="600" w:lineRule="exact"/>
        <w:ind w:left="640" w:leftChars="0"/>
        <w:rPr>
          <w:rFonts w:hint="default" w:ascii="Times New Roman" w:hAnsi="Times New Roman" w:eastAsia="黑体"/>
          <w:sz w:val="32"/>
          <w:szCs w:val="32"/>
          <w:lang w:val="en-US"/>
        </w:rPr>
      </w:pPr>
      <w:r>
        <w:rPr>
          <w:rFonts w:hint="eastAsia" w:ascii="仿宋_GB2312" w:hAnsi="仿宋" w:eastAsia="仿宋_GB2312" w:cs="仿宋_GB2312"/>
          <w:kern w:val="2"/>
          <w:sz w:val="32"/>
          <w:szCs w:val="32"/>
          <w:highlight w:val="none"/>
          <w:lang w:val="en-US" w:eastAsia="zh-CN" w:bidi="ar"/>
        </w:rPr>
        <w:t>全年</w:t>
      </w:r>
      <w:r>
        <w:rPr>
          <w:rFonts w:hint="default" w:ascii="仿宋_GB2312" w:hAnsi="仿宋" w:eastAsia="仿宋_GB2312" w:cs="仿宋_GB2312"/>
          <w:kern w:val="2"/>
          <w:sz w:val="32"/>
          <w:szCs w:val="32"/>
          <w:highlight w:val="none"/>
          <w:lang w:val="en-US" w:eastAsia="zh-CN" w:bidi="ar"/>
        </w:rPr>
        <w:t>项目支出</w:t>
      </w:r>
      <w:r>
        <w:rPr>
          <w:rFonts w:hint="eastAsia" w:ascii="仿宋_GB2312" w:hAnsi="仿宋" w:eastAsia="仿宋_GB2312"/>
          <w:sz w:val="32"/>
          <w:szCs w:val="32"/>
          <w:lang w:val="en-US" w:eastAsia="zh-CN"/>
        </w:rPr>
        <w:t>1895.84</w:t>
      </w:r>
      <w:r>
        <w:rPr>
          <w:rFonts w:hint="default" w:ascii="仿宋_GB2312" w:hAnsi="仿宋" w:eastAsia="仿宋_GB2312" w:cs="仿宋_GB2312"/>
          <w:kern w:val="2"/>
          <w:sz w:val="32"/>
          <w:szCs w:val="32"/>
          <w:highlight w:val="none"/>
          <w:lang w:val="en-US" w:eastAsia="zh-CN" w:bidi="ar"/>
        </w:rPr>
        <w:t>万元。</w:t>
      </w:r>
      <w:r>
        <w:rPr>
          <w:rFonts w:hint="eastAsia" w:ascii="仿宋_GB2312" w:hAnsi="仿宋" w:eastAsia="仿宋_GB2312" w:cs="仿宋_GB2312"/>
          <w:kern w:val="2"/>
          <w:sz w:val="32"/>
          <w:szCs w:val="32"/>
          <w:highlight w:val="none"/>
          <w:lang w:val="en-US" w:eastAsia="zh-CN" w:bidi="ar"/>
        </w:rPr>
        <w:t>具体如下：</w:t>
      </w:r>
    </w:p>
    <w:p>
      <w:pPr>
        <w:widowControl/>
        <w:numPr>
          <w:ilvl w:val="0"/>
          <w:numId w:val="3"/>
        </w:numPr>
        <w:spacing w:line="600" w:lineRule="exact"/>
        <w:jc w:val="left"/>
        <w:rPr>
          <w:rFonts w:hint="eastAsia" w:eastAsia="仿宋_GB2312"/>
          <w:sz w:val="32"/>
          <w:szCs w:val="32"/>
          <w:lang w:val="en-US" w:eastAsia="zh-CN"/>
        </w:rPr>
      </w:pPr>
      <w:r>
        <w:rPr>
          <w:rFonts w:hint="eastAsia" w:eastAsia="仿宋_GB2312"/>
          <w:sz w:val="32"/>
          <w:szCs w:val="32"/>
          <w:lang w:val="en-US" w:eastAsia="zh-CN"/>
        </w:rPr>
        <w:t>庆祝建党一百周年歌咏会</w:t>
      </w:r>
    </w:p>
    <w:p>
      <w:pPr>
        <w:widowControl/>
        <w:numPr>
          <w:ilvl w:val="0"/>
          <w:numId w:val="0"/>
        </w:numPr>
        <w:spacing w:line="600"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庆祝建党一百周年歌咏会专项资金全年下达60万元，已全部用于庆祝建党一百周年歌咏会舞台灯光、节目编排等支出。</w:t>
      </w:r>
    </w:p>
    <w:p>
      <w:pPr>
        <w:widowControl/>
        <w:spacing w:line="600" w:lineRule="exact"/>
        <w:jc w:val="left"/>
        <w:rPr>
          <w:rFonts w:hint="eastAsia" w:eastAsia="仿宋_GB2312"/>
          <w:sz w:val="32"/>
          <w:szCs w:val="32"/>
          <w:lang w:val="en-US" w:eastAsia="zh-CN"/>
        </w:rPr>
      </w:pPr>
      <w:r>
        <w:rPr>
          <w:rFonts w:hint="eastAsia" w:eastAsia="仿宋_GB2312"/>
          <w:sz w:val="32"/>
          <w:szCs w:val="32"/>
          <w:lang w:val="en-US" w:eastAsia="zh-CN"/>
        </w:rPr>
        <w:t>2.湖南省第七届艺术节</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湖南省第七届艺术节专项资金全年下达35万元，已全部用于湖南省第七届艺术节演出</w:t>
      </w:r>
      <w:bookmarkStart w:id="0" w:name="_GoBack"/>
      <w:bookmarkEnd w:id="0"/>
      <w:r>
        <w:rPr>
          <w:rFonts w:hint="eastAsia" w:eastAsia="仿宋_GB2312"/>
          <w:sz w:val="32"/>
          <w:szCs w:val="32"/>
          <w:lang w:val="en-US" w:eastAsia="zh-CN"/>
        </w:rPr>
        <w:t>。</w:t>
      </w:r>
    </w:p>
    <w:p>
      <w:pPr>
        <w:widowControl/>
        <w:numPr>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3.中央支持地方</w:t>
      </w:r>
      <w:r>
        <w:rPr>
          <w:rFonts w:hint="eastAsia" w:ascii="Times New Roman" w:hAnsi="Times New Roman" w:eastAsia="仿宋_GB2312" w:cs="Times New Roman"/>
          <w:sz w:val="32"/>
          <w:szCs w:val="32"/>
          <w:lang w:val="en-US" w:eastAsia="zh-CN"/>
        </w:rPr>
        <w:t>公共文化</w:t>
      </w:r>
      <w:r>
        <w:rPr>
          <w:rFonts w:hint="eastAsia" w:eastAsia="仿宋_GB2312" w:cs="Times New Roman"/>
          <w:sz w:val="32"/>
          <w:szCs w:val="32"/>
          <w:lang w:val="en-US" w:eastAsia="zh-CN"/>
        </w:rPr>
        <w:t>服务体系</w:t>
      </w:r>
      <w:r>
        <w:rPr>
          <w:rFonts w:hint="eastAsia" w:ascii="Times New Roman" w:hAnsi="Times New Roman" w:eastAsia="仿宋_GB2312" w:cs="Times New Roman"/>
          <w:sz w:val="32"/>
          <w:szCs w:val="32"/>
          <w:lang w:val="en-US" w:eastAsia="zh-CN"/>
        </w:rPr>
        <w:t>建设</w:t>
      </w:r>
      <w:r>
        <w:rPr>
          <w:rFonts w:hint="eastAsia" w:eastAsia="仿宋_GB2312" w:cs="Times New Roman"/>
          <w:sz w:val="32"/>
          <w:szCs w:val="32"/>
          <w:lang w:val="en-US" w:eastAsia="zh-CN"/>
        </w:rPr>
        <w:t>资金</w:t>
      </w:r>
    </w:p>
    <w:p>
      <w:pPr>
        <w:widowControl/>
        <w:numPr>
          <w:ilvl w:val="0"/>
          <w:numId w:val="0"/>
        </w:numPr>
        <w:spacing w:line="600" w:lineRule="exact"/>
        <w:ind w:leftChars="0" w:firstLine="640" w:firstLineChars="200"/>
        <w:jc w:val="left"/>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全年下达</w:t>
      </w:r>
      <w:r>
        <w:rPr>
          <w:rFonts w:hint="eastAsia" w:eastAsia="仿宋_GB2312" w:cs="Times New Roman"/>
          <w:sz w:val="32"/>
          <w:szCs w:val="32"/>
          <w:lang w:val="en-US" w:eastAsia="zh-CN"/>
        </w:rPr>
        <w:t>中央支持地方</w:t>
      </w:r>
      <w:r>
        <w:rPr>
          <w:rFonts w:hint="eastAsia" w:ascii="Times New Roman" w:hAnsi="Times New Roman" w:eastAsia="仿宋_GB2312" w:cs="Times New Roman"/>
          <w:sz w:val="32"/>
          <w:szCs w:val="32"/>
          <w:lang w:val="en-US" w:eastAsia="zh-CN"/>
        </w:rPr>
        <w:t>公共文化</w:t>
      </w:r>
      <w:r>
        <w:rPr>
          <w:rFonts w:hint="eastAsia" w:eastAsia="仿宋_GB2312" w:cs="Times New Roman"/>
          <w:sz w:val="32"/>
          <w:szCs w:val="32"/>
          <w:lang w:val="en-US" w:eastAsia="zh-CN"/>
        </w:rPr>
        <w:t>服务体系</w:t>
      </w:r>
      <w:r>
        <w:rPr>
          <w:rFonts w:hint="eastAsia" w:ascii="Times New Roman" w:hAnsi="Times New Roman" w:eastAsia="仿宋_GB2312" w:cs="Times New Roman"/>
          <w:sz w:val="32"/>
          <w:szCs w:val="32"/>
          <w:lang w:val="en-US" w:eastAsia="zh-CN"/>
        </w:rPr>
        <w:t>建设</w:t>
      </w:r>
      <w:r>
        <w:rPr>
          <w:rFonts w:hint="eastAsia" w:eastAsia="仿宋_GB2312" w:cs="Times New Roman"/>
          <w:sz w:val="32"/>
          <w:szCs w:val="32"/>
          <w:lang w:val="en-US" w:eastAsia="zh-CN"/>
        </w:rPr>
        <w:t>资金绩效奖励资金22万元。其中【2021】123号16万，【2020】322号4万元，【2018】70号2万元，已全部用于公共文化支持文化活动及支出公共文化建设相关支出。</w:t>
      </w:r>
    </w:p>
    <w:p>
      <w:pPr>
        <w:widowControl/>
        <w:numPr>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农村文化</w:t>
      </w:r>
      <w:r>
        <w:rPr>
          <w:rFonts w:hint="eastAsia" w:eastAsia="仿宋_GB2312" w:cs="Times New Roman"/>
          <w:sz w:val="32"/>
          <w:szCs w:val="32"/>
          <w:highlight w:val="none"/>
          <w:lang w:val="en-US" w:eastAsia="zh-CN"/>
        </w:rPr>
        <w:t>建设专项资金</w:t>
      </w:r>
    </w:p>
    <w:p>
      <w:pPr>
        <w:widowControl/>
        <w:numPr>
          <w:ilvl w:val="0"/>
          <w:numId w:val="0"/>
        </w:numPr>
        <w:spacing w:line="600" w:lineRule="exact"/>
        <w:ind w:leftChars="0" w:firstLine="640" w:firstLineChars="200"/>
        <w:jc w:val="left"/>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湘财预【2020】158号（2020年农村文化建设专项资金）全年下达资金51.65万元，湘财预【2020】323号（提前下达2021年公共文化服务体系建设（农村文化建设））39.86万，已全部用于各乡镇、街道农村文化建设工作。</w:t>
      </w:r>
    </w:p>
    <w:p>
      <w:pPr>
        <w:widowControl/>
        <w:numPr>
          <w:ilvl w:val="0"/>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5.文化站免开资金</w:t>
      </w:r>
    </w:p>
    <w:p>
      <w:pPr>
        <w:widowControl/>
        <w:numPr>
          <w:ilvl w:val="0"/>
          <w:numId w:val="0"/>
        </w:numPr>
        <w:spacing w:line="600" w:lineRule="exact"/>
        <w:ind w:leftChars="0" w:firstLine="640" w:firstLineChars="200"/>
        <w:jc w:val="left"/>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湘财预【2020】411号2021年文化馆站免开资金全年下达资金36万元，已全部拨付用于乡镇文化站免开工作。</w:t>
      </w:r>
    </w:p>
    <w:p>
      <w:pPr>
        <w:widowControl/>
        <w:numPr>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lang w:val="en-US" w:eastAsia="zh-CN"/>
        </w:rPr>
        <w:t>百团大赛</w:t>
      </w:r>
    </w:p>
    <w:p>
      <w:pPr>
        <w:widowControl/>
        <w:numPr>
          <w:ilvl w:val="0"/>
          <w:numId w:val="0"/>
        </w:numPr>
        <w:spacing w:line="600" w:lineRule="exact"/>
        <w:ind w:leftChars="0" w:firstLine="640" w:firstLineChars="200"/>
        <w:jc w:val="left"/>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百团大赛专项资金全年下达20万元，已全部用于我市百团大赛演出支出。</w:t>
      </w:r>
    </w:p>
    <w:p>
      <w:pPr>
        <w:widowControl/>
        <w:numPr>
          <w:ilvl w:val="0"/>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7.</w:t>
      </w:r>
      <w:r>
        <w:rPr>
          <w:rFonts w:hint="eastAsia" w:ascii="Times New Roman" w:hAnsi="Times New Roman" w:eastAsia="仿宋_GB2312" w:cs="Times New Roman"/>
          <w:sz w:val="32"/>
          <w:szCs w:val="32"/>
          <w:highlight w:val="none"/>
          <w:lang w:val="en-US" w:eastAsia="zh-CN"/>
        </w:rPr>
        <w:t>人民电影院结构检测</w:t>
      </w:r>
    </w:p>
    <w:p>
      <w:pPr>
        <w:widowControl/>
        <w:numPr>
          <w:ilvl w:val="0"/>
          <w:numId w:val="0"/>
        </w:numPr>
        <w:spacing w:line="600" w:lineRule="exact"/>
        <w:ind w:leftChars="0" w:firstLine="640" w:firstLineChars="200"/>
        <w:jc w:val="left"/>
        <w:rPr>
          <w:rFonts w:hint="eastAsia"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人民电影院结构检测</w:t>
      </w:r>
      <w:r>
        <w:rPr>
          <w:rFonts w:hint="eastAsia" w:eastAsia="仿宋_GB2312" w:cs="Times New Roman"/>
          <w:sz w:val="32"/>
          <w:szCs w:val="32"/>
          <w:highlight w:val="none"/>
          <w:lang w:val="en-US" w:eastAsia="zh-CN"/>
        </w:rPr>
        <w:t>专项全年下达资金10万元，已全部用于</w:t>
      </w:r>
      <w:r>
        <w:rPr>
          <w:rFonts w:hint="eastAsia" w:ascii="Times New Roman" w:hAnsi="Times New Roman" w:eastAsia="仿宋_GB2312" w:cs="Times New Roman"/>
          <w:sz w:val="32"/>
          <w:szCs w:val="32"/>
          <w:highlight w:val="none"/>
          <w:lang w:val="en-US" w:eastAsia="zh-CN"/>
        </w:rPr>
        <w:t>人民电影院结构检测</w:t>
      </w:r>
      <w:r>
        <w:rPr>
          <w:rFonts w:hint="eastAsia" w:eastAsia="仿宋_GB2312" w:cs="Times New Roman"/>
          <w:sz w:val="32"/>
          <w:szCs w:val="32"/>
          <w:highlight w:val="none"/>
          <w:lang w:val="en-US" w:eastAsia="zh-CN"/>
        </w:rPr>
        <w:t>评估报告及脚手架搭建支出。</w:t>
      </w:r>
    </w:p>
    <w:p>
      <w:pPr>
        <w:widowControl/>
        <w:numPr>
          <w:ilvl w:val="0"/>
          <w:numId w:val="0"/>
        </w:numPr>
        <w:spacing w:line="600" w:lineRule="exact"/>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城市基因</w:t>
      </w:r>
    </w:p>
    <w:p>
      <w:pPr>
        <w:widowControl/>
        <w:numPr>
          <w:ilvl w:val="0"/>
          <w:numId w:val="0"/>
        </w:numPr>
        <w:spacing w:line="600" w:lineRule="exact"/>
        <w:ind w:firstLine="640" w:firstLineChars="200"/>
        <w:jc w:val="left"/>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城市基因专项资金全年下达40万元，已全部用于《城市基因》丛书编制、出版、印刷等支出。</w:t>
      </w:r>
    </w:p>
    <w:p>
      <w:pPr>
        <w:widowControl/>
        <w:numPr>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9.</w:t>
      </w:r>
      <w:r>
        <w:rPr>
          <w:rFonts w:hint="eastAsia" w:ascii="Times New Roman" w:hAnsi="Times New Roman" w:eastAsia="仿宋_GB2312" w:cs="Times New Roman"/>
          <w:sz w:val="32"/>
          <w:szCs w:val="32"/>
          <w:highlight w:val="none"/>
          <w:lang w:val="en-US" w:eastAsia="zh-CN"/>
        </w:rPr>
        <w:t>乡村文化旅游</w:t>
      </w:r>
      <w:r>
        <w:rPr>
          <w:rFonts w:hint="eastAsia" w:eastAsia="仿宋_GB2312" w:cs="Times New Roman"/>
          <w:sz w:val="32"/>
          <w:szCs w:val="32"/>
          <w:highlight w:val="none"/>
          <w:lang w:val="en-US" w:eastAsia="zh-CN"/>
        </w:rPr>
        <w:t>发展资金</w:t>
      </w:r>
    </w:p>
    <w:p>
      <w:pPr>
        <w:widowControl/>
        <w:numPr>
          <w:ilvl w:val="0"/>
          <w:numId w:val="0"/>
        </w:numPr>
        <w:spacing w:line="600" w:lineRule="exact"/>
        <w:ind w:leftChars="0" w:firstLine="640" w:firstLineChars="200"/>
        <w:jc w:val="left"/>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湘财文指【2020】12号2020年乡村文化旅游发展资金专项全年下达15.5万元，已全部用于我市乡村旅游建设、宣传支出。</w:t>
      </w:r>
    </w:p>
    <w:p>
      <w:pPr>
        <w:widowControl/>
        <w:numPr>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10.</w:t>
      </w:r>
      <w:r>
        <w:rPr>
          <w:rFonts w:hint="eastAsia" w:ascii="Times New Roman" w:hAnsi="Times New Roman" w:eastAsia="仿宋_GB2312" w:cs="Times New Roman"/>
          <w:sz w:val="32"/>
          <w:szCs w:val="32"/>
          <w:highlight w:val="none"/>
          <w:lang w:val="en-US" w:eastAsia="zh-CN"/>
        </w:rPr>
        <w:t>旅游发展</w:t>
      </w:r>
      <w:r>
        <w:rPr>
          <w:rFonts w:hint="eastAsia" w:eastAsia="仿宋_GB2312" w:cs="Times New Roman"/>
          <w:sz w:val="32"/>
          <w:szCs w:val="32"/>
          <w:highlight w:val="none"/>
          <w:lang w:val="en-US" w:eastAsia="zh-CN"/>
        </w:rPr>
        <w:t>专项资金</w:t>
      </w:r>
    </w:p>
    <w:p>
      <w:pPr>
        <w:widowControl/>
        <w:numPr>
          <w:ilvl w:val="0"/>
          <w:numId w:val="0"/>
        </w:numPr>
        <w:spacing w:line="600" w:lineRule="exact"/>
        <w:ind w:leftChars="0" w:firstLine="640" w:firstLineChars="200"/>
        <w:jc w:val="left"/>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常财文指【2020】34号2020年旅游发展专项资金全年下达8万元，常财文指【2021】13号2021年旅游发展专项资金全年下达3万元，已全部用于我市旅游宣传建设支出。</w:t>
      </w:r>
    </w:p>
    <w:p>
      <w:pPr>
        <w:widowControl/>
        <w:numPr>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11.</w:t>
      </w:r>
      <w:r>
        <w:rPr>
          <w:rFonts w:hint="eastAsia" w:ascii="Times New Roman" w:hAnsi="Times New Roman" w:eastAsia="仿宋_GB2312" w:cs="Times New Roman"/>
          <w:sz w:val="32"/>
          <w:szCs w:val="32"/>
          <w:highlight w:val="none"/>
          <w:lang w:val="en-US" w:eastAsia="zh-CN"/>
        </w:rPr>
        <w:t>红色旅游</w:t>
      </w:r>
    </w:p>
    <w:p>
      <w:pPr>
        <w:widowControl/>
        <w:numPr>
          <w:ilvl w:val="0"/>
          <w:numId w:val="0"/>
        </w:numPr>
        <w:spacing w:line="600" w:lineRule="exact"/>
        <w:ind w:leftChars="0" w:firstLine="640" w:firstLineChars="200"/>
        <w:jc w:val="left"/>
        <w:rPr>
          <w:rFonts w:hint="default" w:eastAsia="仿宋_GB2312"/>
          <w:sz w:val="32"/>
          <w:szCs w:val="32"/>
          <w:lang w:val="en-US" w:eastAsia="zh-CN"/>
        </w:rPr>
      </w:pPr>
      <w:r>
        <w:rPr>
          <w:rFonts w:hint="eastAsia" w:eastAsia="仿宋_GB2312" w:cs="Times New Roman"/>
          <w:sz w:val="32"/>
          <w:szCs w:val="32"/>
          <w:highlight w:val="none"/>
          <w:lang w:val="en-US" w:eastAsia="zh-CN"/>
        </w:rPr>
        <w:t>湘财文指【2020】36号2020年红色旅游专项（红色旅游朱务善）全年下达资金5万元，红色旅游景点标识标牌资金2万元，已全部用于相关红色旅游设施配置及建设。</w:t>
      </w:r>
    </w:p>
    <w:p>
      <w:pPr>
        <w:widowControl/>
        <w:numPr>
          <w:ilvl w:val="0"/>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12.全域旅游“1+2”规划编制</w:t>
      </w:r>
    </w:p>
    <w:p>
      <w:pPr>
        <w:widowControl/>
        <w:numPr>
          <w:ilvl w:val="0"/>
          <w:numId w:val="0"/>
        </w:numPr>
        <w:spacing w:line="600" w:lineRule="exact"/>
        <w:ind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全域旅游“1+2”规划编制专项资金全年下达100万元，已全部用于津市市全域旅游规划编制支出。</w:t>
      </w:r>
    </w:p>
    <w:p>
      <w:pPr>
        <w:widowControl/>
        <w:numPr>
          <w:numId w:val="0"/>
        </w:numPr>
        <w:spacing w:line="600" w:lineRule="exact"/>
        <w:jc w:val="left"/>
        <w:rPr>
          <w:rFonts w:hint="eastAsia" w:eastAsia="仿宋_GB2312"/>
          <w:sz w:val="32"/>
          <w:szCs w:val="32"/>
          <w:lang w:val="en-US" w:eastAsia="zh-CN"/>
        </w:rPr>
      </w:pPr>
      <w:r>
        <w:rPr>
          <w:rFonts w:hint="eastAsia" w:eastAsia="仿宋_GB2312"/>
          <w:sz w:val="32"/>
          <w:szCs w:val="32"/>
          <w:lang w:val="en-US" w:eastAsia="zh-CN"/>
        </w:rPr>
        <w:t>13.农村广播村村响升级维改</w:t>
      </w:r>
    </w:p>
    <w:p>
      <w:pPr>
        <w:widowControl/>
        <w:numPr>
          <w:ilvl w:val="0"/>
          <w:numId w:val="0"/>
        </w:numPr>
        <w:spacing w:line="600"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农村广播村村响升级维改专项资金全年下达27万元，已全部用于农村广播村村响升级维改项目。</w:t>
      </w:r>
    </w:p>
    <w:p>
      <w:pPr>
        <w:widowControl/>
        <w:numPr>
          <w:numId w:val="0"/>
        </w:numPr>
        <w:spacing w:line="600" w:lineRule="exact"/>
        <w:jc w:val="left"/>
        <w:rPr>
          <w:rFonts w:hint="eastAsia" w:eastAsia="仿宋_GB2312"/>
          <w:sz w:val="32"/>
          <w:szCs w:val="32"/>
          <w:lang w:val="en-US" w:eastAsia="zh-CN"/>
        </w:rPr>
      </w:pPr>
      <w:r>
        <w:rPr>
          <w:rFonts w:hint="eastAsia" w:eastAsia="仿宋_GB2312"/>
          <w:sz w:val="32"/>
          <w:szCs w:val="32"/>
          <w:lang w:val="en-US" w:eastAsia="zh-CN"/>
        </w:rPr>
        <w:t>14.古大同寺修缮工程</w:t>
      </w:r>
    </w:p>
    <w:p>
      <w:pPr>
        <w:widowControl/>
        <w:numPr>
          <w:ilvl w:val="0"/>
          <w:numId w:val="0"/>
        </w:numPr>
        <w:spacing w:line="600"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古大同寺修缮工程始于2019年，本年支出工程款及管理费47万元，工程已竣工结算，资金全部使用完毕。</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15.古大同寺消防工程</w:t>
      </w:r>
    </w:p>
    <w:p>
      <w:pPr>
        <w:widowControl/>
        <w:numPr>
          <w:ilvl w:val="0"/>
          <w:numId w:val="0"/>
        </w:numPr>
        <w:spacing w:line="600" w:lineRule="exact"/>
        <w:ind w:leftChars="0" w:firstLine="640" w:firstLineChars="200"/>
        <w:jc w:val="left"/>
        <w:rPr>
          <w:rFonts w:hint="default" w:eastAsia="仿宋_GB2312"/>
          <w:sz w:val="32"/>
          <w:szCs w:val="32"/>
          <w:lang w:val="en-US" w:eastAsia="zh-CN"/>
        </w:rPr>
      </w:pPr>
      <w:r>
        <w:rPr>
          <w:rFonts w:hint="eastAsia" w:eastAsia="仿宋_GB2312"/>
          <w:sz w:val="32"/>
          <w:szCs w:val="32"/>
          <w:lang w:val="en-US" w:eastAsia="zh-CN"/>
        </w:rPr>
        <w:t>古大同寺消防工程全年下达资金39万元，已使用12万元，全部用于古大同寺消防工程款。</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16.古大同寺安防工程</w:t>
      </w:r>
    </w:p>
    <w:p>
      <w:pPr>
        <w:widowControl/>
        <w:numPr>
          <w:ilvl w:val="0"/>
          <w:numId w:val="0"/>
        </w:numPr>
        <w:spacing w:line="600" w:lineRule="exact"/>
        <w:ind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古大同寺安防工程全年下达资金57万元，已使用18.78万元，全部用于古大同寺安防工程款。</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17.虎爪山遗址环境整治工程</w:t>
      </w:r>
    </w:p>
    <w:p>
      <w:pPr>
        <w:widowControl/>
        <w:numPr>
          <w:ilvl w:val="0"/>
          <w:numId w:val="0"/>
        </w:numPr>
        <w:spacing w:line="600" w:lineRule="exact"/>
        <w:ind w:leftChars="0" w:firstLine="640" w:firstLineChars="200"/>
        <w:jc w:val="left"/>
        <w:rPr>
          <w:rFonts w:hint="default" w:eastAsia="仿宋_GB2312"/>
          <w:sz w:val="32"/>
          <w:szCs w:val="32"/>
          <w:lang w:val="en-US" w:eastAsia="zh-CN"/>
        </w:rPr>
      </w:pPr>
      <w:r>
        <w:rPr>
          <w:rFonts w:hint="eastAsia" w:eastAsia="仿宋_GB2312"/>
          <w:sz w:val="32"/>
          <w:szCs w:val="32"/>
          <w:lang w:val="en-US" w:eastAsia="zh-CN"/>
        </w:rPr>
        <w:t>虎爪山遗址环境整治工程于2020年底下达资金940万元，本年使用资金267.32万元，用于工程款、设计费、监理费等支出。</w:t>
      </w:r>
    </w:p>
    <w:p>
      <w:pPr>
        <w:widowControl/>
        <w:numPr>
          <w:numId w:val="0"/>
        </w:numPr>
        <w:spacing w:line="600" w:lineRule="exact"/>
        <w:ind w:leftChars="0"/>
        <w:jc w:val="left"/>
        <w:rPr>
          <w:rFonts w:hint="eastAsia" w:eastAsia="仿宋_GB2312"/>
          <w:sz w:val="32"/>
          <w:szCs w:val="32"/>
          <w:highlight w:val="none"/>
          <w:lang w:val="en-US" w:eastAsia="zh-CN"/>
        </w:rPr>
      </w:pPr>
      <w:r>
        <w:rPr>
          <w:rFonts w:hint="eastAsia" w:eastAsia="仿宋_GB2312"/>
          <w:sz w:val="32"/>
          <w:szCs w:val="32"/>
          <w:highlight w:val="none"/>
          <w:lang w:val="en-US" w:eastAsia="zh-CN"/>
        </w:rPr>
        <w:t>18.虎爪山遗址抢险加固工程</w:t>
      </w:r>
    </w:p>
    <w:p>
      <w:pPr>
        <w:widowControl/>
        <w:numPr>
          <w:ilvl w:val="0"/>
          <w:numId w:val="0"/>
        </w:numPr>
        <w:spacing w:line="600" w:lineRule="exact"/>
        <w:ind w:leftChars="0" w:firstLine="640" w:firstLineChars="200"/>
        <w:jc w:val="left"/>
        <w:rPr>
          <w:rFonts w:hint="default" w:eastAsia="仿宋_GB2312"/>
          <w:sz w:val="32"/>
          <w:szCs w:val="32"/>
          <w:highlight w:val="yellow"/>
          <w:lang w:val="en-US" w:eastAsia="zh-CN"/>
        </w:rPr>
      </w:pPr>
      <w:r>
        <w:rPr>
          <w:rFonts w:hint="eastAsia" w:eastAsia="仿宋_GB2312"/>
          <w:sz w:val="32"/>
          <w:szCs w:val="32"/>
          <w:lang w:val="en-US" w:eastAsia="zh-CN"/>
        </w:rPr>
        <w:t>虎爪山遗址抢险加固工程始于2019年，本年支出9.06万元，用于虎爪山遗址抢险加固工程相关支出。</w:t>
      </w:r>
    </w:p>
    <w:p>
      <w:pPr>
        <w:widowControl/>
        <w:numPr>
          <w:numId w:val="0"/>
        </w:numPr>
        <w:spacing w:line="600" w:lineRule="exact"/>
        <w:ind w:leftChars="0"/>
        <w:jc w:val="left"/>
        <w:rPr>
          <w:rFonts w:hint="default" w:eastAsia="仿宋_GB2312"/>
          <w:sz w:val="32"/>
          <w:szCs w:val="32"/>
          <w:lang w:val="en-US" w:eastAsia="zh-CN"/>
        </w:rPr>
      </w:pPr>
      <w:r>
        <w:rPr>
          <w:rFonts w:hint="eastAsia" w:eastAsia="仿宋_GB2312"/>
          <w:sz w:val="32"/>
          <w:szCs w:val="32"/>
          <w:lang w:val="en-US" w:eastAsia="zh-CN"/>
        </w:rPr>
        <w:t>19.虎爪山遗址展示用房展陈工程</w:t>
      </w:r>
    </w:p>
    <w:p>
      <w:pPr>
        <w:widowControl/>
        <w:numPr>
          <w:ilvl w:val="0"/>
          <w:numId w:val="0"/>
        </w:numPr>
        <w:spacing w:line="600" w:lineRule="exact"/>
        <w:ind w:leftChars="0" w:firstLine="640" w:firstLineChars="200"/>
        <w:jc w:val="left"/>
        <w:rPr>
          <w:rFonts w:hint="default" w:eastAsia="仿宋_GB2312"/>
          <w:sz w:val="32"/>
          <w:szCs w:val="32"/>
          <w:lang w:val="en-US" w:eastAsia="zh-CN"/>
        </w:rPr>
      </w:pPr>
      <w:r>
        <w:rPr>
          <w:rFonts w:hint="eastAsia" w:eastAsia="仿宋_GB2312"/>
          <w:sz w:val="32"/>
          <w:szCs w:val="32"/>
          <w:lang w:val="en-US" w:eastAsia="zh-CN"/>
        </w:rPr>
        <w:t>虎爪山遗址展示用房展陈工程全年下达资金250万元，已全部用于虎爪山遗址展示用房展陈工程款、监理费、设计费等支出。</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20.曹家巷一号民居修缮工程</w:t>
      </w:r>
    </w:p>
    <w:p>
      <w:pPr>
        <w:widowControl/>
        <w:numPr>
          <w:ilvl w:val="0"/>
          <w:numId w:val="0"/>
        </w:numPr>
        <w:spacing w:line="600" w:lineRule="exact"/>
        <w:ind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2020年9月下达曹家巷一号民居修缮工程专项资金284.5万，其中本年使用115.43万元，用于曹家巷一号民居修缮工程款、监理费等支出。</w:t>
      </w:r>
    </w:p>
    <w:p>
      <w:pPr>
        <w:widowControl/>
        <w:numPr>
          <w:numId w:val="0"/>
        </w:numPr>
        <w:spacing w:line="600" w:lineRule="exact"/>
        <w:ind w:leftChars="0"/>
        <w:jc w:val="left"/>
        <w:rPr>
          <w:rFonts w:hint="eastAsia" w:eastAsia="仿宋_GB2312"/>
          <w:sz w:val="32"/>
          <w:szCs w:val="32"/>
          <w:highlight w:val="none"/>
          <w:lang w:val="en-US" w:eastAsia="zh-CN"/>
        </w:rPr>
      </w:pPr>
      <w:r>
        <w:rPr>
          <w:rFonts w:hint="eastAsia" w:eastAsia="仿宋_GB2312"/>
          <w:sz w:val="32"/>
          <w:szCs w:val="32"/>
          <w:highlight w:val="none"/>
          <w:lang w:val="en-US" w:eastAsia="zh-CN"/>
        </w:rPr>
        <w:t>21.树立县级文物保护单位保护标志经费</w:t>
      </w:r>
    </w:p>
    <w:p>
      <w:pPr>
        <w:widowControl/>
        <w:numPr>
          <w:ilvl w:val="0"/>
          <w:numId w:val="0"/>
        </w:numPr>
        <w:spacing w:line="600" w:lineRule="exact"/>
        <w:ind w:leftChars="0" w:firstLine="640" w:firstLineChars="200"/>
        <w:jc w:val="left"/>
        <w:rPr>
          <w:rFonts w:hint="default" w:eastAsia="仿宋_GB2312"/>
          <w:sz w:val="32"/>
          <w:szCs w:val="32"/>
          <w:highlight w:val="none"/>
          <w:lang w:val="en-US" w:eastAsia="zh-CN"/>
        </w:rPr>
      </w:pPr>
      <w:r>
        <w:rPr>
          <w:rFonts w:hint="eastAsia" w:eastAsia="仿宋_GB2312"/>
          <w:sz w:val="32"/>
          <w:szCs w:val="32"/>
          <w:highlight w:val="none"/>
          <w:lang w:val="en-US" w:eastAsia="zh-CN"/>
        </w:rPr>
        <w:t>树立县级文物保护单位保护标志经费全年下达资金10万元，已全部用于县级文物保护单位文本编制支出。</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22.博物馆免费开放</w:t>
      </w:r>
    </w:p>
    <w:p>
      <w:pPr>
        <w:widowControl/>
        <w:numPr>
          <w:ilvl w:val="0"/>
          <w:numId w:val="0"/>
        </w:numPr>
        <w:spacing w:line="600" w:lineRule="exact"/>
        <w:ind w:leftChars="0"/>
        <w:jc w:val="left"/>
        <w:rPr>
          <w:rFonts w:hint="default" w:eastAsia="仿宋_GB2312"/>
          <w:sz w:val="32"/>
          <w:szCs w:val="32"/>
          <w:lang w:val="en-US" w:eastAsia="zh-CN"/>
        </w:rPr>
      </w:pPr>
      <w:r>
        <w:rPr>
          <w:rFonts w:hint="eastAsia" w:eastAsia="仿宋_GB2312"/>
          <w:sz w:val="32"/>
          <w:szCs w:val="32"/>
          <w:lang w:val="en-US" w:eastAsia="zh-CN"/>
        </w:rPr>
        <w:t xml:space="preserve">    博物馆免费开放资金全年下达16万元，已全部用于博物馆免费开放各项经费支出。</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23.博物馆数字化建设</w:t>
      </w:r>
    </w:p>
    <w:p>
      <w:pPr>
        <w:widowControl/>
        <w:numPr>
          <w:ilvl w:val="0"/>
          <w:numId w:val="0"/>
        </w:numPr>
        <w:spacing w:line="600" w:lineRule="exact"/>
        <w:ind w:leftChars="0"/>
        <w:jc w:val="left"/>
        <w:rPr>
          <w:rFonts w:hint="default" w:eastAsia="仿宋_GB2312"/>
          <w:sz w:val="32"/>
          <w:szCs w:val="32"/>
          <w:lang w:val="en-US" w:eastAsia="zh-CN"/>
        </w:rPr>
      </w:pPr>
      <w:r>
        <w:rPr>
          <w:rFonts w:hint="eastAsia" w:eastAsia="仿宋_GB2312"/>
          <w:sz w:val="32"/>
          <w:szCs w:val="32"/>
          <w:lang w:val="en-US" w:eastAsia="zh-CN"/>
        </w:rPr>
        <w:t xml:space="preserve">    博物馆数字化建设专项全年下达40万元，已全部用于博物馆内数字化建设项目。</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24.苏维埃政府（红二军团指挥部）旧址纪念馆深度设计及展陈工程</w:t>
      </w:r>
    </w:p>
    <w:p>
      <w:pPr>
        <w:widowControl/>
        <w:numPr>
          <w:ilvl w:val="0"/>
          <w:numId w:val="0"/>
        </w:numPr>
        <w:spacing w:line="600" w:lineRule="exact"/>
        <w:ind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苏维埃政府（红二军团指挥部）旧址纪念馆深度设计及展陈工程全年下达资金226万元，已使用200.13万元，用于苏维埃政府（红二军团指挥部）旧址纪念馆深度设计及展陈工程支出、监理费、设计费等支出。</w:t>
      </w:r>
    </w:p>
    <w:p>
      <w:pPr>
        <w:widowControl/>
        <w:numPr>
          <w:numId w:val="0"/>
        </w:numPr>
        <w:spacing w:line="600" w:lineRule="exact"/>
        <w:ind w:leftChars="0"/>
        <w:jc w:val="left"/>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25.</w:t>
      </w:r>
      <w:r>
        <w:rPr>
          <w:rFonts w:hint="eastAsia" w:ascii="Times New Roman" w:hAnsi="Times New Roman" w:eastAsia="仿宋_GB2312" w:cs="Times New Roman"/>
          <w:sz w:val="32"/>
          <w:szCs w:val="32"/>
          <w:highlight w:val="none"/>
          <w:lang w:val="en-US" w:eastAsia="zh-CN"/>
        </w:rPr>
        <w:t>车胤墓环境整治工程勘察设计5</w:t>
      </w:r>
    </w:p>
    <w:p>
      <w:pPr>
        <w:widowControl/>
        <w:numPr>
          <w:ilvl w:val="0"/>
          <w:numId w:val="0"/>
        </w:numPr>
        <w:spacing w:line="600" w:lineRule="exact"/>
        <w:ind w:leftChars="0" w:firstLine="640" w:firstLineChars="200"/>
        <w:jc w:val="left"/>
        <w:rPr>
          <w:rFonts w:hint="default" w:eastAsia="仿宋_GB2312"/>
          <w:sz w:val="32"/>
          <w:szCs w:val="32"/>
          <w:lang w:val="en-US" w:eastAsia="zh-CN"/>
        </w:rPr>
      </w:pPr>
      <w:r>
        <w:rPr>
          <w:rFonts w:hint="eastAsia" w:ascii="Times New Roman" w:hAnsi="Times New Roman" w:eastAsia="仿宋_GB2312" w:cs="Times New Roman"/>
          <w:sz w:val="32"/>
          <w:szCs w:val="32"/>
          <w:highlight w:val="none"/>
          <w:lang w:val="en-US" w:eastAsia="zh-CN"/>
        </w:rPr>
        <w:t>车胤墓环境整治工程勘察设计</w:t>
      </w:r>
      <w:r>
        <w:rPr>
          <w:rFonts w:hint="eastAsia" w:eastAsia="仿宋_GB2312" w:cs="Times New Roman"/>
          <w:sz w:val="32"/>
          <w:szCs w:val="32"/>
          <w:highlight w:val="none"/>
          <w:lang w:val="en-US" w:eastAsia="zh-CN"/>
        </w:rPr>
        <w:t>专项全年下达资金5万元，已全部用于</w:t>
      </w:r>
      <w:r>
        <w:rPr>
          <w:rFonts w:hint="eastAsia" w:ascii="Times New Roman" w:hAnsi="Times New Roman" w:eastAsia="仿宋_GB2312" w:cs="Times New Roman"/>
          <w:sz w:val="32"/>
          <w:szCs w:val="32"/>
          <w:highlight w:val="none"/>
          <w:lang w:val="en-US" w:eastAsia="zh-CN"/>
        </w:rPr>
        <w:t>车胤墓环境整治工程勘察设计</w:t>
      </w:r>
      <w:r>
        <w:rPr>
          <w:rFonts w:hint="eastAsia" w:eastAsia="仿宋_GB2312" w:cs="Times New Roman"/>
          <w:sz w:val="32"/>
          <w:szCs w:val="32"/>
          <w:highlight w:val="none"/>
          <w:lang w:val="en-US" w:eastAsia="zh-CN"/>
        </w:rPr>
        <w:t>支出。</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26.体育场馆免费开放</w:t>
      </w:r>
    </w:p>
    <w:p>
      <w:pPr>
        <w:widowControl/>
        <w:numPr>
          <w:ilvl w:val="0"/>
          <w:numId w:val="0"/>
        </w:numPr>
        <w:spacing w:line="600" w:lineRule="exact"/>
        <w:ind w:leftChars="0"/>
        <w:jc w:val="left"/>
        <w:rPr>
          <w:rFonts w:hint="default" w:eastAsia="仿宋_GB2312"/>
          <w:sz w:val="32"/>
          <w:szCs w:val="32"/>
          <w:lang w:val="en-US" w:eastAsia="zh-CN"/>
        </w:rPr>
      </w:pPr>
      <w:r>
        <w:rPr>
          <w:rFonts w:hint="eastAsia" w:eastAsia="仿宋_GB2312"/>
          <w:sz w:val="32"/>
          <w:szCs w:val="32"/>
          <w:lang w:val="en-US" w:eastAsia="zh-CN"/>
        </w:rPr>
        <w:t xml:space="preserve">    体育场馆免开专项资金全年下达18万元，已全部用于车胤体育场免费开放各项支出。</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27.五环时代全民健身中心政府购买服务200</w:t>
      </w:r>
    </w:p>
    <w:p>
      <w:pPr>
        <w:widowControl/>
        <w:numPr>
          <w:ilvl w:val="0"/>
          <w:numId w:val="0"/>
        </w:numPr>
        <w:spacing w:line="600" w:lineRule="exact"/>
        <w:ind w:leftChars="0" w:firstLine="640" w:firstLineChars="200"/>
        <w:jc w:val="left"/>
        <w:rPr>
          <w:rFonts w:hint="default" w:eastAsia="仿宋_GB2312"/>
          <w:sz w:val="32"/>
          <w:szCs w:val="32"/>
          <w:lang w:val="en-US" w:eastAsia="zh-CN"/>
        </w:rPr>
      </w:pPr>
      <w:r>
        <w:rPr>
          <w:rFonts w:hint="eastAsia" w:eastAsia="仿宋_GB2312"/>
          <w:sz w:val="32"/>
          <w:szCs w:val="32"/>
          <w:lang w:val="en-US" w:eastAsia="zh-CN"/>
        </w:rPr>
        <w:t>五环时代全民健身中心政府购买服务专项资金全年下达200万，已全部用于五环时代全民健身中心政府购买服务专项支出。</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28.2020年“激扬奋进”全民健身赛事活动</w:t>
      </w:r>
    </w:p>
    <w:p>
      <w:pPr>
        <w:widowControl/>
        <w:numPr>
          <w:ilvl w:val="0"/>
          <w:numId w:val="0"/>
        </w:numPr>
        <w:spacing w:line="600" w:lineRule="exact"/>
        <w:ind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全年下达2020年“激扬奋进”全民健身赛事活动支出30万元，已全部用于全民健身赛事活动。</w:t>
      </w:r>
    </w:p>
    <w:p>
      <w:pPr>
        <w:widowControl/>
        <w:numPr>
          <w:numId w:val="0"/>
        </w:numPr>
        <w:spacing w:line="600" w:lineRule="exact"/>
        <w:ind w:leftChars="0"/>
        <w:jc w:val="left"/>
        <w:rPr>
          <w:rFonts w:hint="eastAsia" w:eastAsia="仿宋_GB2312"/>
          <w:sz w:val="32"/>
          <w:szCs w:val="32"/>
          <w:highlight w:val="none"/>
          <w:lang w:val="en-US" w:eastAsia="zh-CN"/>
        </w:rPr>
      </w:pPr>
      <w:r>
        <w:rPr>
          <w:rFonts w:hint="eastAsia" w:eastAsia="仿宋_GB2312"/>
          <w:sz w:val="32"/>
          <w:szCs w:val="32"/>
          <w:highlight w:val="none"/>
          <w:lang w:val="en-US" w:eastAsia="zh-CN"/>
        </w:rPr>
        <w:t>29.2021年“健康生活 快乐工作”全民健身系列活动</w:t>
      </w:r>
    </w:p>
    <w:p>
      <w:pPr>
        <w:widowControl/>
        <w:numPr>
          <w:ilvl w:val="0"/>
          <w:numId w:val="0"/>
        </w:numPr>
        <w:spacing w:line="600" w:lineRule="exact"/>
        <w:ind w:leftChars="0" w:firstLine="640" w:firstLineChars="200"/>
        <w:jc w:val="left"/>
        <w:rPr>
          <w:rFonts w:hint="default" w:eastAsia="仿宋_GB2312"/>
          <w:sz w:val="32"/>
          <w:szCs w:val="32"/>
          <w:highlight w:val="yellow"/>
          <w:lang w:val="en-US" w:eastAsia="zh-CN"/>
        </w:rPr>
      </w:pPr>
      <w:r>
        <w:rPr>
          <w:rFonts w:hint="eastAsia" w:eastAsia="仿宋_GB2312"/>
          <w:sz w:val="32"/>
          <w:szCs w:val="32"/>
          <w:highlight w:val="none"/>
          <w:lang w:val="en-US" w:eastAsia="zh-CN"/>
        </w:rPr>
        <w:t>全年下达2021年“健康生活 快乐工作”全民健身系列活动经费145万元，用于各体育协会举办全民健身系列活动，已使用42.01万元。</w:t>
      </w:r>
    </w:p>
    <w:p>
      <w:pPr>
        <w:widowControl/>
        <w:numPr>
          <w:numId w:val="0"/>
        </w:numPr>
        <w:spacing w:line="600" w:lineRule="exact"/>
        <w:ind w:leftChars="0"/>
        <w:jc w:val="left"/>
        <w:rPr>
          <w:rFonts w:hint="eastAsia" w:eastAsia="仿宋_GB2312"/>
          <w:sz w:val="32"/>
          <w:szCs w:val="32"/>
          <w:lang w:val="en-US" w:eastAsia="zh-CN"/>
        </w:rPr>
      </w:pPr>
      <w:r>
        <w:rPr>
          <w:rFonts w:hint="eastAsia" w:eastAsia="仿宋_GB2312"/>
          <w:sz w:val="32"/>
          <w:szCs w:val="32"/>
          <w:lang w:val="en-US" w:eastAsia="zh-CN"/>
        </w:rPr>
        <w:t>30.八运会</w:t>
      </w:r>
    </w:p>
    <w:p>
      <w:pPr>
        <w:widowControl/>
        <w:numPr>
          <w:ilvl w:val="0"/>
          <w:numId w:val="0"/>
        </w:numPr>
        <w:spacing w:line="600" w:lineRule="exact"/>
        <w:ind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八运会专项资金全年下达70万元，已全部用于八运会各体育协会经费支出及活动举办费用。</w:t>
      </w:r>
    </w:p>
    <w:p>
      <w:pPr>
        <w:widowControl/>
        <w:numPr>
          <w:numId w:val="0"/>
        </w:numPr>
        <w:spacing w:line="600" w:lineRule="exact"/>
        <w:ind w:leftChars="0"/>
        <w:jc w:val="left"/>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31.</w:t>
      </w:r>
      <w:r>
        <w:rPr>
          <w:rFonts w:hint="eastAsia" w:ascii="Times New Roman" w:hAnsi="Times New Roman" w:eastAsia="仿宋_GB2312" w:cs="Times New Roman"/>
          <w:sz w:val="32"/>
          <w:szCs w:val="32"/>
          <w:highlight w:val="none"/>
          <w:lang w:val="en-US" w:eastAsia="zh-CN"/>
        </w:rPr>
        <w:t>老年人门球赛</w:t>
      </w:r>
    </w:p>
    <w:p>
      <w:pPr>
        <w:widowControl/>
        <w:numPr>
          <w:ilvl w:val="0"/>
          <w:numId w:val="0"/>
        </w:numPr>
        <w:spacing w:line="600" w:lineRule="exact"/>
        <w:ind w:leftChars="0" w:firstLine="640" w:firstLineChars="200"/>
        <w:jc w:val="left"/>
        <w:rPr>
          <w:rFonts w:hint="default" w:eastAsia="仿宋_GB2312"/>
          <w:sz w:val="32"/>
          <w:szCs w:val="32"/>
          <w:lang w:val="en-US" w:eastAsia="zh-CN"/>
        </w:rPr>
      </w:pPr>
      <w:r>
        <w:rPr>
          <w:rFonts w:hint="eastAsia" w:eastAsia="仿宋_GB2312" w:cs="Times New Roman"/>
          <w:sz w:val="32"/>
          <w:szCs w:val="32"/>
          <w:highlight w:val="none"/>
          <w:lang w:val="en-US" w:eastAsia="zh-CN"/>
        </w:rPr>
        <w:t>老年人门球赛专项全年下达资金5万元，已全部用于老年人门球赛支出。</w:t>
      </w:r>
    </w:p>
    <w:p>
      <w:pPr>
        <w:widowControl/>
        <w:numPr>
          <w:numId w:val="0"/>
        </w:numPr>
        <w:spacing w:line="600" w:lineRule="exact"/>
        <w:ind w:leftChars="0"/>
        <w:jc w:val="left"/>
        <w:rPr>
          <w:rFonts w:hint="eastAsia" w:eastAsia="仿宋_GB2312"/>
          <w:sz w:val="32"/>
          <w:szCs w:val="32"/>
          <w:highlight w:val="none"/>
          <w:lang w:val="en-US" w:eastAsia="zh-CN"/>
        </w:rPr>
      </w:pPr>
      <w:r>
        <w:rPr>
          <w:rFonts w:hint="eastAsia" w:eastAsia="仿宋_GB2312"/>
          <w:sz w:val="32"/>
          <w:szCs w:val="32"/>
          <w:highlight w:val="none"/>
          <w:lang w:val="en-US" w:eastAsia="zh-CN"/>
        </w:rPr>
        <w:t>32.红二军团陈列馆免开资金</w:t>
      </w:r>
    </w:p>
    <w:p>
      <w:pPr>
        <w:widowControl/>
        <w:numPr>
          <w:ilvl w:val="0"/>
          <w:numId w:val="0"/>
        </w:numPr>
        <w:spacing w:line="600" w:lineRule="exact"/>
        <w:ind w:leftChars="0" w:firstLine="640" w:firstLineChars="200"/>
        <w:jc w:val="left"/>
        <w:rPr>
          <w:rFonts w:hint="default" w:eastAsia="仿宋_GB2312"/>
          <w:sz w:val="32"/>
          <w:szCs w:val="32"/>
          <w:highlight w:val="none"/>
          <w:lang w:val="en-US" w:eastAsia="zh-CN"/>
        </w:rPr>
      </w:pPr>
      <w:r>
        <w:rPr>
          <w:rFonts w:hint="eastAsia" w:eastAsia="仿宋_GB2312"/>
          <w:sz w:val="32"/>
          <w:szCs w:val="32"/>
          <w:highlight w:val="none"/>
          <w:lang w:val="en-US" w:eastAsia="zh-CN"/>
        </w:rPr>
        <w:t>红二军团陈列馆免费开放资金全年下达20万元，已全部用于红二军团陈列馆免费开放各项支出。</w:t>
      </w:r>
    </w:p>
    <w:p>
      <w:pPr>
        <w:widowControl/>
        <w:spacing w:line="600" w:lineRule="exact"/>
        <w:jc w:val="left"/>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33.</w:t>
      </w:r>
      <w:r>
        <w:rPr>
          <w:rFonts w:hint="eastAsia" w:ascii="Times New Roman" w:hAnsi="Times New Roman" w:eastAsia="仿宋_GB2312" w:cs="Times New Roman"/>
          <w:sz w:val="32"/>
          <w:szCs w:val="32"/>
          <w:lang w:val="en-US" w:eastAsia="zh-CN"/>
        </w:rPr>
        <w:t>纳入部门预算的项目46.1</w:t>
      </w:r>
    </w:p>
    <w:p>
      <w:pPr>
        <w:widowControl/>
        <w:spacing w:line="600" w:lineRule="exact"/>
        <w:ind w:firstLine="660"/>
        <w:jc w:val="left"/>
        <w:rPr>
          <w:rFonts w:hint="default" w:eastAsia="仿宋_GB2312"/>
          <w:sz w:val="32"/>
          <w:szCs w:val="32"/>
          <w:lang w:val="en-US" w:eastAsia="zh-CN"/>
        </w:rPr>
      </w:pPr>
      <w:r>
        <w:rPr>
          <w:rFonts w:hint="eastAsia" w:ascii="仿宋_GB2312" w:hAnsi="仿宋_GB2312" w:eastAsia="仿宋_GB2312" w:cs="仿宋_GB2312"/>
          <w:kern w:val="2"/>
          <w:sz w:val="32"/>
          <w:szCs w:val="32"/>
          <w:lang w:val="en-US" w:eastAsia="zh-CN" w:bidi="ar-SA"/>
        </w:rPr>
        <w:t>2021年纳入部门预算的项目共下达46.10万，已全部使用，</w:t>
      </w:r>
      <w:r>
        <w:rPr>
          <w:rFonts w:hint="eastAsia" w:ascii="Times New Roman" w:hAnsi="Times New Roman" w:eastAsia="仿宋_GB2312" w:cs="Times New Roman"/>
          <w:color w:val="auto"/>
          <w:sz w:val="32"/>
          <w:szCs w:val="32"/>
        </w:rPr>
        <w:t>其中事业运行经费</w:t>
      </w:r>
      <w:r>
        <w:rPr>
          <w:rFonts w:hint="eastAsia" w:ascii="Times New Roman" w:hAnsi="Times New Roman" w:eastAsia="仿宋_GB2312" w:cs="Times New Roman"/>
          <w:color w:val="auto"/>
          <w:sz w:val="32"/>
          <w:szCs w:val="32"/>
          <w:lang w:val="en-US" w:eastAsia="zh-CN"/>
        </w:rPr>
        <w:t>31.2</w:t>
      </w:r>
      <w:r>
        <w:rPr>
          <w:rFonts w:hint="eastAsia" w:ascii="Times New Roman" w:hAnsi="Times New Roman" w:eastAsia="仿宋_GB2312" w:cs="Times New Roman"/>
          <w:color w:val="auto"/>
          <w:sz w:val="32"/>
          <w:szCs w:val="32"/>
        </w:rPr>
        <w:t>万元主要用于非物质文化遗产保护传承</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惠民演艺送戏下乡</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应急广播运行维护系统管理</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网吧实时监控维护等方面</w:t>
      </w:r>
      <w:r>
        <w:rPr>
          <w:rFonts w:hint="eastAsia" w:ascii="Times New Roman" w:hAnsi="Times New Roman" w:eastAsia="仿宋_GB2312" w:cs="Times New Roman"/>
          <w:color w:val="auto"/>
          <w:sz w:val="32"/>
          <w:szCs w:val="32"/>
          <w:lang w:eastAsia="zh-CN"/>
        </w:rPr>
        <w:t>，乡村文化旅游</w:t>
      </w:r>
      <w:r>
        <w:rPr>
          <w:rFonts w:hint="eastAsia" w:ascii="Times New Roman" w:hAnsi="Times New Roman" w:eastAsia="仿宋_GB2312" w:cs="Times New Roman"/>
          <w:color w:val="auto"/>
          <w:sz w:val="32"/>
          <w:szCs w:val="32"/>
          <w:lang w:val="en-US" w:eastAsia="zh-CN"/>
        </w:rPr>
        <w:t>4万元，免开乡镇综合文化站配套资金4.5万元，文物保护专项6.4万元。</w:t>
      </w:r>
    </w:p>
    <w:p>
      <w:pPr>
        <w:pStyle w:val="4"/>
        <w:widowControl/>
        <w:numPr>
          <w:numId w:val="0"/>
        </w:numPr>
        <w:spacing w:line="600" w:lineRule="exact"/>
        <w:ind w:left="63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4"/>
        <w:widowControl/>
        <w:numPr>
          <w:ilvl w:val="0"/>
          <w:numId w:val="0"/>
        </w:numPr>
        <w:spacing w:line="600" w:lineRule="exact"/>
        <w:ind w:left="640" w:leftChars="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2021年度政府性基金预算支出合计5015.28万元。</w:t>
      </w:r>
    </w:p>
    <w:p>
      <w:pPr>
        <w:pStyle w:val="4"/>
        <w:widowControl/>
        <w:numPr>
          <w:ilvl w:val="0"/>
          <w:numId w:val="0"/>
        </w:numPr>
        <w:spacing w:line="600" w:lineRule="exact"/>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1.湘鄂川黔革命根据地红色旅游基础设施建设</w:t>
      </w:r>
    </w:p>
    <w:p>
      <w:pPr>
        <w:pStyle w:val="4"/>
        <w:widowControl/>
        <w:numPr>
          <w:ilvl w:val="0"/>
          <w:numId w:val="0"/>
        </w:numPr>
        <w:spacing w:line="600" w:lineRule="exact"/>
        <w:ind w:firstLine="640" w:firstLineChars="200"/>
        <w:jc w:val="left"/>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本年下达湘鄂川黔革命根据地红色旅游基础设施建设专项资金5000万元，委托津市市城市建设投资开发有限责任公司进行项目建设，资金已全部转入对方公司。</w:t>
      </w:r>
    </w:p>
    <w:p>
      <w:pPr>
        <w:pStyle w:val="4"/>
        <w:widowControl/>
        <w:numPr>
          <w:ilvl w:val="0"/>
          <w:numId w:val="0"/>
        </w:numPr>
        <w:spacing w:line="600" w:lineRule="exact"/>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2.2021年中央专项彩票公益金支持地方社会公益事业发展资金（虎爪山遗址展示用房展陈工程）</w:t>
      </w:r>
    </w:p>
    <w:p>
      <w:pPr>
        <w:pStyle w:val="4"/>
        <w:widowControl/>
        <w:numPr>
          <w:ilvl w:val="0"/>
          <w:numId w:val="0"/>
        </w:numPr>
        <w:spacing w:line="600" w:lineRule="exact"/>
        <w:ind w:firstLine="640" w:firstLineChars="200"/>
        <w:jc w:val="left"/>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本年下达体彩公益金专项资金29万元用于支持虎爪山遗址展示用房展陈工程建设，截至2021年底，已使用15.28万元，由于工程尚未完工，剩余资金有待按照工程进度继续支付。</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pStyle w:val="4"/>
        <w:widowControl/>
        <w:spacing w:line="600" w:lineRule="exact"/>
        <w:jc w:val="left"/>
        <w:rPr>
          <w:rFonts w:hint="eastAsia" w:eastAsia="仿宋_GB2312"/>
          <w:color w:val="000000"/>
          <w:sz w:val="32"/>
          <w:szCs w:val="32"/>
        </w:rPr>
      </w:pPr>
      <w:r>
        <w:rPr>
          <w:rFonts w:hint="eastAsia" w:eastAsia="仿宋_GB2312"/>
          <w:color w:val="000000"/>
          <w:sz w:val="32"/>
          <w:szCs w:val="32"/>
        </w:rPr>
        <w:t>（一）公共服务体系不断完善。一是镇（街道）场馆功能完善。全市9个镇（街道）76个村级文化服务中心共建成文化广场143个，镇（街道）文化站均按上级要求建设完成，6个镇（街道）被评为一级综合文化站，所有镇（街道）文化站，均按“三室一厅一房一场”的要求建设完成，上等级的综合文化站比率达到88%。今年为39家农家书屋配送各类图书7449册。为破解全市农村广播系统老化、网络缺失的问题，投入资金200多万元，利用移动物联网技术，实施市、镇、村三级广播提升互通工程，实现广播三级互通、对点可控、全面覆盖。二是文化服务惠及全民。图书馆年文献外借量109978册次，进馆人次达74194人次，活动总人数249589人次。年均完成送戏下乡60多场、送电影下乡539场、镇（街道）自办文化活动80余场。通过送展览、送讲座，邀请非遗传承人现场展演，推动非遗项目活态传承和创新发展。</w:t>
      </w:r>
    </w:p>
    <w:p>
      <w:pPr>
        <w:pStyle w:val="4"/>
        <w:widowControl/>
        <w:spacing w:line="600" w:lineRule="exact"/>
        <w:jc w:val="left"/>
        <w:rPr>
          <w:rFonts w:hint="eastAsia" w:eastAsia="仿宋_GB2312"/>
          <w:color w:val="000000"/>
          <w:sz w:val="32"/>
          <w:szCs w:val="32"/>
        </w:rPr>
      </w:pPr>
      <w:r>
        <w:rPr>
          <w:rFonts w:hint="eastAsia" w:eastAsia="仿宋_GB2312"/>
          <w:color w:val="000000"/>
          <w:sz w:val="32"/>
          <w:szCs w:val="32"/>
        </w:rPr>
        <w:t>（二）文物保护力度不断加强。红二军团指挥部旧址陈列馆于7月份全面对外开放。《津市市博物馆馆藏陶瓷文物保护修复项目计划书》陶瓷保护方案已报上级部门审核。编制完成湖南省第六批爱国主义教育基地申报材料、红二军团指挥部旧址的消防计划书与环境整治计划书。新洲万寿宫成功申报为湖南省第十一批省级文化保护单位。曹家巷一号、澧县县委旧址、新洲万寿宫成功申报为第五批常德市级文化保护单位。博物馆装修工程和陈展工作基本完成，计划于12月底对外开放。</w:t>
      </w:r>
    </w:p>
    <w:p>
      <w:pPr>
        <w:pStyle w:val="4"/>
        <w:widowControl/>
        <w:spacing w:line="600" w:lineRule="exact"/>
        <w:jc w:val="left"/>
        <w:rPr>
          <w:rFonts w:hint="eastAsia" w:eastAsia="仿宋_GB2312"/>
          <w:color w:val="000000"/>
          <w:sz w:val="32"/>
          <w:szCs w:val="32"/>
        </w:rPr>
      </w:pPr>
      <w:r>
        <w:rPr>
          <w:rFonts w:hint="eastAsia" w:eastAsia="仿宋_GB2312"/>
          <w:color w:val="000000"/>
          <w:sz w:val="32"/>
          <w:szCs w:val="32"/>
        </w:rPr>
        <w:t>（三）文旅融合产业亮点纷呈。大关山旅游景区关山小镇项目已完成了游客接待中心、智慧农业馆和荷花晚风400多亩不同品种的莲花种植，航天科技馆已完成主体工程建设。毛里湖国家湿地公园与旅行社合作，打造毛里湖一日游旅游线路并试营业。对南北双环旅游项目进行初步规划设计。通过“乡村旅游+节庆活动”形式，举办新洲桃花节、青苗桑葚采摘节、绿岛蓝湾等系列旅游节庆活动。指导毛里湖国家湿地公园对景区景观质量进行升级改造；指导白衣镇白衣庵溪丰富旅游业态；指导新洲镇神九堰景区对基础设施进行提质升级。</w:t>
      </w:r>
    </w:p>
    <w:p>
      <w:pPr>
        <w:pStyle w:val="4"/>
        <w:widowControl/>
        <w:spacing w:line="600" w:lineRule="exact"/>
        <w:jc w:val="left"/>
        <w:rPr>
          <w:rFonts w:hint="eastAsia" w:eastAsia="仿宋_GB2312"/>
          <w:color w:val="000000"/>
          <w:sz w:val="32"/>
          <w:szCs w:val="32"/>
        </w:rPr>
      </w:pPr>
      <w:r>
        <w:rPr>
          <w:rFonts w:hint="eastAsia" w:eastAsia="仿宋_GB2312"/>
          <w:color w:val="000000"/>
          <w:sz w:val="32"/>
          <w:szCs w:val="32"/>
        </w:rPr>
        <w:t>（四）体育事业发展硕果累累。今年，市文旅广体局先后承办或主办湖南省老年人气排球（3+2）混合赛、津市市“健康生活 快乐工作”全民健身系列活动、欢庆中国共产党建党100周年千人广场舞联谊活动、津市市首届飞镖比赛等9场赛事。我局出台《津市市单项体育协会年度工作考核奖励办法》，使得津市体育协会管理有章可守。市代表队在常德市第八届运动会上取得11金6银10铜的好成绩。</w:t>
      </w:r>
    </w:p>
    <w:p>
      <w:pPr>
        <w:pStyle w:val="4"/>
        <w:widowControl/>
        <w:spacing w:line="600" w:lineRule="exact"/>
        <w:jc w:val="left"/>
        <w:rPr>
          <w:rFonts w:hint="default" w:eastAsia="仿宋_GB2312"/>
          <w:color w:val="000000"/>
          <w:sz w:val="32"/>
          <w:szCs w:val="32"/>
          <w:lang w:val="en-US" w:eastAsia="zh-CN"/>
        </w:rPr>
      </w:pPr>
      <w:r>
        <w:rPr>
          <w:rFonts w:hint="eastAsia" w:eastAsia="仿宋_GB2312"/>
          <w:color w:val="000000"/>
          <w:sz w:val="32"/>
          <w:szCs w:val="32"/>
          <w:lang w:eastAsia="zh-CN"/>
        </w:rPr>
        <w:t>本年度各项绩效目标基本完成，群众满意度达到</w:t>
      </w:r>
      <w:r>
        <w:rPr>
          <w:rFonts w:hint="eastAsia" w:eastAsia="仿宋_GB2312"/>
          <w:color w:val="000000"/>
          <w:sz w:val="32"/>
          <w:szCs w:val="32"/>
          <w:lang w:val="en-US" w:eastAsia="zh-CN"/>
        </w:rPr>
        <w:t>90%。</w:t>
      </w:r>
    </w:p>
    <w:p>
      <w:pPr>
        <w:pStyle w:val="4"/>
        <w:widowControl/>
        <w:spacing w:line="600" w:lineRule="exact"/>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cs="Times New Roman"/>
          <w:kern w:val="2"/>
          <w:sz w:val="32"/>
          <w:szCs w:val="32"/>
          <w:lang w:val="en-US" w:eastAsia="zh-CN" w:bidi="ar-SA"/>
        </w:rPr>
        <w:t>存在的问题及原因分析</w:t>
      </w:r>
    </w:p>
    <w:p>
      <w:pPr>
        <w:pStyle w:val="4"/>
        <w:widowControl/>
        <w:numPr>
          <w:ilvl w:val="0"/>
          <w:numId w:val="0"/>
        </w:numPr>
        <w:spacing w:line="600" w:lineRule="exact"/>
        <w:ind w:firstLine="640" w:firstLineChars="200"/>
        <w:jc w:val="left"/>
        <w:rPr>
          <w:rFonts w:eastAsia="仿宋_GB2312"/>
          <w:sz w:val="32"/>
          <w:szCs w:val="32"/>
        </w:rPr>
      </w:pPr>
      <w:r>
        <w:rPr>
          <w:rFonts w:hint="eastAsia" w:ascii="Times New Roman" w:hAnsi="Times New Roman" w:eastAsia="仿宋_GB2312" w:cs="Times New Roman"/>
          <w:kern w:val="2"/>
          <w:sz w:val="32"/>
          <w:szCs w:val="32"/>
          <w:lang w:val="en-US" w:eastAsia="zh-CN" w:bidi="ar-SA"/>
        </w:rPr>
        <w:t>由于虎爪山遗址展示用房展陈工程尚未完工，体彩公益金专项资金的剩余资金有待按照工程进度继续支付。</w:t>
      </w:r>
    </w:p>
    <w:p>
      <w:pPr>
        <w:widowControl/>
        <w:numPr>
          <w:ilvl w:val="0"/>
          <w:numId w:val="4"/>
        </w:numPr>
        <w:spacing w:line="600" w:lineRule="exact"/>
        <w:ind w:firstLine="640" w:firstLineChars="200"/>
        <w:jc w:val="left"/>
        <w:rPr>
          <w:rFonts w:eastAsia="黑体"/>
          <w:sz w:val="32"/>
          <w:szCs w:val="32"/>
        </w:rPr>
      </w:pPr>
      <w:r>
        <w:rPr>
          <w:rFonts w:eastAsia="黑体"/>
          <w:sz w:val="32"/>
          <w:szCs w:val="32"/>
        </w:rPr>
        <w:t>下一步改进措施</w:t>
      </w:r>
    </w:p>
    <w:p>
      <w:pPr>
        <w:widowControl/>
        <w:numPr>
          <w:ilvl w:val="0"/>
          <w:numId w:val="0"/>
        </w:numPr>
        <w:spacing w:line="600" w:lineRule="exact"/>
        <w:jc w:val="left"/>
        <w:rPr>
          <w:rFonts w:hint="default" w:eastAsia="黑体"/>
          <w:sz w:val="32"/>
          <w:szCs w:val="32"/>
          <w:lang w:val="en-US" w:eastAsia="zh-CN"/>
        </w:rPr>
      </w:pPr>
      <w:r>
        <w:rPr>
          <w:rFonts w:hint="eastAsia" w:eastAsia="黑体"/>
          <w:sz w:val="32"/>
          <w:szCs w:val="32"/>
          <w:lang w:val="en-US" w:eastAsia="zh-CN"/>
        </w:rPr>
        <w:t xml:space="preserve">   </w:t>
      </w:r>
      <w:r>
        <w:rPr>
          <w:rFonts w:hint="eastAsia" w:ascii="Times New Roman" w:hAnsi="Times New Roman" w:eastAsia="仿宋_GB2312" w:cs="Times New Roman"/>
          <w:sz w:val="32"/>
          <w:szCs w:val="32"/>
          <w:lang w:val="en-US" w:eastAsia="zh-CN"/>
        </w:rPr>
        <w:t xml:space="preserve"> 无</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7FA0D"/>
    <w:multiLevelType w:val="singleLevel"/>
    <w:tmpl w:val="8DC7FA0D"/>
    <w:lvl w:ilvl="0" w:tentative="0">
      <w:start w:val="1"/>
      <w:numFmt w:val="decimal"/>
      <w:lvlText w:val="%1."/>
      <w:lvlJc w:val="left"/>
      <w:pPr>
        <w:tabs>
          <w:tab w:val="left" w:pos="312"/>
        </w:tabs>
      </w:pPr>
    </w:lvl>
  </w:abstractNum>
  <w:abstractNum w:abstractNumId="1">
    <w:nsid w:val="697A1357"/>
    <w:multiLevelType w:val="singleLevel"/>
    <w:tmpl w:val="697A1357"/>
    <w:lvl w:ilvl="0" w:tentative="0">
      <w:start w:val="1"/>
      <w:numFmt w:val="chineseCounting"/>
      <w:suff w:val="nothing"/>
      <w:lvlText w:val="%1、"/>
      <w:lvlJc w:val="left"/>
      <w:pPr>
        <w:ind w:left="-10"/>
      </w:pPr>
      <w:rPr>
        <w:rFonts w:hint="eastAsia"/>
      </w:rPr>
    </w:lvl>
  </w:abstractNum>
  <w:abstractNum w:abstractNumId="2">
    <w:nsid w:val="69FE4AC4"/>
    <w:multiLevelType w:val="singleLevel"/>
    <w:tmpl w:val="69FE4AC4"/>
    <w:lvl w:ilvl="0" w:tentative="0">
      <w:start w:val="2"/>
      <w:numFmt w:val="chineseCounting"/>
      <w:suff w:val="nothing"/>
      <w:lvlText w:val="（%1）"/>
      <w:lvlJc w:val="left"/>
      <w:rPr>
        <w:rFonts w:hint="eastAsia"/>
      </w:rPr>
    </w:lvl>
  </w:abstractNum>
  <w:abstractNum w:abstractNumId="3">
    <w:nsid w:val="6C134380"/>
    <w:multiLevelType w:val="singleLevel"/>
    <w:tmpl w:val="6C134380"/>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4812D31"/>
    <w:rsid w:val="0F7B3163"/>
    <w:rsid w:val="14293353"/>
    <w:rsid w:val="14C845E9"/>
    <w:rsid w:val="20131FEF"/>
    <w:rsid w:val="21057E7F"/>
    <w:rsid w:val="27020983"/>
    <w:rsid w:val="28161998"/>
    <w:rsid w:val="2BD94D30"/>
    <w:rsid w:val="2C9A3543"/>
    <w:rsid w:val="301019B9"/>
    <w:rsid w:val="30FF1B2D"/>
    <w:rsid w:val="34CE5251"/>
    <w:rsid w:val="3A076E09"/>
    <w:rsid w:val="3AEC6792"/>
    <w:rsid w:val="3B8F3226"/>
    <w:rsid w:val="41431147"/>
    <w:rsid w:val="4AE87D0E"/>
    <w:rsid w:val="4D8B31A3"/>
    <w:rsid w:val="5A9D5D9B"/>
    <w:rsid w:val="69661027"/>
    <w:rsid w:val="6C39265B"/>
    <w:rsid w:val="6D0936FF"/>
    <w:rsid w:val="6E9B29F7"/>
    <w:rsid w:val="6F0C581D"/>
    <w:rsid w:val="7204578F"/>
    <w:rsid w:val="772526E6"/>
    <w:rsid w:val="778415E3"/>
    <w:rsid w:val="7C485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小叶砸儿</cp:lastModifiedBy>
  <dcterms:modified xsi:type="dcterms:W3CDTF">2022-03-25T01:23:25Z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