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lang w:val="en-US" w:eastAsia="zh-CN"/>
        </w:rPr>
        <w:t>津市市文旅广体局苏维埃政府（红二军团指挥部）旧址纪念馆深度设计及展陈工程2021年度</w:t>
      </w:r>
      <w:r>
        <w:rPr>
          <w:rFonts w:hint="eastAsia" w:ascii="方正小标宋简体" w:hAnsi="方正小标宋简体" w:eastAsia="方正小标宋简体" w:cs="方正小标宋简体"/>
          <w:sz w:val="36"/>
          <w:szCs w:val="36"/>
          <w:lang w:eastAsia="zh-CN"/>
        </w:rPr>
        <w:t>项目</w:t>
      </w:r>
      <w:r>
        <w:rPr>
          <w:rFonts w:hint="eastAsia" w:ascii="方正小标宋简体" w:hAnsi="方正小标宋简体" w:eastAsia="方正小标宋简体" w:cs="方正小标宋简体"/>
          <w:sz w:val="36"/>
          <w:szCs w:val="36"/>
        </w:rPr>
        <w:t>支出</w:t>
      </w:r>
    </w:p>
    <w:p>
      <w:pPr>
        <w:spacing w:line="600" w:lineRule="exact"/>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绩效报告</w:t>
      </w:r>
    </w:p>
    <w:p>
      <w:pPr>
        <w:adjustRightInd w:val="0"/>
        <w:spacing w:line="600" w:lineRule="exact"/>
        <w:ind w:right="641"/>
        <w:rPr>
          <w:rFonts w:eastAsia="仿宋_GB2312"/>
          <w:sz w:val="32"/>
          <w:szCs w:val="32"/>
        </w:rPr>
      </w:pPr>
    </w:p>
    <w:p>
      <w:pPr>
        <w:adjustRightInd w:val="0"/>
        <w:snapToGrid w:val="0"/>
        <w:spacing w:line="600" w:lineRule="exact"/>
        <w:ind w:firstLine="640" w:firstLineChars="200"/>
        <w:rPr>
          <w:rFonts w:eastAsia="黑体"/>
          <w:sz w:val="32"/>
          <w:szCs w:val="32"/>
        </w:rPr>
      </w:pPr>
      <w:r>
        <w:rPr>
          <w:rFonts w:eastAsia="黑体"/>
          <w:sz w:val="32"/>
          <w:szCs w:val="32"/>
        </w:rPr>
        <w:t>一、</w:t>
      </w:r>
      <w:r>
        <w:rPr>
          <w:rFonts w:hint="eastAsia" w:eastAsia="黑体"/>
          <w:sz w:val="32"/>
          <w:szCs w:val="32"/>
          <w:lang w:eastAsia="zh-CN"/>
        </w:rPr>
        <w:t>项目</w:t>
      </w:r>
      <w:r>
        <w:rPr>
          <w:rFonts w:eastAsia="黑体"/>
          <w:sz w:val="32"/>
          <w:szCs w:val="32"/>
        </w:rPr>
        <w:t>支出概况</w:t>
      </w:r>
    </w:p>
    <w:p>
      <w:pPr>
        <w:adjustRightInd w:val="0"/>
        <w:snapToGrid w:val="0"/>
        <w:spacing w:line="600" w:lineRule="exact"/>
        <w:ind w:firstLine="640" w:firstLineChars="200"/>
        <w:rPr>
          <w:rFonts w:eastAsia="仿宋_GB2312"/>
          <w:sz w:val="32"/>
          <w:szCs w:val="32"/>
        </w:rPr>
      </w:pPr>
      <w:r>
        <w:rPr>
          <w:rFonts w:eastAsia="仿宋_GB2312"/>
          <w:sz w:val="32"/>
          <w:szCs w:val="32"/>
        </w:rPr>
        <w:t>（一）项目实施单位基本情况。</w:t>
      </w:r>
    </w:p>
    <w:p>
      <w:pPr>
        <w:adjustRightInd w:val="0"/>
        <w:snapToGrid w:val="0"/>
        <w:spacing w:line="600" w:lineRule="exact"/>
        <w:ind w:firstLine="640" w:firstLineChars="200"/>
        <w:rPr>
          <w:rFonts w:hint="eastAsia" w:eastAsia="仿宋_GB2312"/>
          <w:sz w:val="32"/>
          <w:szCs w:val="32"/>
          <w:lang w:eastAsia="zh-CN"/>
        </w:rPr>
      </w:pPr>
      <w:r>
        <w:rPr>
          <w:rFonts w:hint="eastAsia" w:eastAsia="仿宋_GB2312"/>
          <w:sz w:val="32"/>
          <w:szCs w:val="32"/>
          <w:lang w:eastAsia="zh-CN"/>
        </w:rPr>
        <w:t>本部门</w:t>
      </w:r>
      <w:r>
        <w:rPr>
          <w:rFonts w:hint="eastAsia" w:eastAsia="仿宋_GB2312"/>
          <w:sz w:val="32"/>
          <w:szCs w:val="32"/>
        </w:rPr>
        <w:t>职能职责</w:t>
      </w:r>
      <w:r>
        <w:rPr>
          <w:rFonts w:hint="eastAsia" w:eastAsia="仿宋_GB2312"/>
          <w:sz w:val="32"/>
          <w:szCs w:val="32"/>
          <w:lang w:eastAsia="zh-CN"/>
        </w:rPr>
        <w:t>：</w:t>
      </w:r>
    </w:p>
    <w:p>
      <w:pPr>
        <w:adjustRightInd w:val="0"/>
        <w:snapToGrid w:val="0"/>
        <w:spacing w:line="600" w:lineRule="exact"/>
        <w:rPr>
          <w:rFonts w:hint="eastAsia" w:eastAsia="仿宋_GB2312"/>
          <w:sz w:val="32"/>
          <w:szCs w:val="32"/>
        </w:rPr>
      </w:pPr>
      <w:r>
        <w:rPr>
          <w:rFonts w:hint="eastAsia" w:eastAsia="仿宋_GB2312"/>
          <w:sz w:val="32"/>
          <w:szCs w:val="32"/>
        </w:rPr>
        <w:t>1.贯彻执行中央、省有关文化（文物）、旅游、广播电视、体育的政策、法律、法规。</w:t>
      </w:r>
    </w:p>
    <w:p>
      <w:pPr>
        <w:adjustRightInd w:val="0"/>
        <w:snapToGrid w:val="0"/>
        <w:spacing w:line="600" w:lineRule="exact"/>
        <w:rPr>
          <w:rFonts w:hint="eastAsia" w:eastAsia="仿宋_GB2312"/>
          <w:sz w:val="32"/>
          <w:szCs w:val="32"/>
        </w:rPr>
      </w:pPr>
      <w:r>
        <w:rPr>
          <w:rFonts w:hint="eastAsia" w:eastAsia="仿宋_GB2312"/>
          <w:sz w:val="32"/>
          <w:szCs w:val="32"/>
        </w:rPr>
        <w:t>2.统筹规划全市文化（文物）、旅游、广播电视、体育事业产业发展，拟定发展规划并组织实施，推进相关产业融合发展，推进相关领域体制机制创新。</w:t>
      </w:r>
    </w:p>
    <w:p>
      <w:pPr>
        <w:adjustRightInd w:val="0"/>
        <w:snapToGrid w:val="0"/>
        <w:spacing w:line="600" w:lineRule="exact"/>
        <w:rPr>
          <w:rFonts w:hint="eastAsia" w:eastAsia="仿宋_GB2312"/>
          <w:sz w:val="32"/>
          <w:szCs w:val="32"/>
        </w:rPr>
      </w:pPr>
      <w:r>
        <w:rPr>
          <w:rFonts w:hint="eastAsia" w:eastAsia="仿宋_GB2312"/>
          <w:sz w:val="32"/>
          <w:szCs w:val="32"/>
        </w:rPr>
        <w:t>3.管理全市性重大文化（文物）、旅游、广播电视、体育活动；负责本市重点文化、旅游、广电、体育基础设施建设；负责津市市旅游整体形象打造及宣传推广，促进相关行业对外交流和合作，制定旅游市场开发战略并组织实施，指导、推进全域旅游。</w:t>
      </w:r>
    </w:p>
    <w:p>
      <w:pPr>
        <w:adjustRightInd w:val="0"/>
        <w:snapToGrid w:val="0"/>
        <w:spacing w:line="600" w:lineRule="exact"/>
        <w:rPr>
          <w:rFonts w:hint="eastAsia" w:eastAsia="仿宋_GB2312"/>
          <w:sz w:val="32"/>
          <w:szCs w:val="32"/>
        </w:rPr>
      </w:pPr>
      <w:r>
        <w:rPr>
          <w:rFonts w:hint="eastAsia" w:eastAsia="仿宋_GB2312"/>
          <w:sz w:val="32"/>
          <w:szCs w:val="32"/>
        </w:rPr>
        <w:t>4.负责全市文化（文物）、旅游、广播电视、体育市场经营活动的行业监管，推进行业信用体系和行业标准化建设，依法规范市场。</w:t>
      </w:r>
    </w:p>
    <w:p>
      <w:pPr>
        <w:adjustRightInd w:val="0"/>
        <w:snapToGrid w:val="0"/>
        <w:spacing w:line="600" w:lineRule="exact"/>
        <w:rPr>
          <w:rFonts w:hint="eastAsia" w:eastAsia="仿宋_GB2312"/>
          <w:sz w:val="32"/>
          <w:szCs w:val="32"/>
        </w:rPr>
      </w:pPr>
      <w:r>
        <w:rPr>
          <w:rFonts w:hint="eastAsia" w:eastAsia="仿宋_GB2312"/>
          <w:sz w:val="32"/>
          <w:szCs w:val="32"/>
        </w:rPr>
        <w:t>5.负责推进全市文化（文物）、旅游、广播电视、体育公共服务体系建设，深入实施文化惠民工程，统筹推进基本公共文化服务标准化、均等化。</w:t>
      </w:r>
    </w:p>
    <w:p>
      <w:pPr>
        <w:adjustRightInd w:val="0"/>
        <w:snapToGrid w:val="0"/>
        <w:spacing w:line="600" w:lineRule="exact"/>
        <w:rPr>
          <w:rFonts w:hint="eastAsia" w:eastAsia="仿宋_GB2312"/>
          <w:sz w:val="32"/>
          <w:szCs w:val="32"/>
        </w:rPr>
      </w:pPr>
      <w:r>
        <w:rPr>
          <w:rFonts w:hint="eastAsia" w:eastAsia="仿宋_GB2312"/>
          <w:sz w:val="32"/>
          <w:szCs w:val="32"/>
        </w:rPr>
        <w:t>6.实施文化（文物）、旅游、广播电视、体育科技创新发展，推进相关行业信息化建设。组织开展文化（文物）、旅游、广播电视、体育领域的科研活动及成果推广。</w:t>
      </w:r>
    </w:p>
    <w:p>
      <w:pPr>
        <w:adjustRightInd w:val="0"/>
        <w:snapToGrid w:val="0"/>
        <w:spacing w:line="600" w:lineRule="exact"/>
        <w:rPr>
          <w:rFonts w:hint="eastAsia" w:eastAsia="仿宋_GB2312"/>
          <w:sz w:val="32"/>
          <w:szCs w:val="32"/>
        </w:rPr>
      </w:pPr>
      <w:r>
        <w:rPr>
          <w:rFonts w:hint="eastAsia" w:eastAsia="仿宋_GB2312"/>
          <w:sz w:val="32"/>
          <w:szCs w:val="32"/>
        </w:rPr>
        <w:t>7.负责全市文化、旅游、广播电视、体育、文物工作领域的行政许可和监督。</w:t>
      </w:r>
    </w:p>
    <w:p>
      <w:pPr>
        <w:adjustRightInd w:val="0"/>
        <w:snapToGrid w:val="0"/>
        <w:spacing w:line="600" w:lineRule="exact"/>
        <w:rPr>
          <w:rFonts w:hint="eastAsia" w:eastAsia="仿宋_GB2312"/>
          <w:sz w:val="32"/>
          <w:szCs w:val="32"/>
        </w:rPr>
      </w:pPr>
      <w:r>
        <w:rPr>
          <w:rFonts w:hint="eastAsia" w:eastAsia="仿宋_GB2312"/>
          <w:sz w:val="32"/>
          <w:szCs w:val="32"/>
        </w:rPr>
        <w:t>8.指导全市文化（文物）、旅游、广播电视、体育市场综合执法，组织查处全市性文化（文物）、旅游、广播电视等市场的违法行为。</w:t>
      </w:r>
    </w:p>
    <w:p>
      <w:pPr>
        <w:adjustRightInd w:val="0"/>
        <w:snapToGrid w:val="0"/>
        <w:spacing w:line="600" w:lineRule="exact"/>
        <w:rPr>
          <w:rFonts w:hint="eastAsia" w:eastAsia="仿宋_GB2312"/>
          <w:sz w:val="32"/>
          <w:szCs w:val="32"/>
        </w:rPr>
      </w:pPr>
      <w:r>
        <w:rPr>
          <w:rFonts w:hint="eastAsia" w:eastAsia="仿宋_GB2312"/>
          <w:sz w:val="32"/>
          <w:szCs w:val="32"/>
        </w:rPr>
        <w:t>9.组织实施文化（文物）和旅游资源普查、挖掘、保护和利用工作，促进全市文化产业和旅游产业发展；负责市本级体育彩票的销售管理。</w:t>
      </w:r>
    </w:p>
    <w:p>
      <w:pPr>
        <w:adjustRightInd w:val="0"/>
        <w:snapToGrid w:val="0"/>
        <w:spacing w:line="600" w:lineRule="exact"/>
        <w:rPr>
          <w:rFonts w:hint="eastAsia" w:eastAsia="仿宋_GB2312"/>
          <w:sz w:val="32"/>
          <w:szCs w:val="32"/>
        </w:rPr>
      </w:pPr>
      <w:r>
        <w:rPr>
          <w:rFonts w:hint="eastAsia" w:eastAsia="仿宋_GB2312"/>
          <w:sz w:val="32"/>
          <w:szCs w:val="32"/>
        </w:rPr>
        <w:t>10.拟订全市文化（文物）、旅游、广播电视、体育行业人才发展规划并组织实施。负责全市文化、旅游、广播电视、体育行业教育培训工作；会同有关部门指导实施旅游从业人员的职业标准和等级标准。</w:t>
      </w:r>
    </w:p>
    <w:p>
      <w:pPr>
        <w:adjustRightInd w:val="0"/>
        <w:snapToGrid w:val="0"/>
        <w:spacing w:line="600" w:lineRule="exact"/>
        <w:rPr>
          <w:rFonts w:hint="eastAsia" w:eastAsia="仿宋_GB2312"/>
          <w:sz w:val="32"/>
          <w:szCs w:val="32"/>
        </w:rPr>
      </w:pPr>
      <w:r>
        <w:rPr>
          <w:rFonts w:hint="eastAsia" w:eastAsia="仿宋_GB2312"/>
          <w:sz w:val="32"/>
          <w:szCs w:val="32"/>
        </w:rPr>
        <w:t>11.负责推动文化（文物）、旅游、广播电视、体育与新媒体新技术新业态创新融合发展。推进广电网与电信网、互联网三网融合。</w:t>
      </w:r>
    </w:p>
    <w:p>
      <w:pPr>
        <w:adjustRightInd w:val="0"/>
        <w:snapToGrid w:val="0"/>
        <w:spacing w:line="600" w:lineRule="exact"/>
        <w:rPr>
          <w:rFonts w:hint="eastAsia" w:eastAsia="仿宋_GB2312"/>
          <w:sz w:val="32"/>
          <w:szCs w:val="32"/>
        </w:rPr>
      </w:pPr>
      <w:r>
        <w:rPr>
          <w:rFonts w:hint="eastAsia" w:eastAsia="仿宋_GB2312"/>
          <w:sz w:val="32"/>
          <w:szCs w:val="32"/>
        </w:rPr>
        <w:t>12.指导、管理文艺事业，指导艺术创作生产，扶持体现社会主义核心价值观、具有导向性代表性示范性的文艺作品，推动各门类艺术、各艺术品种发展。</w:t>
      </w:r>
    </w:p>
    <w:p>
      <w:pPr>
        <w:adjustRightInd w:val="0"/>
        <w:snapToGrid w:val="0"/>
        <w:spacing w:line="600" w:lineRule="exact"/>
        <w:rPr>
          <w:rFonts w:hint="eastAsia" w:eastAsia="仿宋_GB2312"/>
          <w:sz w:val="32"/>
          <w:szCs w:val="32"/>
        </w:rPr>
      </w:pPr>
      <w:r>
        <w:rPr>
          <w:rFonts w:hint="eastAsia" w:eastAsia="仿宋_GB2312"/>
          <w:sz w:val="32"/>
          <w:szCs w:val="32"/>
        </w:rPr>
        <w:t>13.负责对全市广播电视机构进行业务指导和行业监管，会同有关部门对网络视听节目服务机构进行管理；监管、审查广播电视节目、网络视听节目的内容和质量；指导、监管广播电视广告播放；指导、协调全市广播电视重大宣传活动和重要保障期的广播电视安全播出事项；指导实施全市广播电视节目评价工作。</w:t>
      </w:r>
    </w:p>
    <w:p>
      <w:pPr>
        <w:adjustRightInd w:val="0"/>
        <w:snapToGrid w:val="0"/>
        <w:spacing w:line="600" w:lineRule="exact"/>
        <w:rPr>
          <w:rFonts w:hint="eastAsia" w:eastAsia="仿宋_GB2312"/>
          <w:sz w:val="32"/>
          <w:szCs w:val="32"/>
        </w:rPr>
      </w:pPr>
      <w:r>
        <w:rPr>
          <w:rFonts w:hint="eastAsia" w:eastAsia="仿宋_GB2312"/>
          <w:sz w:val="32"/>
          <w:szCs w:val="32"/>
        </w:rPr>
        <w:t>14.负责对全市广播电视节目传输覆盖、监测和安全播出进行监管，指导、推进全市应急广播体系建设。指导、协调全市广播电视系统安全播出工作。</w:t>
      </w:r>
    </w:p>
    <w:p>
      <w:pPr>
        <w:adjustRightInd w:val="0"/>
        <w:snapToGrid w:val="0"/>
        <w:spacing w:line="600" w:lineRule="exact"/>
        <w:rPr>
          <w:rFonts w:hint="eastAsia" w:eastAsia="仿宋_GB2312"/>
          <w:sz w:val="32"/>
          <w:szCs w:val="32"/>
        </w:rPr>
      </w:pPr>
      <w:r>
        <w:rPr>
          <w:rFonts w:hint="eastAsia" w:eastAsia="仿宋_GB2312"/>
          <w:sz w:val="32"/>
          <w:szCs w:val="32"/>
        </w:rPr>
        <w:t>15.统筹规划全市群众体育发展，负责推行全民健身计划，指导全市群众性体育活动的开展，监督实施国家体育锻炼标准，推动国民体质监测和社会体育指导工作队伍制度建设。</w:t>
      </w:r>
    </w:p>
    <w:p>
      <w:pPr>
        <w:adjustRightInd w:val="0"/>
        <w:snapToGrid w:val="0"/>
        <w:spacing w:line="600" w:lineRule="exact"/>
        <w:rPr>
          <w:rFonts w:hint="eastAsia" w:eastAsia="仿宋_GB2312"/>
          <w:sz w:val="32"/>
          <w:szCs w:val="32"/>
        </w:rPr>
      </w:pPr>
      <w:r>
        <w:rPr>
          <w:rFonts w:hint="eastAsia" w:eastAsia="仿宋_GB2312"/>
          <w:sz w:val="32"/>
          <w:szCs w:val="32"/>
        </w:rPr>
        <w:t>16.统筹规划全市竞技体育发展，研究全市体育竞赛项目的设置与布局，组织管理体育训练、体育竞赛、运动队伍建设，协调运动员社会保障工作。负责体育运动中反兴奋剂的相关工作。</w:t>
      </w:r>
    </w:p>
    <w:p>
      <w:pPr>
        <w:adjustRightInd w:val="0"/>
        <w:snapToGrid w:val="0"/>
        <w:spacing w:line="600" w:lineRule="exact"/>
        <w:rPr>
          <w:rFonts w:hint="eastAsia" w:eastAsia="仿宋_GB2312"/>
          <w:sz w:val="32"/>
          <w:szCs w:val="32"/>
        </w:rPr>
      </w:pPr>
      <w:r>
        <w:rPr>
          <w:rFonts w:hint="eastAsia" w:eastAsia="仿宋_GB2312"/>
          <w:sz w:val="32"/>
          <w:szCs w:val="32"/>
        </w:rPr>
        <w:t>17.统筹规划全市青少年体育发展，加强全市体育后备人才建设，指导和推进全市青少年体育工作。会同教育部门协调青少年运动员文化教育和日常管理事项。</w:t>
      </w:r>
    </w:p>
    <w:p>
      <w:pPr>
        <w:adjustRightInd w:val="0"/>
        <w:snapToGrid w:val="0"/>
        <w:spacing w:line="600" w:lineRule="exact"/>
        <w:rPr>
          <w:rFonts w:hint="eastAsia" w:eastAsia="仿宋_GB2312"/>
          <w:sz w:val="32"/>
          <w:szCs w:val="32"/>
        </w:rPr>
      </w:pPr>
      <w:r>
        <w:rPr>
          <w:rFonts w:hint="eastAsia" w:eastAsia="仿宋_GB2312"/>
          <w:sz w:val="32"/>
          <w:szCs w:val="32"/>
        </w:rPr>
        <w:t>18.指导、管理全市文物和博物馆工作，负责文物及非物质文化遗产保护，推动文物、非物质文化遗产的保护、传承，协同有关部门开展历史文化名镇（村）保护和监督管理工作。</w:t>
      </w:r>
    </w:p>
    <w:p>
      <w:pPr>
        <w:adjustRightInd w:val="0"/>
        <w:snapToGrid w:val="0"/>
        <w:spacing w:line="600" w:lineRule="exact"/>
        <w:rPr>
          <w:rFonts w:hint="eastAsia" w:eastAsia="仿宋_GB2312"/>
          <w:sz w:val="32"/>
          <w:szCs w:val="32"/>
        </w:rPr>
      </w:pPr>
      <w:r>
        <w:rPr>
          <w:rFonts w:hint="eastAsia" w:eastAsia="仿宋_GB2312"/>
          <w:sz w:val="32"/>
          <w:szCs w:val="32"/>
        </w:rPr>
        <w:t>19.依照有关法律法规承担权限范围内文物保护单位的审核及其保护、利用、维修项目审核、审批、备案工作；承担权限范围内文物维修设计单位和施工单位资格审核工作；根据授权，对全市基本建设工程的考古勘探和抢救性发掘项目进行审核；负责行政区域内博物馆、纪念馆的监督管理工作。</w:t>
      </w:r>
    </w:p>
    <w:p>
      <w:pPr>
        <w:adjustRightInd w:val="0"/>
        <w:snapToGrid w:val="0"/>
        <w:spacing w:line="600" w:lineRule="exact"/>
        <w:rPr>
          <w:rFonts w:eastAsia="仿宋_GB2312"/>
          <w:sz w:val="32"/>
          <w:szCs w:val="32"/>
        </w:rPr>
      </w:pPr>
      <w:r>
        <w:rPr>
          <w:rFonts w:hint="eastAsia" w:eastAsia="仿宋_GB2312"/>
          <w:sz w:val="32"/>
          <w:szCs w:val="32"/>
        </w:rPr>
        <w:t>20.完成市委、市人民政府交办的其他事项。</w:t>
      </w:r>
    </w:p>
    <w:p>
      <w:pPr>
        <w:adjustRightInd w:val="0"/>
        <w:snapToGrid w:val="0"/>
        <w:spacing w:line="600" w:lineRule="exact"/>
        <w:ind w:firstLine="640" w:firstLineChars="200"/>
        <w:rPr>
          <w:rFonts w:eastAsia="仿宋_GB2312"/>
          <w:sz w:val="32"/>
          <w:szCs w:val="32"/>
        </w:rPr>
      </w:pPr>
      <w:r>
        <w:rPr>
          <w:rFonts w:eastAsia="仿宋_GB2312"/>
          <w:sz w:val="32"/>
          <w:szCs w:val="32"/>
        </w:rPr>
        <w:t>（二）</w:t>
      </w:r>
      <w:r>
        <w:rPr>
          <w:rFonts w:hint="eastAsia" w:eastAsia="仿宋_GB2312"/>
          <w:sz w:val="32"/>
          <w:szCs w:val="32"/>
          <w:lang w:eastAsia="zh-CN"/>
        </w:rPr>
        <w:t>项目</w:t>
      </w:r>
      <w:r>
        <w:rPr>
          <w:rFonts w:eastAsia="仿宋_GB2312"/>
          <w:sz w:val="32"/>
          <w:szCs w:val="32"/>
        </w:rPr>
        <w:t>基本情况包括</w:t>
      </w:r>
      <w:r>
        <w:rPr>
          <w:rFonts w:hint="eastAsia" w:eastAsia="仿宋_GB2312"/>
          <w:sz w:val="32"/>
          <w:szCs w:val="32"/>
          <w:lang w:eastAsia="zh-CN"/>
        </w:rPr>
        <w:t>项目</w:t>
      </w:r>
      <w:r>
        <w:rPr>
          <w:rFonts w:eastAsia="仿宋_GB2312"/>
          <w:sz w:val="32"/>
          <w:szCs w:val="32"/>
        </w:rPr>
        <w:t>基本性质、用途和主要内容、涉及范围等。</w:t>
      </w:r>
    </w:p>
    <w:p>
      <w:pPr>
        <w:adjustRightInd w:val="0"/>
        <w:snapToGrid w:val="0"/>
        <w:spacing w:line="600" w:lineRule="exact"/>
        <w:ind w:firstLine="640" w:firstLineChars="200"/>
        <w:rPr>
          <w:rFonts w:hint="eastAsia" w:eastAsia="仿宋_GB2312"/>
          <w:sz w:val="32"/>
          <w:szCs w:val="32"/>
        </w:rPr>
      </w:pPr>
      <w:r>
        <w:rPr>
          <w:rFonts w:hint="eastAsia" w:eastAsia="仿宋_GB2312"/>
          <w:sz w:val="32"/>
          <w:szCs w:val="32"/>
        </w:rPr>
        <w:t>2019年10月湖南省文物局对《津市苏维埃政府旧址陈展设计方案》进行了批复，原则同意所报方案。项目主要内容为将其开辟为红色旅游景区，爱国主义教育基地，使其成为津市市公共文化服务体系的重要内容和保障人民群众基本文化权益的重要平台，促进地方红色文化旅游发展。项目将通过在建筑内部一至二层以展柜、展台、展板结合油画、雕塑与多媒体等相结合的形式来复原和展现贺龙等老一辈无产阶级革命活动家在湘鄂一带领导革命建立革命政权的历程。本次展陈包含室内电气照明工程以及给排水工程。</w:t>
      </w:r>
    </w:p>
    <w:p>
      <w:pPr>
        <w:numPr>
          <w:ilvl w:val="0"/>
          <w:numId w:val="1"/>
        </w:numPr>
        <w:adjustRightInd w:val="0"/>
        <w:snapToGrid w:val="0"/>
        <w:spacing w:line="600" w:lineRule="exact"/>
        <w:ind w:firstLine="640" w:firstLineChars="200"/>
        <w:rPr>
          <w:rFonts w:eastAsia="仿宋_GB2312"/>
          <w:sz w:val="32"/>
          <w:szCs w:val="32"/>
        </w:rPr>
      </w:pPr>
      <w:r>
        <w:rPr>
          <w:rFonts w:hint="eastAsia" w:eastAsia="仿宋_GB2312"/>
          <w:sz w:val="32"/>
          <w:szCs w:val="32"/>
          <w:lang w:eastAsia="zh-CN"/>
        </w:rPr>
        <w:t>项目</w:t>
      </w:r>
      <w:r>
        <w:rPr>
          <w:rFonts w:eastAsia="仿宋_GB2312"/>
          <w:sz w:val="32"/>
          <w:szCs w:val="32"/>
        </w:rPr>
        <w:t>绩效目标，包括总体目标和年度目标。</w:t>
      </w:r>
    </w:p>
    <w:p>
      <w:pPr>
        <w:numPr>
          <w:ilvl w:val="0"/>
          <w:numId w:val="0"/>
        </w:numPr>
        <w:adjustRightInd w:val="0"/>
        <w:snapToGrid w:val="0"/>
        <w:spacing w:line="600" w:lineRule="exact"/>
        <w:ind w:firstLine="640" w:firstLineChars="200"/>
        <w:rPr>
          <w:rFonts w:eastAsia="仿宋_GB2312"/>
          <w:sz w:val="32"/>
          <w:szCs w:val="32"/>
        </w:rPr>
      </w:pPr>
      <w:r>
        <w:rPr>
          <w:rFonts w:hint="eastAsia" w:eastAsia="仿宋_GB2312"/>
          <w:sz w:val="32"/>
          <w:szCs w:val="32"/>
          <w:lang w:eastAsia="zh-CN"/>
        </w:rPr>
        <w:t>在本年度内</w:t>
      </w:r>
      <w:r>
        <w:rPr>
          <w:rFonts w:hint="eastAsia" w:eastAsia="仿宋_GB2312"/>
          <w:sz w:val="32"/>
          <w:szCs w:val="32"/>
        </w:rPr>
        <w:t>完成展陈工程，将其打造为爱国主义教育基地，使其成为津市市公共文化服务体系的重要内容和保障人民群众基本文化权益的重要平台。</w:t>
      </w:r>
    </w:p>
    <w:p>
      <w:pPr>
        <w:adjustRightInd w:val="0"/>
        <w:snapToGrid w:val="0"/>
        <w:spacing w:line="600" w:lineRule="exact"/>
        <w:ind w:firstLine="640" w:firstLineChars="200"/>
        <w:rPr>
          <w:rFonts w:eastAsia="黑体"/>
          <w:sz w:val="32"/>
          <w:szCs w:val="32"/>
        </w:rPr>
      </w:pPr>
      <w:r>
        <w:rPr>
          <w:rFonts w:eastAsia="黑体"/>
          <w:sz w:val="32"/>
          <w:szCs w:val="32"/>
        </w:rPr>
        <w:t>二、</w:t>
      </w:r>
      <w:r>
        <w:rPr>
          <w:rFonts w:hint="eastAsia" w:eastAsia="黑体"/>
          <w:sz w:val="32"/>
          <w:szCs w:val="32"/>
          <w:lang w:eastAsia="zh-CN"/>
        </w:rPr>
        <w:t>项目</w:t>
      </w:r>
      <w:r>
        <w:rPr>
          <w:rFonts w:eastAsia="黑体"/>
          <w:sz w:val="32"/>
          <w:szCs w:val="32"/>
        </w:rPr>
        <w:t>资金使用及管理情况</w:t>
      </w:r>
    </w:p>
    <w:p>
      <w:pPr>
        <w:adjustRightInd w:val="0"/>
        <w:snapToGrid w:val="0"/>
        <w:spacing w:line="600" w:lineRule="exact"/>
        <w:ind w:firstLine="640" w:firstLineChars="200"/>
        <w:rPr>
          <w:rFonts w:eastAsia="仿宋_GB2312"/>
          <w:sz w:val="32"/>
          <w:szCs w:val="32"/>
        </w:rPr>
      </w:pPr>
      <w:r>
        <w:rPr>
          <w:rFonts w:eastAsia="仿宋_GB2312"/>
          <w:sz w:val="32"/>
          <w:szCs w:val="32"/>
        </w:rPr>
        <w:t>（一）</w:t>
      </w:r>
      <w:r>
        <w:rPr>
          <w:rFonts w:hint="eastAsia" w:eastAsia="仿宋_GB2312"/>
          <w:sz w:val="32"/>
          <w:szCs w:val="32"/>
          <w:lang w:eastAsia="zh-CN"/>
        </w:rPr>
        <w:t>项目</w:t>
      </w:r>
      <w:r>
        <w:rPr>
          <w:rFonts w:eastAsia="仿宋_GB2312"/>
          <w:sz w:val="32"/>
          <w:szCs w:val="32"/>
        </w:rPr>
        <w:t>资金及自筹资金的安排落实、总投入等情况。</w:t>
      </w:r>
    </w:p>
    <w:p>
      <w:pPr>
        <w:adjustRightInd w:val="0"/>
        <w:snapToGrid w:val="0"/>
        <w:spacing w:line="600" w:lineRule="exact"/>
        <w:ind w:firstLine="640" w:firstLineChars="200"/>
        <w:rPr>
          <w:rFonts w:eastAsia="仿宋_GB2312"/>
          <w:sz w:val="32"/>
          <w:szCs w:val="32"/>
        </w:rPr>
      </w:pPr>
      <w:r>
        <w:rPr>
          <w:rFonts w:hint="eastAsia" w:eastAsia="仿宋_GB2312"/>
          <w:sz w:val="32"/>
          <w:szCs w:val="32"/>
        </w:rPr>
        <w:t>项目资金323万元，分两期下达，</w:t>
      </w:r>
      <w:r>
        <w:rPr>
          <w:rFonts w:hint="eastAsia" w:eastAsia="仿宋_GB2312"/>
          <w:sz w:val="32"/>
          <w:szCs w:val="32"/>
          <w:lang w:eastAsia="zh-CN"/>
        </w:rPr>
        <w:t>本年</w:t>
      </w:r>
      <w:r>
        <w:rPr>
          <w:rFonts w:hint="eastAsia" w:eastAsia="仿宋_GB2312"/>
          <w:sz w:val="32"/>
          <w:szCs w:val="32"/>
        </w:rPr>
        <w:t>已到位第一期经费226万</w:t>
      </w:r>
      <w:r>
        <w:rPr>
          <w:rFonts w:hint="eastAsia" w:eastAsia="仿宋_GB2312"/>
          <w:sz w:val="32"/>
          <w:szCs w:val="32"/>
          <w:lang w:eastAsia="zh-CN"/>
        </w:rPr>
        <w:t>，第二期资金有待财政评审后拨付项目单位</w:t>
      </w:r>
      <w:r>
        <w:rPr>
          <w:rFonts w:hint="eastAsia" w:eastAsia="仿宋_GB2312"/>
          <w:sz w:val="32"/>
          <w:szCs w:val="32"/>
        </w:rPr>
        <w:t>。</w:t>
      </w:r>
    </w:p>
    <w:p>
      <w:pPr>
        <w:numPr>
          <w:ilvl w:val="0"/>
          <w:numId w:val="2"/>
        </w:numPr>
        <w:adjustRightInd w:val="0"/>
        <w:snapToGrid w:val="0"/>
        <w:spacing w:line="600" w:lineRule="exact"/>
        <w:ind w:firstLine="640" w:firstLineChars="200"/>
        <w:rPr>
          <w:rFonts w:eastAsia="仿宋_GB2312"/>
          <w:sz w:val="32"/>
          <w:szCs w:val="32"/>
        </w:rPr>
      </w:pPr>
      <w:r>
        <w:rPr>
          <w:rFonts w:hint="eastAsia" w:eastAsia="仿宋_GB2312"/>
          <w:sz w:val="32"/>
          <w:szCs w:val="32"/>
          <w:lang w:eastAsia="zh-CN"/>
        </w:rPr>
        <w:t>项目</w:t>
      </w:r>
      <w:r>
        <w:rPr>
          <w:rFonts w:eastAsia="仿宋_GB2312"/>
          <w:sz w:val="32"/>
          <w:szCs w:val="32"/>
        </w:rPr>
        <w:t>资金实际使用情况。</w:t>
      </w:r>
    </w:p>
    <w:p>
      <w:pPr>
        <w:numPr>
          <w:ilvl w:val="0"/>
          <w:numId w:val="0"/>
        </w:numPr>
        <w:adjustRightInd w:val="0"/>
        <w:snapToGrid w:val="0"/>
        <w:spacing w:line="600" w:lineRule="exact"/>
        <w:ind w:firstLine="640" w:firstLineChars="200"/>
        <w:rPr>
          <w:rFonts w:hint="default" w:eastAsia="仿宋_GB2312"/>
          <w:sz w:val="32"/>
          <w:szCs w:val="32"/>
          <w:lang w:val="en-US" w:eastAsia="zh-CN"/>
        </w:rPr>
      </w:pPr>
      <w:r>
        <w:rPr>
          <w:rFonts w:hint="eastAsia" w:eastAsia="仿宋_GB2312"/>
          <w:sz w:val="32"/>
          <w:szCs w:val="32"/>
          <w:lang w:val="en-US" w:eastAsia="zh-CN"/>
        </w:rPr>
        <w:t>2021年度全年使用资金200.1万元，用于工程款、监理费、设计费、项目管理费等支出。</w:t>
      </w:r>
    </w:p>
    <w:p>
      <w:pPr>
        <w:numPr>
          <w:ilvl w:val="0"/>
          <w:numId w:val="2"/>
        </w:numPr>
        <w:adjustRightInd w:val="0"/>
        <w:snapToGrid w:val="0"/>
        <w:spacing w:line="600" w:lineRule="exact"/>
        <w:ind w:left="0" w:leftChars="0" w:firstLine="640" w:firstLineChars="200"/>
        <w:rPr>
          <w:rFonts w:eastAsia="仿宋_GB2312"/>
          <w:sz w:val="32"/>
          <w:szCs w:val="32"/>
        </w:rPr>
      </w:pPr>
      <w:r>
        <w:rPr>
          <w:rFonts w:hint="eastAsia" w:eastAsia="仿宋_GB2312"/>
          <w:sz w:val="32"/>
          <w:szCs w:val="32"/>
          <w:lang w:eastAsia="zh-CN"/>
        </w:rPr>
        <w:t>项目</w:t>
      </w:r>
      <w:r>
        <w:rPr>
          <w:rFonts w:eastAsia="仿宋_GB2312"/>
          <w:sz w:val="32"/>
          <w:szCs w:val="32"/>
        </w:rPr>
        <w:t>资金管理情况分析，主要包括管理制度、办法的制订及执行情况。</w:t>
      </w:r>
    </w:p>
    <w:p>
      <w:pPr>
        <w:numPr>
          <w:ilvl w:val="0"/>
          <w:numId w:val="0"/>
        </w:numPr>
        <w:adjustRightInd w:val="0"/>
        <w:snapToGrid w:val="0"/>
        <w:spacing w:line="600" w:lineRule="exact"/>
        <w:ind w:firstLine="640" w:firstLineChars="200"/>
        <w:rPr>
          <w:rFonts w:eastAsia="仿宋_GB2312"/>
          <w:sz w:val="32"/>
          <w:szCs w:val="32"/>
        </w:rPr>
      </w:pPr>
      <w:r>
        <w:rPr>
          <w:rFonts w:hint="eastAsia" w:eastAsia="仿宋_GB2312"/>
          <w:sz w:val="32"/>
          <w:szCs w:val="32"/>
        </w:rPr>
        <w:t>在项目预算控制上</w:t>
      </w:r>
      <w:r>
        <w:rPr>
          <w:rFonts w:hint="eastAsia" w:eastAsia="仿宋_GB2312"/>
          <w:sz w:val="32"/>
          <w:szCs w:val="32"/>
          <w:lang w:eastAsia="zh-CN"/>
        </w:rPr>
        <w:t>由</w:t>
      </w:r>
      <w:r>
        <w:rPr>
          <w:rFonts w:hint="eastAsia" w:eastAsia="仿宋_GB2312"/>
          <w:sz w:val="32"/>
          <w:szCs w:val="32"/>
        </w:rPr>
        <w:t>单位财务部门监管，及时按计划和进度使用专项资金，严格执行支出进度计划。按照绩效管理制度进行，遵守相关法律法规和业务管理规定;项目支出手续完备，及时收集相关资料并归档;财务部门管理规范，制度健全，监督规范使用资金，无截留、挤占、挪用，确保专款专用。</w:t>
      </w:r>
    </w:p>
    <w:p>
      <w:pPr>
        <w:adjustRightInd w:val="0"/>
        <w:snapToGrid w:val="0"/>
        <w:spacing w:line="600" w:lineRule="exact"/>
        <w:ind w:firstLine="640" w:firstLineChars="200"/>
        <w:rPr>
          <w:rFonts w:eastAsia="黑体"/>
          <w:sz w:val="32"/>
          <w:szCs w:val="32"/>
        </w:rPr>
      </w:pPr>
      <w:r>
        <w:rPr>
          <w:rFonts w:eastAsia="黑体"/>
          <w:sz w:val="32"/>
          <w:szCs w:val="32"/>
        </w:rPr>
        <w:t>三、</w:t>
      </w:r>
      <w:r>
        <w:rPr>
          <w:rFonts w:hint="eastAsia" w:eastAsia="黑体"/>
          <w:sz w:val="32"/>
          <w:szCs w:val="32"/>
          <w:lang w:eastAsia="zh-CN"/>
        </w:rPr>
        <w:t>项目</w:t>
      </w:r>
      <w:r>
        <w:rPr>
          <w:rFonts w:eastAsia="黑体"/>
          <w:sz w:val="32"/>
          <w:szCs w:val="32"/>
        </w:rPr>
        <w:t>支出组织实施情况</w:t>
      </w:r>
    </w:p>
    <w:p>
      <w:pPr>
        <w:adjustRightInd w:val="0"/>
        <w:snapToGrid w:val="0"/>
        <w:spacing w:line="600" w:lineRule="exact"/>
        <w:ind w:firstLine="640" w:firstLineChars="200"/>
        <w:rPr>
          <w:rFonts w:eastAsia="仿宋_GB2312"/>
          <w:sz w:val="32"/>
          <w:szCs w:val="32"/>
        </w:rPr>
      </w:pPr>
      <w:r>
        <w:rPr>
          <w:rFonts w:hint="eastAsia" w:eastAsia="仿宋_GB2312"/>
          <w:sz w:val="32"/>
          <w:szCs w:val="32"/>
        </w:rPr>
        <w:t>严格执行成本控制，按照政府投资项目关于招投标的规定，对苏维埃政府旧址展示利用工程进行了招投标。严格执行合同价格，按约定付款方式付款。</w:t>
      </w:r>
    </w:p>
    <w:p>
      <w:pPr>
        <w:adjustRightInd w:val="0"/>
        <w:snapToGrid w:val="0"/>
        <w:spacing w:line="600" w:lineRule="exact"/>
        <w:ind w:firstLine="640" w:firstLineChars="200"/>
        <w:rPr>
          <w:rFonts w:eastAsia="黑体"/>
          <w:sz w:val="32"/>
          <w:szCs w:val="32"/>
        </w:rPr>
      </w:pPr>
      <w:r>
        <w:rPr>
          <w:rFonts w:eastAsia="黑体"/>
          <w:sz w:val="32"/>
          <w:szCs w:val="32"/>
        </w:rPr>
        <w:t>四、</w:t>
      </w:r>
      <w:r>
        <w:rPr>
          <w:rFonts w:hint="eastAsia" w:eastAsia="黑体"/>
          <w:sz w:val="32"/>
          <w:szCs w:val="32"/>
          <w:lang w:eastAsia="zh-CN"/>
        </w:rPr>
        <w:t>项目</w:t>
      </w:r>
      <w:r>
        <w:rPr>
          <w:rFonts w:eastAsia="黑体"/>
          <w:sz w:val="32"/>
          <w:szCs w:val="32"/>
        </w:rPr>
        <w:t>绩效情况</w:t>
      </w:r>
    </w:p>
    <w:p>
      <w:pPr>
        <w:adjustRightInd w:val="0"/>
        <w:snapToGrid w:val="0"/>
        <w:spacing w:line="600" w:lineRule="exact"/>
        <w:ind w:firstLine="640" w:firstLineChars="200"/>
        <w:rPr>
          <w:rFonts w:hint="eastAsia" w:eastAsia="仿宋_GB2312"/>
          <w:sz w:val="32"/>
          <w:szCs w:val="32"/>
        </w:rPr>
      </w:pPr>
      <w:r>
        <w:rPr>
          <w:rFonts w:hint="eastAsia" w:eastAsia="仿宋_GB2312"/>
          <w:sz w:val="32"/>
          <w:szCs w:val="32"/>
        </w:rPr>
        <w:t>1.产出指标完成情况分析。</w:t>
      </w:r>
    </w:p>
    <w:p>
      <w:pPr>
        <w:adjustRightInd w:val="0"/>
        <w:snapToGrid w:val="0"/>
        <w:spacing w:line="600" w:lineRule="exact"/>
        <w:ind w:firstLine="640" w:firstLineChars="200"/>
        <w:rPr>
          <w:rFonts w:hint="eastAsia" w:eastAsia="仿宋_GB2312"/>
          <w:sz w:val="32"/>
          <w:szCs w:val="32"/>
        </w:rPr>
      </w:pPr>
      <w:r>
        <w:rPr>
          <w:rFonts w:hint="eastAsia" w:eastAsia="仿宋_GB2312"/>
          <w:sz w:val="32"/>
          <w:szCs w:val="32"/>
        </w:rPr>
        <w:t>（1）项目完成数量。</w:t>
      </w:r>
    </w:p>
    <w:p>
      <w:pPr>
        <w:adjustRightInd w:val="0"/>
        <w:snapToGrid w:val="0"/>
        <w:spacing w:line="600" w:lineRule="exact"/>
        <w:ind w:firstLine="640" w:firstLineChars="200"/>
        <w:rPr>
          <w:rFonts w:hint="eastAsia" w:eastAsia="仿宋_GB2312"/>
          <w:sz w:val="32"/>
          <w:szCs w:val="32"/>
        </w:rPr>
      </w:pPr>
      <w:r>
        <w:rPr>
          <w:rFonts w:hint="eastAsia" w:eastAsia="仿宋_GB2312"/>
          <w:sz w:val="32"/>
          <w:szCs w:val="32"/>
        </w:rPr>
        <w:t>苏维埃政府旧址展示利用工程分为南栋和北栋，室内展陈面积610平方米，展线长度210平方米，室外公共区域1900平方米，旧址北栋1楼展陈面积204平方米，2楼展陈面积204平方米，旧址南栋1楼展陈面积101平方米，2楼展陈面积101平方米。项目已完工</w:t>
      </w:r>
      <w:r>
        <w:rPr>
          <w:rFonts w:hint="eastAsia" w:eastAsia="仿宋_GB2312"/>
          <w:sz w:val="32"/>
          <w:szCs w:val="32"/>
          <w:lang w:eastAsia="zh-CN"/>
        </w:rPr>
        <w:t>，尚未进行竣工验收和结算</w:t>
      </w:r>
      <w:r>
        <w:rPr>
          <w:rFonts w:hint="eastAsia" w:eastAsia="仿宋_GB2312"/>
          <w:sz w:val="32"/>
          <w:szCs w:val="32"/>
        </w:rPr>
        <w:t>。</w:t>
      </w:r>
    </w:p>
    <w:p>
      <w:pPr>
        <w:adjustRightInd w:val="0"/>
        <w:snapToGrid w:val="0"/>
        <w:spacing w:line="600" w:lineRule="exact"/>
        <w:ind w:firstLine="640" w:firstLineChars="200"/>
        <w:rPr>
          <w:rFonts w:hint="eastAsia" w:eastAsia="仿宋_GB2312"/>
          <w:sz w:val="32"/>
          <w:szCs w:val="32"/>
        </w:rPr>
      </w:pPr>
      <w:r>
        <w:rPr>
          <w:rFonts w:hint="eastAsia" w:eastAsia="仿宋_GB2312"/>
          <w:sz w:val="32"/>
          <w:szCs w:val="32"/>
        </w:rPr>
        <w:t>（2）项目完成质量。</w:t>
      </w:r>
    </w:p>
    <w:p>
      <w:pPr>
        <w:adjustRightInd w:val="0"/>
        <w:snapToGrid w:val="0"/>
        <w:spacing w:line="600" w:lineRule="exact"/>
        <w:ind w:firstLine="640" w:firstLineChars="200"/>
        <w:rPr>
          <w:rFonts w:hint="eastAsia" w:eastAsia="仿宋_GB2312"/>
          <w:sz w:val="32"/>
          <w:szCs w:val="32"/>
        </w:rPr>
      </w:pPr>
      <w:r>
        <w:rPr>
          <w:rFonts w:hint="eastAsia" w:eastAsia="仿宋_GB2312"/>
          <w:sz w:val="32"/>
          <w:szCs w:val="32"/>
        </w:rPr>
        <w:t>项目设计单位为湖南中诚设计装饰工程有限公司，项目施工单位为湖南新宇装饰设计工程有限公司，项目监理单位为湖南新精诚建设项目管理有限公司，工程严格按照《博物馆陈列展览形式设计与施工规范》进行。</w:t>
      </w:r>
    </w:p>
    <w:p>
      <w:pPr>
        <w:adjustRightInd w:val="0"/>
        <w:snapToGrid w:val="0"/>
        <w:spacing w:line="600" w:lineRule="exact"/>
        <w:ind w:firstLine="640" w:firstLineChars="200"/>
        <w:rPr>
          <w:rFonts w:hint="eastAsia" w:eastAsia="仿宋_GB2312"/>
          <w:sz w:val="32"/>
          <w:szCs w:val="32"/>
        </w:rPr>
      </w:pPr>
      <w:r>
        <w:rPr>
          <w:rFonts w:hint="eastAsia" w:eastAsia="仿宋_GB2312"/>
          <w:sz w:val="32"/>
          <w:szCs w:val="32"/>
        </w:rPr>
        <w:t>（3）项目实施进度。</w:t>
      </w:r>
    </w:p>
    <w:p>
      <w:pPr>
        <w:adjustRightInd w:val="0"/>
        <w:snapToGrid w:val="0"/>
        <w:spacing w:line="600" w:lineRule="exact"/>
        <w:ind w:firstLine="640" w:firstLineChars="200"/>
        <w:rPr>
          <w:rFonts w:hint="eastAsia" w:eastAsia="仿宋_GB2312"/>
          <w:sz w:val="32"/>
          <w:szCs w:val="32"/>
        </w:rPr>
      </w:pPr>
      <w:r>
        <w:rPr>
          <w:rFonts w:hint="eastAsia" w:eastAsia="仿宋_GB2312"/>
          <w:sz w:val="32"/>
          <w:szCs w:val="32"/>
        </w:rPr>
        <w:t>该项目是津市重点工程。津市市委、政府高度重视。工程于2021年3月下旬正式启动，6月完工。</w:t>
      </w:r>
    </w:p>
    <w:p>
      <w:pPr>
        <w:adjustRightInd w:val="0"/>
        <w:snapToGrid w:val="0"/>
        <w:spacing w:line="600" w:lineRule="exact"/>
        <w:ind w:firstLine="640" w:firstLineChars="200"/>
        <w:rPr>
          <w:rFonts w:hint="eastAsia" w:eastAsia="仿宋_GB2312"/>
          <w:sz w:val="32"/>
          <w:szCs w:val="32"/>
        </w:rPr>
      </w:pPr>
      <w:r>
        <w:rPr>
          <w:rFonts w:hint="eastAsia" w:eastAsia="仿宋_GB2312"/>
          <w:sz w:val="32"/>
          <w:szCs w:val="32"/>
        </w:rPr>
        <w:t>（4）项目成本节约情况。</w:t>
      </w:r>
    </w:p>
    <w:p>
      <w:pPr>
        <w:adjustRightInd w:val="0"/>
        <w:snapToGrid w:val="0"/>
        <w:spacing w:line="600" w:lineRule="exact"/>
        <w:ind w:firstLine="640" w:firstLineChars="200"/>
        <w:rPr>
          <w:rFonts w:hint="eastAsia" w:eastAsia="仿宋_GB2312"/>
          <w:sz w:val="32"/>
          <w:szCs w:val="32"/>
        </w:rPr>
      </w:pPr>
      <w:r>
        <w:rPr>
          <w:rFonts w:hint="eastAsia" w:eastAsia="仿宋_GB2312"/>
          <w:sz w:val="32"/>
          <w:szCs w:val="32"/>
        </w:rPr>
        <w:t>项目工程部分预算323万元，因项目尚为进行竣工结算，暂无法估算成本节约情况。</w:t>
      </w:r>
    </w:p>
    <w:p>
      <w:pPr>
        <w:adjustRightInd w:val="0"/>
        <w:snapToGrid w:val="0"/>
        <w:spacing w:line="600" w:lineRule="exact"/>
        <w:ind w:firstLine="640" w:firstLineChars="200"/>
        <w:rPr>
          <w:rFonts w:hint="eastAsia" w:eastAsia="仿宋_GB2312"/>
          <w:sz w:val="32"/>
          <w:szCs w:val="32"/>
        </w:rPr>
      </w:pPr>
      <w:r>
        <w:rPr>
          <w:rFonts w:hint="eastAsia" w:eastAsia="仿宋_GB2312"/>
          <w:sz w:val="32"/>
          <w:szCs w:val="32"/>
        </w:rPr>
        <w:t>2.效益指标完成情况分析。</w:t>
      </w:r>
    </w:p>
    <w:p>
      <w:pPr>
        <w:adjustRightInd w:val="0"/>
        <w:snapToGrid w:val="0"/>
        <w:spacing w:line="600" w:lineRule="exact"/>
        <w:ind w:firstLine="640" w:firstLineChars="200"/>
        <w:rPr>
          <w:rFonts w:hint="eastAsia" w:eastAsia="仿宋_GB2312"/>
          <w:sz w:val="32"/>
          <w:szCs w:val="32"/>
        </w:rPr>
      </w:pPr>
      <w:r>
        <w:rPr>
          <w:rFonts w:hint="eastAsia" w:eastAsia="仿宋_GB2312"/>
          <w:sz w:val="32"/>
          <w:szCs w:val="32"/>
        </w:rPr>
        <w:t>（1）项目实施的经济效益分析。</w:t>
      </w:r>
    </w:p>
    <w:p>
      <w:pPr>
        <w:adjustRightInd w:val="0"/>
        <w:snapToGrid w:val="0"/>
        <w:spacing w:line="600" w:lineRule="exact"/>
        <w:ind w:firstLine="640" w:firstLineChars="200"/>
        <w:rPr>
          <w:rFonts w:hint="eastAsia" w:eastAsia="仿宋_GB2312"/>
          <w:sz w:val="32"/>
          <w:szCs w:val="32"/>
        </w:rPr>
      </w:pPr>
      <w:r>
        <w:rPr>
          <w:rFonts w:hint="eastAsia" w:eastAsia="仿宋_GB2312"/>
          <w:sz w:val="32"/>
          <w:szCs w:val="32"/>
        </w:rPr>
        <w:t>津市文旅部门拟将苏维埃政府旧址开辟为红色旅游景区，爱国主义教育基地，促进地方红色文化旅游发展。</w:t>
      </w:r>
    </w:p>
    <w:p>
      <w:pPr>
        <w:adjustRightInd w:val="0"/>
        <w:snapToGrid w:val="0"/>
        <w:spacing w:line="600" w:lineRule="exact"/>
        <w:ind w:firstLine="640" w:firstLineChars="200"/>
        <w:rPr>
          <w:rFonts w:hint="eastAsia" w:eastAsia="仿宋_GB2312"/>
          <w:sz w:val="32"/>
          <w:szCs w:val="32"/>
        </w:rPr>
      </w:pPr>
      <w:r>
        <w:rPr>
          <w:rFonts w:hint="eastAsia" w:eastAsia="仿宋_GB2312"/>
          <w:sz w:val="32"/>
          <w:szCs w:val="32"/>
        </w:rPr>
        <w:t>（2）项目实施的社会效益分析。</w:t>
      </w:r>
    </w:p>
    <w:p>
      <w:pPr>
        <w:adjustRightInd w:val="0"/>
        <w:snapToGrid w:val="0"/>
        <w:spacing w:line="600" w:lineRule="exact"/>
        <w:ind w:firstLine="640" w:firstLineChars="200"/>
        <w:rPr>
          <w:rFonts w:hint="eastAsia" w:eastAsia="仿宋_GB2312"/>
          <w:sz w:val="32"/>
          <w:szCs w:val="32"/>
        </w:rPr>
      </w:pPr>
      <w:r>
        <w:rPr>
          <w:rFonts w:hint="eastAsia" w:eastAsia="仿宋_GB2312"/>
          <w:sz w:val="32"/>
          <w:szCs w:val="32"/>
        </w:rPr>
        <w:t>工程完工后，将其打造为爱国主义教育基地，使其成为津市市公共文化服务体系的重要内容和保障人民群众基本文化权益的重要平台。</w:t>
      </w:r>
    </w:p>
    <w:p>
      <w:pPr>
        <w:adjustRightInd w:val="0"/>
        <w:snapToGrid w:val="0"/>
        <w:spacing w:line="600" w:lineRule="exact"/>
        <w:ind w:firstLine="640" w:firstLineChars="200"/>
        <w:rPr>
          <w:rFonts w:hint="eastAsia" w:eastAsia="仿宋_GB2312"/>
          <w:sz w:val="32"/>
          <w:szCs w:val="32"/>
        </w:rPr>
      </w:pPr>
      <w:r>
        <w:rPr>
          <w:rFonts w:hint="eastAsia" w:eastAsia="仿宋_GB2312"/>
          <w:sz w:val="32"/>
          <w:szCs w:val="32"/>
        </w:rPr>
        <w:t>（3）项目实施的生态效益分析。</w:t>
      </w:r>
    </w:p>
    <w:p>
      <w:pPr>
        <w:adjustRightInd w:val="0"/>
        <w:snapToGrid w:val="0"/>
        <w:spacing w:line="600" w:lineRule="exact"/>
        <w:ind w:firstLine="640" w:firstLineChars="200"/>
        <w:rPr>
          <w:rFonts w:hint="eastAsia" w:eastAsia="仿宋_GB2312"/>
          <w:sz w:val="32"/>
          <w:szCs w:val="32"/>
        </w:rPr>
      </w:pPr>
      <w:r>
        <w:rPr>
          <w:rFonts w:hint="eastAsia" w:eastAsia="仿宋_GB2312"/>
          <w:sz w:val="32"/>
          <w:szCs w:val="32"/>
        </w:rPr>
        <w:t>工程实施后，改善了旧址环境，实现了旧址内生态环境的可持续发展，为津市市民在城区打造了一个环境优美的红色纪念馆。</w:t>
      </w:r>
    </w:p>
    <w:p>
      <w:pPr>
        <w:adjustRightInd w:val="0"/>
        <w:snapToGrid w:val="0"/>
        <w:spacing w:line="600" w:lineRule="exact"/>
        <w:ind w:firstLine="640" w:firstLineChars="200"/>
        <w:rPr>
          <w:rFonts w:hint="eastAsia" w:eastAsia="仿宋_GB2312"/>
          <w:sz w:val="32"/>
          <w:szCs w:val="32"/>
        </w:rPr>
      </w:pPr>
      <w:r>
        <w:rPr>
          <w:rFonts w:hint="eastAsia" w:eastAsia="仿宋_GB2312"/>
          <w:sz w:val="32"/>
          <w:szCs w:val="32"/>
        </w:rPr>
        <w:t>（4）项目实施的可持续影响分析。</w:t>
      </w:r>
    </w:p>
    <w:p>
      <w:pPr>
        <w:adjustRightInd w:val="0"/>
        <w:snapToGrid w:val="0"/>
        <w:spacing w:line="600" w:lineRule="exact"/>
        <w:ind w:firstLine="640" w:firstLineChars="200"/>
        <w:rPr>
          <w:rFonts w:hint="eastAsia" w:eastAsia="仿宋_GB2312"/>
          <w:sz w:val="32"/>
          <w:szCs w:val="32"/>
        </w:rPr>
      </w:pPr>
      <w:r>
        <w:rPr>
          <w:rFonts w:hint="eastAsia" w:eastAsia="仿宋_GB2312"/>
          <w:sz w:val="32"/>
          <w:szCs w:val="32"/>
        </w:rPr>
        <w:t>有利于保护革命文物，传承红色基因。充分发挥文物的价值，同时起到保护文物的效果。</w:t>
      </w:r>
    </w:p>
    <w:p>
      <w:pPr>
        <w:adjustRightInd w:val="0"/>
        <w:snapToGrid w:val="0"/>
        <w:spacing w:line="600" w:lineRule="exact"/>
        <w:ind w:firstLine="640" w:firstLineChars="200"/>
        <w:rPr>
          <w:rFonts w:hint="eastAsia" w:eastAsia="仿宋_GB2312"/>
          <w:sz w:val="32"/>
          <w:szCs w:val="32"/>
        </w:rPr>
      </w:pPr>
      <w:r>
        <w:rPr>
          <w:rFonts w:hint="eastAsia" w:eastAsia="仿宋_GB2312"/>
          <w:sz w:val="32"/>
          <w:szCs w:val="32"/>
        </w:rPr>
        <w:t>（5）项目实施的满意度指标影响分析</w:t>
      </w:r>
    </w:p>
    <w:p>
      <w:pPr>
        <w:adjustRightInd w:val="0"/>
        <w:snapToGrid w:val="0"/>
        <w:spacing w:line="600" w:lineRule="exact"/>
        <w:ind w:firstLine="640" w:firstLineChars="200"/>
        <w:rPr>
          <w:rFonts w:eastAsia="黑体"/>
          <w:sz w:val="32"/>
          <w:szCs w:val="32"/>
        </w:rPr>
      </w:pPr>
      <w:r>
        <w:rPr>
          <w:rFonts w:hint="eastAsia" w:eastAsia="仿宋_GB2312"/>
          <w:sz w:val="32"/>
          <w:szCs w:val="32"/>
        </w:rPr>
        <w:t>展示利用工程的实施，有利于充分发挥文物的价值，对红色文化宣传起到了极大地促进作用，让今后干部群众学习感受红色文化有了去处，当地政府和群众对该工程十分满意。</w:t>
      </w:r>
      <w:r>
        <w:rPr>
          <w:rFonts w:hint="eastAsia" w:eastAsia="黑体"/>
          <w:sz w:val="32"/>
          <w:szCs w:val="32"/>
          <w:lang w:eastAsia="zh-CN"/>
        </w:rPr>
        <w:t>五</w:t>
      </w:r>
      <w:r>
        <w:rPr>
          <w:rFonts w:eastAsia="黑体"/>
          <w:sz w:val="32"/>
          <w:szCs w:val="32"/>
        </w:rPr>
        <w:t>、其他需要说明的问题</w:t>
      </w:r>
    </w:p>
    <w:p>
      <w:pPr>
        <w:numPr>
          <w:ilvl w:val="0"/>
          <w:numId w:val="3"/>
        </w:numPr>
        <w:adjustRightInd w:val="0"/>
        <w:snapToGrid w:val="0"/>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后续工作计划。</w:t>
      </w:r>
    </w:p>
    <w:p>
      <w:pPr>
        <w:numPr>
          <w:ilvl w:val="0"/>
          <w:numId w:val="0"/>
        </w:numPr>
        <w:adjustRightInd w:val="0"/>
        <w:snapToGrid w:val="0"/>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后续将继续按照合同约定进行工程竣工验收、结算工作。</w:t>
      </w:r>
    </w:p>
    <w:p>
      <w:pPr>
        <w:numPr>
          <w:ilvl w:val="0"/>
          <w:numId w:val="3"/>
        </w:numPr>
        <w:adjustRightInd w:val="0"/>
        <w:snapToGrid w:val="0"/>
        <w:spacing w:line="600" w:lineRule="exact"/>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主要经验做法、存在的问题和建议。主要包括资金安排、使用过程中的经验、做法、存在的问题、改进措施和有关建议等。</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sz w:val="32"/>
          <w:szCs w:val="32"/>
          <w:lang w:eastAsia="zh-CN"/>
        </w:rPr>
        <w:t>项目应</w:t>
      </w:r>
      <w:r>
        <w:rPr>
          <w:rFonts w:hint="eastAsia" w:ascii="仿宋_GB2312" w:hAnsi="仿宋_GB2312" w:eastAsia="仿宋_GB2312" w:cs="仿宋_GB2312"/>
          <w:sz w:val="32"/>
          <w:szCs w:val="32"/>
        </w:rPr>
        <w:t>严格执行合同价格，按约定付款方式付款</w:t>
      </w:r>
      <w:r>
        <w:rPr>
          <w:rFonts w:hint="eastAsia" w:ascii="仿宋_GB2312" w:hAnsi="仿宋_GB2312" w:eastAsia="仿宋_GB2312" w:cs="仿宋_GB2312"/>
          <w:sz w:val="32"/>
          <w:szCs w:val="32"/>
          <w:lang w:eastAsia="zh-CN"/>
        </w:rPr>
        <w:t>，保证专款专用，按计划支付</w:t>
      </w:r>
      <w:r>
        <w:rPr>
          <w:rFonts w:hint="eastAsia" w:ascii="仿宋_GB2312" w:hAnsi="仿宋_GB2312" w:eastAsia="仿宋_GB2312" w:cs="仿宋_GB2312"/>
          <w:sz w:val="32"/>
          <w:szCs w:val="32"/>
        </w:rPr>
        <w:t>。项目支出手续完备，及时收集相关资料并归档</w:t>
      </w:r>
      <w:r>
        <w:rPr>
          <w:rFonts w:hint="eastAsia" w:ascii="仿宋_GB2312" w:hAnsi="仿宋_GB2312" w:eastAsia="仿宋_GB2312" w:cs="仿宋_GB2312"/>
          <w:sz w:val="32"/>
          <w:szCs w:val="32"/>
          <w:lang w:eastAsia="zh-CN"/>
        </w:rPr>
        <w:t>。</w:t>
      </w:r>
    </w:p>
    <w:p>
      <w:pPr>
        <w:numPr>
          <w:ilvl w:val="0"/>
          <w:numId w:val="0"/>
        </w:numPr>
        <w:adjustRightInd w:val="0"/>
        <w:snapToGrid w:val="0"/>
        <w:spacing w:line="600" w:lineRule="exact"/>
        <w:ind w:leftChars="200"/>
        <w:rPr>
          <w:rFonts w:hint="default" w:ascii="仿宋_GB2312" w:hAnsi="仿宋_GB2312" w:eastAsia="仿宋_GB2312" w:cs="仿宋_GB2312"/>
          <w:sz w:val="32"/>
          <w:szCs w:val="32"/>
          <w:lang w:val="en-US" w:eastAsia="zh-CN"/>
        </w:rPr>
      </w:pPr>
    </w:p>
    <w:p>
      <w:pPr>
        <w:adjustRightInd w:val="0"/>
        <w:snapToGrid w:val="0"/>
        <w:spacing w:line="600" w:lineRule="exact"/>
        <w:ind w:firstLine="640" w:firstLineChars="200"/>
        <w:rPr>
          <w:rFonts w:eastAsia="黑体"/>
          <w:sz w:val="32"/>
          <w:szCs w:val="32"/>
        </w:rPr>
      </w:pPr>
    </w:p>
    <w:p>
      <w:pPr>
        <w:adjustRightInd w:val="0"/>
        <w:snapToGrid w:val="0"/>
        <w:spacing w:line="600" w:lineRule="exact"/>
        <w:ind w:firstLine="640" w:firstLineChars="200"/>
        <w:rPr>
          <w:rFonts w:eastAsia="仿宋_GB2312"/>
          <w:sz w:val="32"/>
          <w:szCs w:val="32"/>
        </w:rPr>
      </w:pPr>
    </w:p>
    <w:p>
      <w:pPr>
        <w:adjustRightInd w:val="0"/>
        <w:snapToGrid w:val="0"/>
        <w:spacing w:line="600" w:lineRule="exact"/>
        <w:ind w:firstLine="640" w:firstLineChars="200"/>
        <w:rPr>
          <w:rFonts w:eastAsia="仿宋_GB2312"/>
          <w:sz w:val="32"/>
          <w:szCs w:val="32"/>
        </w:rPr>
        <w:sectPr>
          <w:pgSz w:w="11906" w:h="16838"/>
          <w:pgMar w:top="1440" w:right="1800" w:bottom="1440" w:left="1800" w:header="851" w:footer="992" w:gutter="0"/>
          <w:cols w:space="425" w:num="1"/>
          <w:docGrid w:type="lines" w:linePitch="312" w:charSpace="0"/>
        </w:sectPr>
      </w:pPr>
      <w:r>
        <w:rPr>
          <w:rFonts w:eastAsia="仿宋_GB2312"/>
          <w:sz w:val="32"/>
          <w:szCs w:val="32"/>
        </w:rPr>
        <w:t>附件：</w:t>
      </w:r>
      <w:r>
        <w:rPr>
          <w:rFonts w:hint="eastAsia" w:eastAsia="仿宋_GB2312"/>
          <w:sz w:val="32"/>
          <w:szCs w:val="32"/>
          <w:lang w:eastAsia="zh-CN"/>
        </w:rPr>
        <w:t>项目</w:t>
      </w:r>
      <w:r>
        <w:rPr>
          <w:rFonts w:hint="eastAsia" w:eastAsia="仿宋_GB2312"/>
          <w:sz w:val="32"/>
          <w:szCs w:val="32"/>
        </w:rPr>
        <w:t>支出绩效自评表</w:t>
      </w:r>
    </w:p>
    <w:tbl>
      <w:tblPr>
        <w:tblStyle w:val="2"/>
        <w:tblW w:w="9999" w:type="dxa"/>
        <w:jc w:val="center"/>
        <w:tblLayout w:type="autofit"/>
        <w:tblCellMar>
          <w:top w:w="0" w:type="dxa"/>
          <w:left w:w="108" w:type="dxa"/>
          <w:bottom w:w="0" w:type="dxa"/>
          <w:right w:w="108" w:type="dxa"/>
        </w:tblCellMar>
      </w:tblPr>
      <w:tblGrid>
        <w:gridCol w:w="1135"/>
        <w:gridCol w:w="992"/>
        <w:gridCol w:w="1261"/>
        <w:gridCol w:w="1224"/>
        <w:gridCol w:w="1134"/>
        <w:gridCol w:w="1134"/>
        <w:gridCol w:w="828"/>
        <w:gridCol w:w="873"/>
        <w:gridCol w:w="1418"/>
      </w:tblGrid>
      <w:tr>
        <w:tblPrEx>
          <w:tblCellMar>
            <w:top w:w="0" w:type="dxa"/>
            <w:left w:w="108" w:type="dxa"/>
            <w:bottom w:w="0" w:type="dxa"/>
            <w:right w:w="108" w:type="dxa"/>
          </w:tblCellMar>
        </w:tblPrEx>
        <w:trPr>
          <w:trHeight w:val="1165" w:hRule="atLeast"/>
          <w:jc w:val="center"/>
        </w:trPr>
        <w:tc>
          <w:tcPr>
            <w:tcW w:w="9999" w:type="dxa"/>
            <w:gridSpan w:val="9"/>
            <w:tcBorders>
              <w:top w:val="nil"/>
              <w:left w:val="nil"/>
              <w:bottom w:val="nil"/>
              <w:right w:val="nil"/>
            </w:tcBorders>
            <w:noWrap/>
            <w:vAlign w:val="center"/>
          </w:tcPr>
          <w:p>
            <w:pPr>
              <w:widowControl/>
              <w:jc w:val="both"/>
              <w:rPr>
                <w:rFonts w:hint="eastAsia" w:ascii="黑体" w:hAnsi="黑体" w:eastAsia="黑体" w:cs="黑体"/>
                <w:color w:val="000000"/>
                <w:kern w:val="0"/>
                <w:sz w:val="32"/>
                <w:szCs w:val="32"/>
                <w:lang w:eastAsia="zh-CN"/>
              </w:rPr>
            </w:pPr>
            <w:r>
              <w:rPr>
                <w:rFonts w:hint="eastAsia" w:ascii="黑体" w:hAnsi="黑体" w:eastAsia="黑体" w:cs="黑体"/>
                <w:color w:val="000000"/>
                <w:kern w:val="0"/>
                <w:sz w:val="32"/>
                <w:szCs w:val="32"/>
                <w:lang w:eastAsia="zh-CN"/>
              </w:rPr>
              <w:t>附件：</w:t>
            </w:r>
          </w:p>
          <w:p>
            <w:pPr>
              <w:widowControl/>
              <w:jc w:val="center"/>
              <w:rPr>
                <w:rFonts w:eastAsia="方正小标宋_GBK"/>
                <w:color w:val="000000"/>
                <w:kern w:val="0"/>
                <w:sz w:val="36"/>
                <w:szCs w:val="36"/>
              </w:rPr>
            </w:pPr>
            <w:r>
              <w:rPr>
                <w:rFonts w:hint="eastAsia" w:eastAsia="方正小标宋_GBK"/>
                <w:color w:val="000000"/>
                <w:kern w:val="0"/>
                <w:sz w:val="36"/>
                <w:szCs w:val="36"/>
                <w:lang w:eastAsia="zh-CN"/>
              </w:rPr>
              <w:t>项目</w:t>
            </w:r>
            <w:r>
              <w:rPr>
                <w:rFonts w:eastAsia="方正小标宋_GBK"/>
                <w:color w:val="000000"/>
                <w:kern w:val="0"/>
                <w:sz w:val="36"/>
                <w:szCs w:val="36"/>
              </w:rPr>
              <w:t>支出绩效自评表</w:t>
            </w:r>
          </w:p>
        </w:tc>
      </w:tr>
      <w:tr>
        <w:tblPrEx>
          <w:tblCellMar>
            <w:top w:w="0" w:type="dxa"/>
            <w:left w:w="108" w:type="dxa"/>
            <w:bottom w:w="0" w:type="dxa"/>
            <w:right w:w="108" w:type="dxa"/>
          </w:tblCellMar>
        </w:tblPrEx>
        <w:trPr>
          <w:trHeight w:val="270" w:hRule="atLeast"/>
          <w:jc w:val="center"/>
        </w:trPr>
        <w:tc>
          <w:tcPr>
            <w:tcW w:w="9999" w:type="dxa"/>
            <w:gridSpan w:val="9"/>
            <w:tcBorders>
              <w:top w:val="nil"/>
              <w:left w:val="nil"/>
              <w:bottom w:val="single" w:color="auto" w:sz="4" w:space="0"/>
              <w:right w:val="nil"/>
            </w:tcBorders>
            <w:noWrap/>
            <w:vAlign w:val="center"/>
          </w:tcPr>
          <w:p>
            <w:pPr>
              <w:widowControl/>
              <w:jc w:val="center"/>
              <w:rPr>
                <w:color w:val="000000"/>
                <w:kern w:val="0"/>
                <w:sz w:val="22"/>
              </w:rPr>
            </w:pPr>
            <w:r>
              <w:rPr>
                <w:color w:val="000000"/>
                <w:kern w:val="0"/>
                <w:sz w:val="22"/>
              </w:rPr>
              <w:t>（</w:t>
            </w:r>
            <w:r>
              <w:rPr>
                <w:rFonts w:hint="eastAsia"/>
                <w:color w:val="000000"/>
                <w:kern w:val="0"/>
                <w:sz w:val="22"/>
                <w:lang w:val="en-US" w:eastAsia="zh-CN"/>
              </w:rPr>
              <w:t>2021</w:t>
            </w:r>
            <w:r>
              <w:rPr>
                <w:color w:val="000000"/>
                <w:kern w:val="0"/>
                <w:sz w:val="22"/>
              </w:rPr>
              <w:t>年度）</w:t>
            </w:r>
          </w:p>
        </w:tc>
      </w:tr>
      <w:tr>
        <w:tblPrEx>
          <w:tblCellMar>
            <w:top w:w="0" w:type="dxa"/>
            <w:left w:w="108" w:type="dxa"/>
            <w:bottom w:w="0" w:type="dxa"/>
            <w:right w:w="108" w:type="dxa"/>
          </w:tblCellMar>
        </w:tblPrEx>
        <w:trPr>
          <w:trHeight w:val="585" w:hRule="atLeast"/>
          <w:jc w:val="center"/>
        </w:trPr>
        <w:tc>
          <w:tcPr>
            <w:tcW w:w="1135" w:type="dxa"/>
            <w:tcBorders>
              <w:top w:val="nil"/>
              <w:left w:val="single" w:color="auto" w:sz="4" w:space="0"/>
              <w:bottom w:val="single" w:color="auto" w:sz="4" w:space="0"/>
              <w:right w:val="single" w:color="auto" w:sz="4" w:space="0"/>
            </w:tcBorders>
            <w:noWrap w:val="0"/>
            <w:vAlign w:val="center"/>
          </w:tcPr>
          <w:p>
            <w:pPr>
              <w:widowControl/>
              <w:spacing w:line="260" w:lineRule="exact"/>
              <w:jc w:val="center"/>
              <w:rPr>
                <w:rFonts w:eastAsia="仿宋_GB2312"/>
                <w:color w:val="000000"/>
                <w:kern w:val="0"/>
                <w:szCs w:val="21"/>
              </w:rPr>
            </w:pPr>
            <w:r>
              <w:rPr>
                <w:rFonts w:eastAsia="仿宋_GB2312"/>
                <w:color w:val="000000"/>
                <w:kern w:val="0"/>
                <w:szCs w:val="21"/>
              </w:rPr>
              <w:t>项目支</w:t>
            </w:r>
          </w:p>
          <w:p>
            <w:pPr>
              <w:widowControl/>
              <w:spacing w:line="260" w:lineRule="exact"/>
              <w:jc w:val="center"/>
              <w:rPr>
                <w:rFonts w:eastAsia="仿宋_GB2312"/>
                <w:color w:val="000000"/>
                <w:kern w:val="0"/>
                <w:szCs w:val="21"/>
              </w:rPr>
            </w:pPr>
            <w:r>
              <w:rPr>
                <w:rFonts w:eastAsia="仿宋_GB2312"/>
                <w:color w:val="000000"/>
                <w:kern w:val="0"/>
                <w:szCs w:val="21"/>
              </w:rPr>
              <w:t>出名称</w:t>
            </w:r>
          </w:p>
        </w:tc>
        <w:tc>
          <w:tcPr>
            <w:tcW w:w="8864" w:type="dxa"/>
            <w:gridSpan w:val="8"/>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rPr>
              <w:t>苏维埃政府（红二军团指挥部）旧址纪念馆深度设计及展陈工程</w:t>
            </w: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tcBorders>
              <w:top w:val="nil"/>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主管部门</w:t>
            </w:r>
          </w:p>
        </w:tc>
        <w:tc>
          <w:tcPr>
            <w:tcW w:w="4611" w:type="dxa"/>
            <w:gridSpan w:val="4"/>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津市市文化旅游广电体育局</w:t>
            </w:r>
          </w:p>
        </w:tc>
        <w:tc>
          <w:tcPr>
            <w:tcW w:w="1134" w:type="dxa"/>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rPr>
              <w:t>湖南新宇装饰设计工程有限公司</w:t>
            </w:r>
          </w:p>
        </w:tc>
      </w:tr>
      <w:tr>
        <w:tblPrEx>
          <w:tblCellMar>
            <w:top w:w="0" w:type="dxa"/>
            <w:left w:w="108" w:type="dxa"/>
            <w:bottom w:w="0" w:type="dxa"/>
            <w:right w:w="108" w:type="dxa"/>
          </w:tblCellMar>
        </w:tblPrEx>
        <w:trPr>
          <w:trHeight w:val="340" w:hRule="atLeast"/>
          <w:jc w:val="center"/>
        </w:trPr>
        <w:tc>
          <w:tcPr>
            <w:tcW w:w="113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项目资金</w:t>
            </w:r>
            <w:r>
              <w:rPr>
                <w:rFonts w:eastAsia="仿宋_GB2312"/>
                <w:color w:val="000000"/>
                <w:kern w:val="0"/>
                <w:szCs w:val="21"/>
              </w:rPr>
              <w:br w:type="textWrapping"/>
            </w:r>
            <w:r>
              <w:rPr>
                <w:rFonts w:eastAsia="仿宋_GB2312"/>
                <w:color w:val="000000"/>
                <w:kern w:val="0"/>
                <w:szCs w:val="21"/>
              </w:rPr>
              <w:t>（万元）</w:t>
            </w:r>
          </w:p>
        </w:tc>
        <w:tc>
          <w:tcPr>
            <w:tcW w:w="2253" w:type="dxa"/>
            <w:gridSpan w:val="2"/>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年初预算数</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全年预算数</w:t>
            </w:r>
          </w:p>
        </w:tc>
        <w:tc>
          <w:tcPr>
            <w:tcW w:w="1134"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全年执行数</w:t>
            </w:r>
          </w:p>
        </w:tc>
        <w:tc>
          <w:tcPr>
            <w:tcW w:w="828"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分值</w:t>
            </w:r>
          </w:p>
        </w:tc>
        <w:tc>
          <w:tcPr>
            <w:tcW w:w="873"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执行率</w:t>
            </w:r>
          </w:p>
        </w:tc>
        <w:tc>
          <w:tcPr>
            <w:tcW w:w="1418"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得分</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年度资金总额　</w:t>
            </w:r>
          </w:p>
        </w:tc>
        <w:tc>
          <w:tcPr>
            <w:tcW w:w="1224"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226</w:t>
            </w:r>
          </w:p>
        </w:tc>
        <w:tc>
          <w:tcPr>
            <w:tcW w:w="1134"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226</w:t>
            </w:r>
          </w:p>
        </w:tc>
        <w:tc>
          <w:tcPr>
            <w:tcW w:w="1134"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200.1</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10</w:t>
            </w:r>
          </w:p>
        </w:tc>
        <w:tc>
          <w:tcPr>
            <w:tcW w:w="873"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rPr>
            </w:pPr>
            <w:r>
              <w:rPr>
                <w:rFonts w:hint="eastAsia" w:eastAsia="仿宋_GB2312"/>
                <w:color w:val="000000"/>
                <w:kern w:val="0"/>
                <w:szCs w:val="21"/>
                <w:lang w:val="en-US" w:eastAsia="zh-CN"/>
              </w:rPr>
              <w:t>88.54%</w:t>
            </w:r>
          </w:p>
        </w:tc>
        <w:tc>
          <w:tcPr>
            <w:tcW w:w="1418" w:type="dxa"/>
            <w:tcBorders>
              <w:top w:val="nil"/>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8</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其中：当年财政拨款　</w:t>
            </w:r>
          </w:p>
        </w:tc>
        <w:tc>
          <w:tcPr>
            <w:tcW w:w="1224"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226</w:t>
            </w:r>
          </w:p>
        </w:tc>
        <w:tc>
          <w:tcPr>
            <w:tcW w:w="1134"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226</w:t>
            </w:r>
          </w:p>
        </w:tc>
        <w:tc>
          <w:tcPr>
            <w:tcW w:w="1134"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200.1</w:t>
            </w:r>
          </w:p>
        </w:tc>
        <w:tc>
          <w:tcPr>
            <w:tcW w:w="828"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88.54%</w:t>
            </w:r>
          </w:p>
        </w:tc>
        <w:tc>
          <w:tcPr>
            <w:tcW w:w="1418" w:type="dxa"/>
            <w:tcBorders>
              <w:top w:val="nil"/>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8</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上年结转资金　</w:t>
            </w: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其他资金</w:t>
            </w: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年度总</w:t>
            </w:r>
          </w:p>
          <w:p>
            <w:pPr>
              <w:widowControl/>
              <w:jc w:val="center"/>
              <w:rPr>
                <w:rFonts w:eastAsia="仿宋_GB2312"/>
                <w:color w:val="000000"/>
                <w:kern w:val="0"/>
                <w:szCs w:val="21"/>
              </w:rPr>
            </w:pPr>
            <w:r>
              <w:rPr>
                <w:rFonts w:eastAsia="仿宋_GB2312"/>
                <w:color w:val="000000"/>
                <w:kern w:val="0"/>
                <w:szCs w:val="21"/>
              </w:rPr>
              <w:t>体目标</w:t>
            </w:r>
          </w:p>
        </w:tc>
        <w:tc>
          <w:tcPr>
            <w:tcW w:w="4611" w:type="dxa"/>
            <w:gridSpan w:val="4"/>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实际完成情况　</w:t>
            </w:r>
          </w:p>
        </w:tc>
      </w:tr>
      <w:tr>
        <w:tblPrEx>
          <w:tblCellMar>
            <w:top w:w="0" w:type="dxa"/>
            <w:left w:w="108" w:type="dxa"/>
            <w:bottom w:w="0" w:type="dxa"/>
            <w:right w:w="108" w:type="dxa"/>
          </w:tblCellMar>
        </w:tblPrEx>
        <w:trPr>
          <w:trHeight w:val="532" w:hRule="atLeast"/>
          <w:jc w:val="center"/>
        </w:trPr>
        <w:tc>
          <w:tcPr>
            <w:tcW w:w="1135"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4611" w:type="dxa"/>
            <w:gridSpan w:val="4"/>
            <w:tcBorders>
              <w:top w:val="single" w:color="auto" w:sz="4" w:space="0"/>
              <w:left w:val="nil"/>
              <w:bottom w:val="single" w:color="auto" w:sz="4" w:space="0"/>
              <w:right w:val="single" w:color="000000"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完成展陈工程，将其打造为爱国主义教育基地，使其成为津市市公共文化服务体系的重要内容和保障人民群众基本文化权益的重要平台。</w:t>
            </w:r>
            <w:r>
              <w:rPr>
                <w:rFonts w:eastAsia="仿宋_GB2312"/>
                <w:color w:val="000000"/>
                <w:kern w:val="0"/>
                <w:szCs w:val="21"/>
              </w:rPr>
              <w:t>　　</w:t>
            </w:r>
          </w:p>
        </w:tc>
        <w:tc>
          <w:tcPr>
            <w:tcW w:w="4253" w:type="dxa"/>
            <w:gridSpan w:val="4"/>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完成展陈工程，将其打造为爱国主义教育基地，使其成为津市市公共文化服务体系的重要内容和保障人民群众基本文化权益的重要平台。</w:t>
            </w:r>
          </w:p>
        </w:tc>
      </w:tr>
      <w:tr>
        <w:tblPrEx>
          <w:tblCellMar>
            <w:top w:w="0" w:type="dxa"/>
            <w:left w:w="108" w:type="dxa"/>
            <w:bottom w:w="0" w:type="dxa"/>
            <w:right w:w="108" w:type="dxa"/>
          </w:tblCellMar>
        </w:tblPrEx>
        <w:trPr>
          <w:trHeight w:val="868" w:hRule="atLeast"/>
          <w:jc w:val="center"/>
        </w:trPr>
        <w:tc>
          <w:tcPr>
            <w:tcW w:w="1135" w:type="dxa"/>
            <w:vMerge w:val="restart"/>
            <w:tcBorders>
              <w:top w:val="single" w:color="auto" w:sz="4" w:space="0"/>
              <w:left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绩</w:t>
            </w:r>
          </w:p>
          <w:p>
            <w:pPr>
              <w:widowControl/>
              <w:jc w:val="center"/>
              <w:rPr>
                <w:rFonts w:eastAsia="仿宋_GB2312"/>
                <w:color w:val="000000"/>
                <w:kern w:val="0"/>
                <w:szCs w:val="21"/>
              </w:rPr>
            </w:pPr>
            <w:r>
              <w:rPr>
                <w:rFonts w:eastAsia="仿宋_GB2312"/>
                <w:color w:val="000000"/>
                <w:kern w:val="0"/>
                <w:szCs w:val="21"/>
              </w:rPr>
              <w:t>效</w:t>
            </w:r>
          </w:p>
          <w:p>
            <w:pPr>
              <w:widowControl/>
              <w:jc w:val="center"/>
              <w:rPr>
                <w:rFonts w:eastAsia="仿宋_GB2312"/>
                <w:color w:val="000000"/>
                <w:kern w:val="0"/>
                <w:szCs w:val="21"/>
              </w:rPr>
            </w:pPr>
            <w:r>
              <w:rPr>
                <w:rFonts w:eastAsia="仿宋_GB2312"/>
                <w:color w:val="000000"/>
                <w:kern w:val="0"/>
                <w:szCs w:val="21"/>
              </w:rPr>
              <w:t>指</w:t>
            </w:r>
          </w:p>
          <w:p>
            <w:pPr>
              <w:widowControl/>
              <w:jc w:val="center"/>
              <w:rPr>
                <w:rFonts w:eastAsia="仿宋_GB2312"/>
                <w:color w:val="000000"/>
                <w:kern w:val="0"/>
                <w:szCs w:val="21"/>
              </w:rPr>
            </w:pPr>
            <w:r>
              <w:rPr>
                <w:rFonts w:eastAsia="仿宋_GB2312"/>
                <w:color w:val="000000"/>
                <w:kern w:val="0"/>
                <w:szCs w:val="21"/>
              </w:rPr>
              <w:t>标</w:t>
            </w:r>
          </w:p>
        </w:tc>
        <w:tc>
          <w:tcPr>
            <w:tcW w:w="992"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261"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22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1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年度</w:t>
            </w:r>
          </w:p>
          <w:p>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1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实际</w:t>
            </w:r>
          </w:p>
          <w:p>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82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873"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41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偏差原因</w:t>
            </w:r>
          </w:p>
          <w:p>
            <w:pPr>
              <w:widowControl/>
              <w:spacing w:line="240" w:lineRule="exact"/>
              <w:jc w:val="center"/>
              <w:rPr>
                <w:rFonts w:eastAsia="仿宋_GB2312"/>
                <w:color w:val="000000"/>
                <w:kern w:val="0"/>
                <w:szCs w:val="21"/>
              </w:rPr>
            </w:pPr>
            <w:r>
              <w:rPr>
                <w:rFonts w:eastAsia="仿宋_GB2312"/>
                <w:color w:val="000000"/>
                <w:kern w:val="0"/>
                <w:szCs w:val="21"/>
              </w:rPr>
              <w:t>分析及</w:t>
            </w:r>
          </w:p>
          <w:p>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产出</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p>
          <w:p>
            <w:pPr>
              <w:widowControl/>
              <w:jc w:val="center"/>
              <w:rPr>
                <w:rFonts w:eastAsia="仿宋_GB2312"/>
                <w:color w:val="000000"/>
                <w:kern w:val="0"/>
                <w:szCs w:val="21"/>
              </w:rPr>
            </w:pPr>
            <w:r>
              <w:rPr>
                <w:rFonts w:eastAsia="仿宋_GB2312"/>
                <w:color w:val="000000"/>
                <w:kern w:val="0"/>
                <w:szCs w:val="21"/>
              </w:rPr>
              <w:t>(50分)</w:t>
            </w:r>
          </w:p>
        </w:tc>
        <w:tc>
          <w:tcPr>
            <w:tcW w:w="1261" w:type="dxa"/>
            <w:vMerge w:val="restart"/>
            <w:tcBorders>
              <w:top w:val="single" w:color="auto" w:sz="4" w:space="0"/>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数量指标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室内展陈面积</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610平方米</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610平方米</w:t>
            </w:r>
          </w:p>
        </w:tc>
        <w:tc>
          <w:tcPr>
            <w:tcW w:w="828"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2</w:t>
            </w:r>
          </w:p>
        </w:tc>
        <w:tc>
          <w:tcPr>
            <w:tcW w:w="873"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2</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continue"/>
            <w:tcBorders>
              <w:left w:val="nil"/>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展线长度</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210平方米</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210平方米</w:t>
            </w:r>
          </w:p>
        </w:tc>
        <w:tc>
          <w:tcPr>
            <w:tcW w:w="828"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2</w:t>
            </w:r>
          </w:p>
        </w:tc>
        <w:tc>
          <w:tcPr>
            <w:tcW w:w="873"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2</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continue"/>
            <w:tcBorders>
              <w:left w:val="nil"/>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室外公共区域面积</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1900平方米</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1900平方米</w:t>
            </w:r>
          </w:p>
        </w:tc>
        <w:tc>
          <w:tcPr>
            <w:tcW w:w="828"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2</w:t>
            </w:r>
          </w:p>
        </w:tc>
        <w:tc>
          <w:tcPr>
            <w:tcW w:w="873"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2</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continue"/>
            <w:tcBorders>
              <w:left w:val="nil"/>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lang w:eastAsia="zh-CN"/>
              </w:rPr>
              <w:t>北栋</w:t>
            </w:r>
            <w:r>
              <w:rPr>
                <w:rFonts w:hint="eastAsia" w:eastAsia="仿宋_GB2312"/>
                <w:color w:val="000000"/>
                <w:kern w:val="0"/>
                <w:szCs w:val="21"/>
              </w:rPr>
              <w:t>1楼展陈面积</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204平方米</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204平方米</w:t>
            </w:r>
          </w:p>
        </w:tc>
        <w:tc>
          <w:tcPr>
            <w:tcW w:w="828"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2</w:t>
            </w:r>
          </w:p>
        </w:tc>
        <w:tc>
          <w:tcPr>
            <w:tcW w:w="873"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2</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continue"/>
            <w:tcBorders>
              <w:left w:val="nil"/>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lang w:eastAsia="zh-CN"/>
              </w:rPr>
              <w:t>北栋</w:t>
            </w:r>
            <w:r>
              <w:rPr>
                <w:rFonts w:hint="eastAsia" w:eastAsia="仿宋_GB2312"/>
                <w:color w:val="000000"/>
                <w:kern w:val="0"/>
                <w:szCs w:val="21"/>
              </w:rPr>
              <w:t>2楼展陈面积</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204平方米</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204平方米</w:t>
            </w:r>
          </w:p>
        </w:tc>
        <w:tc>
          <w:tcPr>
            <w:tcW w:w="828"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2</w:t>
            </w:r>
          </w:p>
        </w:tc>
        <w:tc>
          <w:tcPr>
            <w:tcW w:w="873"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2</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continue"/>
            <w:tcBorders>
              <w:left w:val="nil"/>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lang w:eastAsia="zh-CN"/>
              </w:rPr>
              <w:t>南栋</w:t>
            </w:r>
            <w:r>
              <w:rPr>
                <w:rFonts w:hint="eastAsia" w:eastAsia="仿宋_GB2312"/>
                <w:color w:val="000000"/>
                <w:kern w:val="0"/>
                <w:szCs w:val="21"/>
              </w:rPr>
              <w:t>1楼展陈面积</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101平方米</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101平方米</w:t>
            </w:r>
          </w:p>
        </w:tc>
        <w:tc>
          <w:tcPr>
            <w:tcW w:w="828"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2</w:t>
            </w:r>
          </w:p>
        </w:tc>
        <w:tc>
          <w:tcPr>
            <w:tcW w:w="873"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2</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continue"/>
            <w:tcBorders>
              <w:left w:val="nil"/>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eastAsia="zh-CN"/>
              </w:rPr>
              <w:t>南栋</w:t>
            </w:r>
            <w:r>
              <w:rPr>
                <w:rFonts w:hint="eastAsia" w:eastAsia="仿宋_GB2312"/>
                <w:color w:val="000000"/>
                <w:kern w:val="0"/>
                <w:szCs w:val="21"/>
                <w:lang w:val="en-US" w:eastAsia="zh-CN"/>
              </w:rPr>
              <w:t>2</w:t>
            </w:r>
            <w:r>
              <w:rPr>
                <w:rFonts w:hint="eastAsia" w:eastAsia="仿宋_GB2312"/>
                <w:color w:val="000000"/>
                <w:kern w:val="0"/>
                <w:szCs w:val="21"/>
              </w:rPr>
              <w:t>楼展陈面积</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101平方米</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101平方米</w:t>
            </w:r>
          </w:p>
        </w:tc>
        <w:tc>
          <w:tcPr>
            <w:tcW w:w="828"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2</w:t>
            </w:r>
          </w:p>
        </w:tc>
        <w:tc>
          <w:tcPr>
            <w:tcW w:w="873"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2</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continue"/>
            <w:tcBorders>
              <w:left w:val="nil"/>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感触GC-42V触控一体机（红二方面军军史）</w:t>
            </w:r>
          </w:p>
        </w:tc>
        <w:tc>
          <w:tcPr>
            <w:tcW w:w="1134"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rPr>
              <w:t>1台</w:t>
            </w:r>
          </w:p>
        </w:tc>
        <w:tc>
          <w:tcPr>
            <w:tcW w:w="1134"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rPr>
              <w:t>1台</w:t>
            </w:r>
          </w:p>
        </w:tc>
        <w:tc>
          <w:tcPr>
            <w:tcW w:w="828"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2</w:t>
            </w:r>
          </w:p>
        </w:tc>
        <w:tc>
          <w:tcPr>
            <w:tcW w:w="873"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2</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continue"/>
            <w:tcBorders>
              <w:left w:val="nil"/>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RGB 液晶光阀投影系统（一部史诗 主题场景）</w:t>
            </w:r>
          </w:p>
        </w:tc>
        <w:tc>
          <w:tcPr>
            <w:tcW w:w="1134"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rPr>
              <w:t>1套</w:t>
            </w:r>
          </w:p>
        </w:tc>
        <w:tc>
          <w:tcPr>
            <w:tcW w:w="1134"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rPr>
              <w:t>1套</w:t>
            </w:r>
          </w:p>
        </w:tc>
        <w:tc>
          <w:tcPr>
            <w:tcW w:w="828"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2</w:t>
            </w:r>
          </w:p>
        </w:tc>
        <w:tc>
          <w:tcPr>
            <w:tcW w:w="873"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2</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continue"/>
            <w:tcBorders>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全彩LED显示屏《我的长征》</w:t>
            </w:r>
          </w:p>
        </w:tc>
        <w:tc>
          <w:tcPr>
            <w:tcW w:w="1134"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rPr>
              <w:t>1套</w:t>
            </w:r>
          </w:p>
        </w:tc>
        <w:tc>
          <w:tcPr>
            <w:tcW w:w="1134"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rPr>
              <w:t>1套</w:t>
            </w:r>
          </w:p>
        </w:tc>
        <w:tc>
          <w:tcPr>
            <w:tcW w:w="828"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2</w:t>
            </w:r>
          </w:p>
        </w:tc>
        <w:tc>
          <w:tcPr>
            <w:tcW w:w="873"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2</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质量指标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验收合格率</w:t>
            </w:r>
          </w:p>
        </w:tc>
        <w:tc>
          <w:tcPr>
            <w:tcW w:w="1134"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rPr>
              <w:t>工程验收合格率</w:t>
            </w:r>
          </w:p>
        </w:tc>
        <w:tc>
          <w:tcPr>
            <w:tcW w:w="1134"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rPr>
              <w:t>100%</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时效指标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项目完工率</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完成施工进度达到总进度的100%</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100%</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成本指标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成本合规率</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各项支出成本按标准合理合规，控制在预算额度内</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100%</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restart"/>
            <w:tcBorders>
              <w:top w:val="single" w:color="auto" w:sz="4" w:space="0"/>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效益</w:t>
            </w:r>
          </w:p>
          <w:p>
            <w:pPr>
              <w:widowControl/>
              <w:jc w:val="center"/>
              <w:rPr>
                <w:rFonts w:eastAsia="仿宋_GB2312"/>
                <w:color w:val="000000"/>
                <w:kern w:val="0"/>
                <w:szCs w:val="21"/>
              </w:rPr>
            </w:pPr>
            <w:r>
              <w:rPr>
                <w:rFonts w:eastAsia="仿宋_GB2312"/>
                <w:color w:val="000000"/>
                <w:kern w:val="0"/>
                <w:szCs w:val="21"/>
              </w:rPr>
              <w:t>指标</w:t>
            </w:r>
          </w:p>
          <w:p>
            <w:pPr>
              <w:widowControl/>
              <w:jc w:val="left"/>
              <w:rPr>
                <w:rFonts w:eastAsia="仿宋_GB2312"/>
                <w:color w:val="000000"/>
                <w:kern w:val="0"/>
                <w:szCs w:val="21"/>
              </w:rPr>
            </w:pPr>
          </w:p>
          <w:p>
            <w:pPr>
              <w:widowControl/>
              <w:jc w:val="left"/>
              <w:rPr>
                <w:rFonts w:eastAsia="仿宋_GB2312"/>
                <w:color w:val="000000"/>
                <w:kern w:val="0"/>
                <w:szCs w:val="21"/>
              </w:rPr>
            </w:pPr>
            <w:r>
              <w:rPr>
                <w:rFonts w:eastAsia="仿宋_GB2312"/>
                <w:color w:val="000000"/>
                <w:kern w:val="0"/>
                <w:szCs w:val="21"/>
              </w:rPr>
              <w:t>（30分）</w:t>
            </w:r>
          </w:p>
          <w:p>
            <w:pPr>
              <w:jc w:val="left"/>
              <w:rPr>
                <w:rFonts w:eastAsia="仿宋_GB2312"/>
                <w:color w:val="000000"/>
                <w:kern w:val="0"/>
                <w:szCs w:val="21"/>
              </w:rPr>
            </w:pPr>
            <w:r>
              <w:rPr>
                <w:rFonts w:eastAsia="仿宋_GB2312"/>
                <w:color w:val="000000"/>
                <w:kern w:val="0"/>
                <w:szCs w:val="21"/>
              </w:rPr>
              <w:t>　</w:t>
            </w:r>
          </w:p>
        </w:tc>
        <w:tc>
          <w:tcPr>
            <w:tcW w:w="126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经济效</w:t>
            </w:r>
          </w:p>
          <w:p>
            <w:pPr>
              <w:widowControl/>
              <w:jc w:val="center"/>
              <w:rPr>
                <w:rFonts w:eastAsia="仿宋_GB2312"/>
                <w:color w:val="000000"/>
                <w:kern w:val="0"/>
                <w:szCs w:val="21"/>
              </w:rPr>
            </w:pPr>
            <w:r>
              <w:rPr>
                <w:rFonts w:eastAsia="仿宋_GB2312"/>
                <w:color w:val="000000"/>
                <w:kern w:val="0"/>
                <w:szCs w:val="21"/>
              </w:rPr>
              <w:t>益指标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促进旅游业发展</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打造为爱国主义教育基地，提升当地旅游产业的快速发展</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促进</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26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社会效</w:t>
            </w:r>
          </w:p>
          <w:p>
            <w:pPr>
              <w:widowControl/>
              <w:jc w:val="center"/>
              <w:rPr>
                <w:rFonts w:eastAsia="仿宋_GB2312"/>
                <w:color w:val="000000"/>
                <w:kern w:val="0"/>
                <w:szCs w:val="21"/>
              </w:rPr>
            </w:pPr>
            <w:r>
              <w:rPr>
                <w:rFonts w:eastAsia="仿宋_GB2312"/>
                <w:color w:val="000000"/>
                <w:kern w:val="0"/>
                <w:szCs w:val="21"/>
              </w:rPr>
              <w:t>益指标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社会影响</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成为津市市公共文化服务体系的重要内容和保障人民群众基本文化权益的重要平台</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持续保障</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261"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生态效</w:t>
            </w:r>
          </w:p>
          <w:p>
            <w:pPr>
              <w:widowControl/>
              <w:jc w:val="center"/>
              <w:rPr>
                <w:rFonts w:eastAsia="仿宋_GB2312"/>
                <w:color w:val="000000"/>
                <w:kern w:val="0"/>
                <w:szCs w:val="21"/>
              </w:rPr>
            </w:pPr>
            <w:r>
              <w:rPr>
                <w:rFonts w:eastAsia="仿宋_GB2312"/>
                <w:color w:val="000000"/>
                <w:kern w:val="0"/>
                <w:szCs w:val="21"/>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环境改善</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改善了旧址环境，工程周边生态环境将得到明显改善</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明显改善</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widowControl/>
              <w:jc w:val="center"/>
              <w:rPr>
                <w:rFonts w:eastAsia="仿宋_GB2312"/>
                <w:color w:val="000000"/>
                <w:kern w:val="0"/>
                <w:szCs w:val="21"/>
              </w:rPr>
            </w:pPr>
          </w:p>
        </w:tc>
        <w:tc>
          <w:tcPr>
            <w:tcW w:w="992" w:type="dxa"/>
            <w:vMerge w:val="continue"/>
            <w:tcBorders>
              <w:left w:val="single" w:color="auto" w:sz="4" w:space="0"/>
              <w:right w:val="single" w:color="auto" w:sz="4" w:space="0"/>
            </w:tcBorders>
            <w:noWrap w:val="0"/>
            <w:vAlign w:val="center"/>
          </w:tcPr>
          <w:p>
            <w:pPr>
              <w:widowControl/>
              <w:jc w:val="left"/>
              <w:rPr>
                <w:rFonts w:eastAsia="仿宋_GB2312"/>
                <w:color w:val="000000"/>
                <w:kern w:val="0"/>
                <w:szCs w:val="21"/>
              </w:rPr>
            </w:pPr>
          </w:p>
        </w:tc>
        <w:tc>
          <w:tcPr>
            <w:tcW w:w="1261" w:type="dxa"/>
            <w:vMerge w:val="restart"/>
            <w:tcBorders>
              <w:top w:val="single" w:color="auto" w:sz="4" w:space="0"/>
              <w:left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可持续推动</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有利于保护革命文物，传承红色基因，充分发挥文物的价值，同时起到保护文物的效果</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持</w:t>
            </w:r>
            <w:bookmarkStart w:id="0" w:name="_GoBack"/>
            <w:bookmarkEnd w:id="0"/>
            <w:r>
              <w:rPr>
                <w:rFonts w:hint="eastAsia" w:eastAsia="仿宋_GB2312"/>
                <w:color w:val="000000"/>
                <w:kern w:val="0"/>
                <w:szCs w:val="21"/>
              </w:rPr>
              <w:t>续推动</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left"/>
              <w:rPr>
                <w:rFonts w:eastAsia="仿宋_GB2312"/>
                <w:color w:val="000000"/>
                <w:kern w:val="0"/>
                <w:szCs w:val="21"/>
              </w:rPr>
            </w:pPr>
          </w:p>
        </w:tc>
        <w:tc>
          <w:tcPr>
            <w:tcW w:w="992" w:type="dxa"/>
            <w:vMerge w:val="continue"/>
            <w:tcBorders>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61" w:type="dxa"/>
            <w:vMerge w:val="continue"/>
            <w:tcBorders>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left"/>
              <w:rPr>
                <w:rFonts w:eastAsia="仿宋_GB2312"/>
                <w:color w:val="000000"/>
                <w:kern w:val="0"/>
                <w:szCs w:val="21"/>
              </w:rPr>
            </w:pPr>
          </w:p>
        </w:tc>
        <w:tc>
          <w:tcPr>
            <w:tcW w:w="992" w:type="dxa"/>
            <w:vMerge w:val="restart"/>
            <w:tcBorders>
              <w:top w:val="nil"/>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满意度</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r>
              <w:rPr>
                <w:rFonts w:eastAsia="仿宋_GB2312"/>
                <w:color w:val="000000"/>
                <w:kern w:val="0"/>
                <w:szCs w:val="21"/>
              </w:rPr>
              <w:t>（10分）</w:t>
            </w:r>
          </w:p>
        </w:tc>
        <w:tc>
          <w:tcPr>
            <w:tcW w:w="1261" w:type="dxa"/>
            <w:vMerge w:val="restart"/>
            <w:tcBorders>
              <w:top w:val="nil"/>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服务对象满意度指标</w:t>
            </w: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社会公众满意度</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社会公众满意度</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≥90%</w:t>
            </w:r>
          </w:p>
        </w:tc>
        <w:tc>
          <w:tcPr>
            <w:tcW w:w="828" w:type="dxa"/>
            <w:tcBorders>
              <w:top w:val="nil"/>
              <w:left w:val="nil"/>
              <w:bottom w:val="single" w:color="auto" w:sz="4" w:space="0"/>
              <w:right w:val="single" w:color="auto" w:sz="4" w:space="0"/>
            </w:tcBorders>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73" w:type="dxa"/>
            <w:tcBorders>
              <w:top w:val="nil"/>
              <w:left w:val="nil"/>
              <w:bottom w:val="single" w:color="auto" w:sz="4" w:space="0"/>
              <w:right w:val="single" w:color="auto" w:sz="4" w:space="0"/>
            </w:tcBorders>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992" w:type="dxa"/>
            <w:vMerge w:val="continue"/>
            <w:tcBorders>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61" w:type="dxa"/>
            <w:vMerge w:val="continue"/>
            <w:tcBorders>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6880" w:type="dxa"/>
            <w:gridSpan w:val="6"/>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总分</w:t>
            </w:r>
          </w:p>
        </w:tc>
        <w:tc>
          <w:tcPr>
            <w:tcW w:w="828" w:type="dxa"/>
            <w:tcBorders>
              <w:top w:val="nil"/>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100</w:t>
            </w:r>
          </w:p>
        </w:tc>
        <w:tc>
          <w:tcPr>
            <w:tcW w:w="873"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98</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bl>
    <w:p>
      <w:pPr>
        <w:spacing w:before="120" w:beforeLines="50"/>
      </w:pPr>
      <w:r>
        <w:rPr>
          <w:rFonts w:eastAsia="仿宋_GB2312"/>
          <w:sz w:val="24"/>
        </w:rPr>
        <w:t>填表人：         填报日期：           联系电话：       单位负责人签字：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362CD0"/>
    <w:multiLevelType w:val="singleLevel"/>
    <w:tmpl w:val="82362CD0"/>
    <w:lvl w:ilvl="0" w:tentative="0">
      <w:start w:val="1"/>
      <w:numFmt w:val="chineseCounting"/>
      <w:suff w:val="nothing"/>
      <w:lvlText w:val="（%1）"/>
      <w:lvlJc w:val="left"/>
      <w:rPr>
        <w:rFonts w:hint="eastAsia"/>
      </w:rPr>
    </w:lvl>
  </w:abstractNum>
  <w:abstractNum w:abstractNumId="1">
    <w:nsid w:val="A2A1CCDB"/>
    <w:multiLevelType w:val="singleLevel"/>
    <w:tmpl w:val="A2A1CCDB"/>
    <w:lvl w:ilvl="0" w:tentative="0">
      <w:start w:val="2"/>
      <w:numFmt w:val="chineseCounting"/>
      <w:suff w:val="nothing"/>
      <w:lvlText w:val="（%1）"/>
      <w:lvlJc w:val="left"/>
      <w:rPr>
        <w:rFonts w:hint="eastAsia"/>
      </w:rPr>
    </w:lvl>
  </w:abstractNum>
  <w:abstractNum w:abstractNumId="2">
    <w:nsid w:val="2A95743A"/>
    <w:multiLevelType w:val="singleLevel"/>
    <w:tmpl w:val="2A95743A"/>
    <w:lvl w:ilvl="0" w:tentative="0">
      <w:start w:val="3"/>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343492"/>
    <w:rsid w:val="0A305DD2"/>
    <w:rsid w:val="0CFE4450"/>
    <w:rsid w:val="0DD52604"/>
    <w:rsid w:val="191E206B"/>
    <w:rsid w:val="223A3146"/>
    <w:rsid w:val="27236EE4"/>
    <w:rsid w:val="2B5B2C46"/>
    <w:rsid w:val="2C174968"/>
    <w:rsid w:val="305B5409"/>
    <w:rsid w:val="3C343492"/>
    <w:rsid w:val="3D2C2B7F"/>
    <w:rsid w:val="487D713D"/>
    <w:rsid w:val="49153D98"/>
    <w:rsid w:val="5B7C3841"/>
    <w:rsid w:val="686B0539"/>
    <w:rsid w:val="76D265B7"/>
    <w:rsid w:val="79F4358C"/>
    <w:rsid w:val="7AD41C60"/>
    <w:rsid w:val="7CE21E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2021-03-15T06:51:00Z</dcterms:created>
  <dc:creator>Administrator</dc:creator>
  <cp:lastModifiedBy>小叶砸儿</cp:lastModifiedBy>
  <cp:lastPrinted>2022-03-25T03:19:57Z</cp:lastPrinted>
  <dcterms:modified xsi:type="dcterms:W3CDTF">2022-03-25T03:24:41Z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C6CD5B2C6D5245CBB84BC4F80A5E1BC4</vt:lpwstr>
  </property>
</Properties>
</file>