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津市市档案馆2021年度</w:t>
      </w:r>
      <w:r>
        <w:rPr>
          <w:rFonts w:hint="eastAsia" w:ascii="方正小标宋简体" w:hAnsi="方正小标宋简体" w:eastAsia="方正小标宋简体" w:cs="方正小标宋简体"/>
          <w:sz w:val="44"/>
          <w:szCs w:val="44"/>
        </w:rPr>
        <w:t>部门整体支出</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绩效报告</w:t>
      </w:r>
    </w:p>
    <w:p>
      <w:pPr>
        <w:spacing w:line="600" w:lineRule="exact"/>
        <w:jc w:val="center"/>
        <w:rPr>
          <w:rFonts w:eastAsia="方正小标宋_GBK"/>
          <w:sz w:val="32"/>
          <w:szCs w:val="32"/>
        </w:rPr>
      </w:pPr>
    </w:p>
    <w:p>
      <w:pPr>
        <w:pStyle w:val="5"/>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单位基本情况</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1.主要职能</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ascii="仿宋_GB2312" w:hAnsi="仿宋" w:eastAsia="仿宋_GB2312"/>
          <w:sz w:val="32"/>
          <w:szCs w:val="32"/>
        </w:rPr>
      </w:pPr>
      <w:r>
        <w:rPr>
          <w:rFonts w:hint="eastAsia" w:ascii="仿宋_GB2312" w:eastAsia="仿宋_GB2312" w:hAnsiTheme="minorEastAsia"/>
          <w:sz w:val="32"/>
          <w:szCs w:val="32"/>
        </w:rPr>
        <w:t>贯彻执行档案工作的法律法规规章及有关规定；按规定接收、征集各种门类和载体的档案资料以及重要会议、重要活动、重大事件的档案资料；科学保管馆藏档案资料，确保档案资料的完整；负责馆藏档案数字化建设；负责馆藏档案资源信息开发与利用；接收和管理市委、市政府、市直单位已公开的现行文件、公开信息并提供查阅利用；负责建立馆藏档案的人防、技防体系；负责馆藏档案资料的保护、修复和统计等基础工作；负责重点档案资源的抢救和保护工作等。</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ascii="仿宋_GB2312" w:hAnsi="仿宋" w:eastAsia="仿宋_GB2312"/>
          <w:sz w:val="32"/>
          <w:szCs w:val="32"/>
        </w:rPr>
      </w:pPr>
      <w:r>
        <w:rPr>
          <w:rFonts w:hint="eastAsia" w:ascii="楷体_GB2312" w:hAnsi="楷体_GB2312" w:eastAsia="楷体_GB2312" w:cs="楷体_GB2312"/>
          <w:sz w:val="32"/>
          <w:szCs w:val="32"/>
        </w:rPr>
        <w:t>2.机构</w:t>
      </w:r>
      <w:r>
        <w:rPr>
          <w:rFonts w:hint="eastAsia" w:ascii="楷体_GB2312" w:hAnsi="楷体_GB2312" w:eastAsia="楷体_GB2312" w:cs="楷体_GB2312"/>
          <w:sz w:val="32"/>
          <w:szCs w:val="32"/>
          <w:lang w:eastAsia="zh-CN"/>
        </w:rPr>
        <w:t>人员</w:t>
      </w:r>
      <w:r>
        <w:rPr>
          <w:rFonts w:hint="eastAsia" w:ascii="楷体_GB2312" w:hAnsi="楷体_GB2312" w:eastAsia="楷体_GB2312" w:cs="楷体_GB2312"/>
          <w:sz w:val="32"/>
          <w:szCs w:val="32"/>
        </w:rPr>
        <w:t>情况</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津市市档案馆为中共津市市委办公室管理的正科级公益一类事业单位，属一级预算单位。</w:t>
      </w:r>
      <w:r>
        <w:rPr>
          <w:rFonts w:ascii="仿宋_GB2312" w:eastAsia="仿宋_GB2312"/>
          <w:kern w:val="0"/>
          <w:sz w:val="32"/>
          <w:szCs w:val="32"/>
        </w:rPr>
        <w:t>根据编委核定，</w:t>
      </w:r>
      <w:r>
        <w:rPr>
          <w:rFonts w:hint="eastAsia" w:ascii="仿宋_GB2312" w:eastAsia="仿宋_GB2312"/>
          <w:kern w:val="0"/>
          <w:sz w:val="32"/>
          <w:szCs w:val="32"/>
          <w:lang w:eastAsia="zh-CN"/>
        </w:rPr>
        <w:t>津市市档案</w:t>
      </w:r>
      <w:r>
        <w:rPr>
          <w:rFonts w:hint="eastAsia" w:ascii="仿宋_GB2312" w:eastAsia="仿宋_GB2312"/>
          <w:kern w:val="0"/>
          <w:sz w:val="32"/>
          <w:szCs w:val="32"/>
        </w:rPr>
        <w:t>馆</w:t>
      </w:r>
      <w:r>
        <w:rPr>
          <w:rFonts w:ascii="仿宋_GB2312" w:eastAsia="仿宋_GB2312"/>
          <w:kern w:val="0"/>
          <w:sz w:val="32"/>
          <w:szCs w:val="32"/>
        </w:rPr>
        <w:t>内设</w:t>
      </w:r>
      <w:r>
        <w:rPr>
          <w:rFonts w:hint="eastAsia" w:ascii="仿宋_GB2312" w:eastAsia="仿宋_GB2312" w:cs="Times New Roman" w:hAnsiTheme="minorEastAsia"/>
          <w:kern w:val="2"/>
          <w:sz w:val="32"/>
          <w:szCs w:val="32"/>
        </w:rPr>
        <w:t>综合室</w:t>
      </w:r>
      <w:r>
        <w:rPr>
          <w:rFonts w:hint="eastAsia" w:ascii="仿宋_GB2312" w:eastAsia="仿宋_GB2312" w:cs="Times New Roman" w:hAnsiTheme="minorEastAsia"/>
          <w:kern w:val="2"/>
          <w:sz w:val="32"/>
          <w:szCs w:val="32"/>
          <w:lang w:eastAsia="zh-CN"/>
        </w:rPr>
        <w:t>、</w:t>
      </w:r>
      <w:r>
        <w:rPr>
          <w:rFonts w:hint="eastAsia" w:ascii="仿宋_GB2312" w:eastAsia="仿宋_GB2312" w:cs="Times New Roman" w:hAnsiTheme="minorEastAsia"/>
          <w:kern w:val="2"/>
          <w:sz w:val="32"/>
          <w:szCs w:val="32"/>
        </w:rPr>
        <w:t>接收保管利用室</w:t>
      </w:r>
      <w:r>
        <w:rPr>
          <w:rFonts w:hint="eastAsia" w:ascii="仿宋_GB2312" w:eastAsia="仿宋_GB2312" w:cs="Times New Roman" w:hAnsiTheme="minorEastAsia"/>
          <w:kern w:val="2"/>
          <w:sz w:val="32"/>
          <w:szCs w:val="32"/>
          <w:lang w:eastAsia="zh-CN"/>
        </w:rPr>
        <w:t>、</w:t>
      </w:r>
      <w:r>
        <w:rPr>
          <w:rFonts w:hint="eastAsia" w:ascii="仿宋_GB2312" w:eastAsia="仿宋_GB2312" w:cs="Times New Roman" w:hAnsiTheme="minorEastAsia"/>
          <w:kern w:val="2"/>
          <w:sz w:val="32"/>
          <w:szCs w:val="32"/>
        </w:rPr>
        <w:t>编研展览信息室</w:t>
      </w:r>
      <w:r>
        <w:rPr>
          <w:rFonts w:hint="eastAsia" w:ascii="仿宋_GB2312" w:eastAsia="仿宋_GB2312" w:cs="Times New Roman" w:hAnsiTheme="minorEastAsia"/>
          <w:kern w:val="2"/>
          <w:sz w:val="32"/>
          <w:szCs w:val="32"/>
          <w:lang w:val="en-US" w:eastAsia="zh-CN"/>
        </w:rPr>
        <w:t>3个股室。</w:t>
      </w:r>
      <w:r>
        <w:rPr>
          <w:rFonts w:hint="eastAsia" w:ascii="仿宋_GB2312" w:eastAsia="仿宋_GB2312" w:hAnsiTheme="minorEastAsia"/>
          <w:sz w:val="32"/>
          <w:szCs w:val="32"/>
        </w:rPr>
        <w:t>核定事业编制</w:t>
      </w:r>
      <w:r>
        <w:rPr>
          <w:rFonts w:hint="eastAsia" w:ascii="仿宋_GB2312" w:eastAsia="仿宋_GB2312" w:hAnsiTheme="minorEastAsia"/>
          <w:sz w:val="32"/>
          <w:szCs w:val="32"/>
          <w:lang w:val="en-US" w:eastAsia="zh-CN"/>
        </w:rPr>
        <w:t>7</w:t>
      </w:r>
      <w:r>
        <w:rPr>
          <w:rFonts w:hint="eastAsia" w:ascii="仿宋_GB2312" w:eastAsia="仿宋_GB2312" w:hAnsiTheme="minorEastAsia"/>
          <w:sz w:val="32"/>
          <w:szCs w:val="32"/>
        </w:rPr>
        <w:t>名，实际在编在岗人员</w:t>
      </w:r>
      <w:r>
        <w:rPr>
          <w:rFonts w:hint="eastAsia" w:ascii="仿宋_GB2312" w:eastAsia="仿宋_GB2312" w:hAnsiTheme="minorEastAsia"/>
          <w:sz w:val="32"/>
          <w:szCs w:val="32"/>
          <w:lang w:val="en-US" w:eastAsia="zh-CN"/>
        </w:rPr>
        <w:t>3</w:t>
      </w:r>
      <w:r>
        <w:rPr>
          <w:rFonts w:hint="eastAsia" w:ascii="仿宋_GB2312" w:eastAsia="仿宋_GB2312" w:hAnsiTheme="minorEastAsia"/>
          <w:sz w:val="32"/>
          <w:szCs w:val="32"/>
        </w:rPr>
        <w:t>人。</w:t>
      </w:r>
    </w:p>
    <w:p>
      <w:pPr>
        <w:pStyle w:val="5"/>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5"/>
        <w:widowControl/>
        <w:spacing w:line="600" w:lineRule="exact"/>
        <w:ind w:left="640" w:firstLine="0" w:firstLineChars="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基本支出情况</w:t>
      </w:r>
    </w:p>
    <w:p>
      <w:pPr>
        <w:pStyle w:val="5"/>
        <w:widowControl/>
        <w:spacing w:line="600" w:lineRule="exac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度财政拨款基本支出106.14万元，其中人员经费47.86万元，主要包括基本工资、津贴补贴，伙食补助费，奖金、社保等；公用经费58.28万元，主要包括办公费、印刷费、水电费、邮电费、劳务费、其他交通费等。</w:t>
      </w:r>
    </w:p>
    <w:p>
      <w:pPr>
        <w:pStyle w:val="5"/>
        <w:widowControl/>
        <w:spacing w:line="600" w:lineRule="exact"/>
        <w:ind w:left="640" w:firstLine="0" w:firstLineChars="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2.</w:t>
      </w:r>
      <w:r>
        <w:rPr>
          <w:rFonts w:hint="eastAsia" w:ascii="楷体_GB2312" w:hAnsi="楷体_GB2312" w:eastAsia="楷体_GB2312" w:cs="楷体_GB2312"/>
          <w:sz w:val="32"/>
          <w:szCs w:val="32"/>
        </w:rPr>
        <w:t>项目支出情况</w:t>
      </w:r>
    </w:p>
    <w:p>
      <w:pPr>
        <w:pStyle w:val="5"/>
        <w:widowControl/>
        <w:spacing w:line="600" w:lineRule="exac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2021年度财政拨款项目支出8万元，主要用于档案馆日常运行及档案数字化等支出。</w:t>
      </w:r>
    </w:p>
    <w:p>
      <w:pPr>
        <w:pStyle w:val="5"/>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5"/>
        <w:widowControl/>
        <w:spacing w:line="600" w:lineRule="exact"/>
        <w:ind w:left="640" w:firstLine="0" w:firstLineChars="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年，津市市档案馆围绕市委、市政府工作大局，</w:t>
      </w:r>
      <w:r>
        <w:rPr>
          <w:rFonts w:hint="eastAsia" w:ascii="仿宋_GB2312" w:hAnsi="仿宋_GB2312" w:eastAsia="仿宋_GB2312" w:cs="仿宋_GB2312"/>
          <w:sz w:val="32"/>
          <w:szCs w:val="32"/>
          <w:lang w:eastAsia="zh-CN"/>
        </w:rPr>
        <w:t>大力推进档案馆库安全建设、档案资源建设和档案信息化建设，全面提升了档案安全管理和服务能力，</w:t>
      </w:r>
      <w:r>
        <w:rPr>
          <w:rFonts w:hint="eastAsia" w:ascii="仿宋_GB2312" w:hAnsi="仿宋_GB2312" w:eastAsia="仿宋_GB2312" w:cs="仿宋_GB2312"/>
          <w:sz w:val="32"/>
          <w:szCs w:val="32"/>
          <w:lang w:val="en-US" w:eastAsia="zh-CN"/>
        </w:rPr>
        <w:t>较好地实现了整体绩效目标</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pacing w:line="580" w:lineRule="exact"/>
        <w:ind w:left="0" w:leftChars="0" w:right="0" w:rightChars="0" w:firstLine="640" w:firstLineChars="200"/>
        <w:textAlignment w:val="auto"/>
        <w:outlineLvl w:val="9"/>
        <w:rPr>
          <w:rFonts w:ascii="仿宋_GB2312" w:eastAsia="仿宋_GB2312"/>
          <w:color w:val="000000" w:themeColor="text1"/>
          <w:sz w:val="32"/>
          <w:szCs w:val="32"/>
          <w14:textFill>
            <w14:solidFill>
              <w14:schemeClr w14:val="tx1"/>
            </w14:solidFill>
          </w14:textFill>
        </w:rPr>
      </w:pPr>
      <w:r>
        <w:rPr>
          <w:rFonts w:hint="eastAsia" w:ascii="楷体_GB2312" w:hAnsi="楷体" w:eastAsia="楷体_GB2312"/>
          <w:color w:val="000000" w:themeColor="text1"/>
          <w:sz w:val="32"/>
          <w:szCs w:val="32"/>
          <w14:textFill>
            <w14:solidFill>
              <w14:schemeClr w14:val="tx1"/>
            </w14:solidFill>
          </w14:textFill>
        </w:rPr>
        <w:t>1.加强档案安全管理。</w:t>
      </w:r>
      <w:r>
        <w:rPr>
          <w:rFonts w:hint="eastAsia" w:ascii="仿宋_GB2312" w:hAnsi="仿宋_GB2312" w:eastAsia="仿宋_GB2312" w:cs="仿宋_GB2312"/>
          <w:color w:val="000000" w:themeColor="text1"/>
          <w:sz w:val="32"/>
          <w:szCs w:val="32"/>
          <w14:textFill>
            <w14:solidFill>
              <w14:schemeClr w14:val="tx1"/>
            </w14:solidFill>
          </w14:textFill>
        </w:rPr>
        <w:t>建立完善档案馆安全管理、保密制度，</w:t>
      </w:r>
      <w:r>
        <w:rPr>
          <w:rFonts w:hint="eastAsia" w:ascii="仿宋_GB2312" w:eastAsia="仿宋_GB2312"/>
          <w:color w:val="000000" w:themeColor="text1"/>
          <w:sz w:val="32"/>
          <w:szCs w:val="32"/>
          <w14:textFill>
            <w14:solidFill>
              <w14:schemeClr w14:val="tx1"/>
            </w14:solidFill>
          </w14:textFill>
        </w:rPr>
        <w:t>工作人员每天填写《库房管理日志》，对进入库房工作情况、库房温湿度、库房“八防”检查、线路设备运转情况等进行登记，并由带班</w:t>
      </w:r>
      <w:r>
        <w:rPr>
          <w:rFonts w:hint="eastAsia" w:ascii="仿宋_GB2312" w:hAnsi="仿宋_GB2312" w:eastAsia="仿宋_GB2312" w:cs="仿宋_GB2312"/>
          <w:color w:val="000000" w:themeColor="text1"/>
          <w:sz w:val="32"/>
          <w:szCs w:val="32"/>
          <w14:textFill>
            <w14:solidFill>
              <w14:schemeClr w14:val="tx1"/>
            </w14:solidFill>
          </w14:textFill>
        </w:rPr>
        <w:t>班子成员核查签字。</w:t>
      </w:r>
      <w:r>
        <w:rPr>
          <w:rFonts w:hint="eastAsia" w:ascii="仿宋_GB2312" w:eastAsia="仿宋_GB2312"/>
          <w:color w:val="000000" w:themeColor="text1"/>
          <w:sz w:val="32"/>
          <w:szCs w:val="32"/>
          <w14:textFill>
            <w14:solidFill>
              <w14:schemeClr w14:val="tx1"/>
            </w14:solidFill>
          </w14:textFill>
        </w:rPr>
        <w:t>对库房温湿度自控系统、消防</w:t>
      </w:r>
      <w:r>
        <w:rPr>
          <w:rFonts w:hint="eastAsia" w:ascii="仿宋_GB2312" w:hAnsi="仿宋" w:eastAsia="仿宋_GB2312"/>
          <w:color w:val="000000" w:themeColor="text1"/>
          <w:sz w:val="32"/>
          <w:szCs w:val="32"/>
          <w14:textFill>
            <w14:solidFill>
              <w14:schemeClr w14:val="tx1"/>
            </w14:solidFill>
          </w14:textFill>
        </w:rPr>
        <w:t>气体灭火及自动报警系统</w:t>
      </w:r>
      <w:r>
        <w:rPr>
          <w:rFonts w:hint="eastAsia" w:ascii="仿宋_GB2312" w:eastAsia="仿宋_GB2312"/>
          <w:color w:val="000000" w:themeColor="text1"/>
          <w:sz w:val="32"/>
          <w:szCs w:val="32"/>
          <w14:textFill>
            <w14:solidFill>
              <w14:schemeClr w14:val="tx1"/>
            </w14:solidFill>
          </w14:textFill>
        </w:rPr>
        <w:t>等设施设备进行定期维护检修，更换了50个</w:t>
      </w:r>
      <w:r>
        <w:rPr>
          <w:rFonts w:hint="eastAsia" w:ascii="仿宋_GB2312" w:hAnsi="仿宋" w:eastAsia="仿宋_GB2312"/>
          <w:color w:val="000000" w:themeColor="text1"/>
          <w:sz w:val="32"/>
          <w:szCs w:val="32"/>
          <w14:textFill>
            <w14:solidFill>
              <w14:schemeClr w14:val="tx1"/>
            </w14:solidFill>
          </w14:textFill>
        </w:rPr>
        <w:t>消防灭火器</w:t>
      </w:r>
      <w:r>
        <w:rPr>
          <w:rFonts w:hint="eastAsia" w:ascii="仿宋_GB2312" w:eastAsia="仿宋_GB2312"/>
          <w:color w:val="000000" w:themeColor="text1"/>
          <w:sz w:val="32"/>
          <w:szCs w:val="32"/>
          <w14:textFill>
            <w14:solidFill>
              <w14:schemeClr w14:val="tx1"/>
            </w14:solidFill>
          </w14:textFill>
        </w:rPr>
        <w:t>，对存在的问题及时整改。</w:t>
      </w:r>
      <w:r>
        <w:rPr>
          <w:rFonts w:hint="eastAsia" w:ascii="仿宋_GB2312" w:hAnsi="Tahoma" w:eastAsia="仿宋_GB2312" w:cs="Tahoma"/>
          <w:color w:val="000000" w:themeColor="text1"/>
          <w:sz w:val="32"/>
          <w:szCs w:val="32"/>
          <w:shd w:val="clear" w:color="auto" w:fill="FFFFFF"/>
          <w14:textFill>
            <w14:solidFill>
              <w14:schemeClr w14:val="tx1"/>
            </w14:solidFill>
          </w14:textFill>
        </w:rPr>
        <w:t>值班室24小时专人值班，</w:t>
      </w:r>
      <w:r>
        <w:rPr>
          <w:rFonts w:hint="eastAsia" w:ascii="仿宋_GB2312" w:eastAsia="仿宋_GB2312"/>
          <w:color w:val="000000" w:themeColor="text1"/>
          <w:sz w:val="32"/>
          <w:szCs w:val="32"/>
          <w14:textFill>
            <w14:solidFill>
              <w14:schemeClr w14:val="tx1"/>
            </w14:solidFill>
          </w14:textFill>
        </w:rPr>
        <w:t>监控系统实行“110”技防联网报警服务，确保人防、技防保障到位。开展了消防演练、消防安全知识和网络安全教育培训，确保档案实体和网络信息安全。</w:t>
      </w:r>
    </w:p>
    <w:p>
      <w:pPr>
        <w:keepNext w:val="0"/>
        <w:keepLines w:val="0"/>
        <w:pageBreakBefore w:val="0"/>
        <w:widowControl w:val="0"/>
        <w:kinsoku/>
        <w:wordWrap/>
        <w:overflowPunct/>
        <w:topLinePunct w:val="0"/>
        <w:autoSpaceDE/>
        <w:autoSpaceDN/>
        <w:bidi w:val="0"/>
        <w:adjustRightInd/>
        <w:spacing w:line="580" w:lineRule="exact"/>
        <w:ind w:left="0" w:leftChars="0" w:right="0" w:rightChars="0" w:firstLine="640" w:firstLineChars="200"/>
        <w:textAlignment w:val="auto"/>
        <w:outlineLvl w:val="9"/>
        <w:rPr>
          <w:color w:val="000000" w:themeColor="text1"/>
          <w14:textFill>
            <w14:solidFill>
              <w14:schemeClr w14:val="tx1"/>
            </w14:solidFill>
          </w14:textFill>
        </w:rPr>
      </w:pPr>
      <w:r>
        <w:rPr>
          <w:rFonts w:hint="eastAsia" w:ascii="楷体_GB2312" w:hAnsi="楷体" w:eastAsia="楷体_GB2312"/>
          <w:color w:val="000000" w:themeColor="text1"/>
          <w:sz w:val="32"/>
          <w:szCs w:val="32"/>
          <w14:textFill>
            <w14:solidFill>
              <w14:schemeClr w14:val="tx1"/>
            </w14:solidFill>
          </w14:textFill>
        </w:rPr>
        <w:t>2.做好精准扶贫和疫情防控“两类档案”接收进馆工作。</w:t>
      </w:r>
      <w:r>
        <w:rPr>
          <w:rFonts w:hint="eastAsia" w:ascii="仿宋_GB2312" w:eastAsia="仿宋_GB2312"/>
          <w:color w:val="000000" w:themeColor="text1"/>
          <w:sz w:val="32"/>
          <w:szCs w:val="32"/>
          <w14:textFill>
            <w14:solidFill>
              <w14:schemeClr w14:val="tx1"/>
            </w14:solidFill>
          </w14:textFill>
        </w:rPr>
        <w:t>围绕疫情防控、脱贫攻坚“两类档案”归集工作，主动对接相关单位开展业务咨询，接收档案目录，向省、常德市档案馆报送两类档案目录14320条。从11月开始，开展疫情防控、脱贫攻坚“两类档案”实体档案接收进馆工作，共接收脱贫攻坚档案11963件，疫情防控档案2357件。</w:t>
      </w:r>
    </w:p>
    <w:p>
      <w:pPr>
        <w:keepNext w:val="0"/>
        <w:keepLines w:val="0"/>
        <w:pageBreakBefore w:val="0"/>
        <w:widowControl w:val="0"/>
        <w:kinsoku/>
        <w:wordWrap/>
        <w:overflowPunct/>
        <w:topLinePunct w:val="0"/>
        <w:autoSpaceDE/>
        <w:autoSpaceDN/>
        <w:bidi w:val="0"/>
        <w:adjustRightInd/>
        <w:spacing w:line="580" w:lineRule="exact"/>
        <w:ind w:left="0" w:leftChars="0" w:right="0" w:rightChars="0" w:firstLine="640" w:firstLineChars="200"/>
        <w:jc w:val="left"/>
        <w:textAlignment w:val="auto"/>
        <w:outlineLvl w:val="9"/>
        <w:rPr>
          <w:rFonts w:ascii="仿宋_GB2312" w:eastAsia="仿宋_GB2312"/>
          <w:color w:val="000000" w:themeColor="text1"/>
          <w:sz w:val="32"/>
          <w:szCs w:val="32"/>
          <w14:textFill>
            <w14:solidFill>
              <w14:schemeClr w14:val="tx1"/>
            </w14:solidFill>
          </w14:textFill>
        </w:rPr>
      </w:pPr>
      <w:r>
        <w:rPr>
          <w:rFonts w:hint="eastAsia" w:ascii="楷体_GB2312" w:hAnsi="楷体" w:eastAsia="楷体_GB2312"/>
          <w:color w:val="000000" w:themeColor="text1"/>
          <w:sz w:val="32"/>
          <w:szCs w:val="32"/>
          <w14:textFill>
            <w14:solidFill>
              <w14:schemeClr w14:val="tx1"/>
            </w14:solidFill>
          </w14:textFill>
        </w:rPr>
        <w:t>3.继续推进馆藏档案数字化工作。</w:t>
      </w:r>
      <w:r>
        <w:rPr>
          <w:rFonts w:hint="eastAsia" w:ascii="仿宋_GB2312" w:hAnsi="仿宋_GB2312" w:eastAsia="仿宋_GB2312" w:cs="仿宋_GB2312"/>
          <w:color w:val="000000" w:themeColor="text1"/>
          <w:sz w:val="32"/>
          <w:szCs w:val="32"/>
          <w14:textFill>
            <w14:solidFill>
              <w14:schemeClr w14:val="tx1"/>
            </w14:solidFill>
          </w14:textFill>
        </w:rPr>
        <w:t>2021年，</w:t>
      </w:r>
      <w:r>
        <w:rPr>
          <w:rFonts w:hint="eastAsia" w:ascii="仿宋_GB2312" w:eastAsia="仿宋_GB2312"/>
          <w:color w:val="000000" w:themeColor="text1"/>
          <w:sz w:val="32"/>
          <w:szCs w:val="32"/>
          <w14:textFill>
            <w14:solidFill>
              <w14:schemeClr w14:val="tx1"/>
            </w14:solidFill>
          </w14:textFill>
        </w:rPr>
        <w:t>我馆继续推进馆藏档案数字化工作，对查阅利用率较高的民生档案进行数字化。共完成全文扫描349536页，录入目录47112条，大大提高了档案查阅利用效率。同时，继续做好洞</w:t>
      </w:r>
      <w:r>
        <w:rPr>
          <w:rFonts w:hint="eastAsia" w:ascii="仿宋_GB2312" w:hAnsi="仿宋_GB2312" w:eastAsia="仿宋_GB2312" w:cs="仿宋_GB2312"/>
          <w:color w:val="000000" w:themeColor="text1"/>
          <w:sz w:val="32"/>
          <w:szCs w:val="32"/>
          <w14:textFill>
            <w14:solidFill>
              <w14:schemeClr w14:val="tx1"/>
            </w14:solidFill>
          </w14:textFill>
        </w:rPr>
        <w:t>庭湖生态经济区档案专题数据库建设工作，</w:t>
      </w:r>
      <w:r>
        <w:rPr>
          <w:rFonts w:hint="eastAsia" w:ascii="仿宋_GB2312" w:eastAsia="仿宋_GB2312"/>
          <w:color w:val="000000" w:themeColor="text1"/>
          <w:sz w:val="32"/>
          <w:szCs w:val="32"/>
          <w14:textFill>
            <w14:solidFill>
              <w14:schemeClr w14:val="tx1"/>
            </w14:solidFill>
          </w14:textFill>
        </w:rPr>
        <w:t>向省档案馆上报专题全文数据5万页。</w:t>
      </w:r>
    </w:p>
    <w:p>
      <w:pPr>
        <w:keepNext w:val="0"/>
        <w:keepLines w:val="0"/>
        <w:pageBreakBefore w:val="0"/>
        <w:widowControl w:val="0"/>
        <w:kinsoku/>
        <w:wordWrap/>
        <w:overflowPunct/>
        <w:topLinePunct w:val="0"/>
        <w:autoSpaceDE/>
        <w:autoSpaceDN/>
        <w:bidi w:val="0"/>
        <w:adjustRightInd/>
        <w:spacing w:line="580" w:lineRule="exact"/>
        <w:ind w:left="0" w:leftChars="0" w:right="0" w:rightChars="0" w:firstLine="640" w:firstLineChars="200"/>
        <w:textAlignment w:val="auto"/>
        <w:outlineLvl w:val="9"/>
        <w:rPr>
          <w:rFonts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w:t>
      </w:r>
      <w:r>
        <w:rPr>
          <w:rFonts w:hint="eastAsia" w:ascii="楷体_GB2312" w:hAnsi="楷体" w:eastAsia="楷体_GB2312"/>
          <w:color w:val="000000" w:themeColor="text1"/>
          <w:sz w:val="32"/>
          <w:szCs w:val="32"/>
          <w14:textFill>
            <w14:solidFill>
              <w14:schemeClr w14:val="tx1"/>
            </w14:solidFill>
          </w14:textFill>
        </w:rPr>
        <w:t>积极提供档案查阅利用服务</w:t>
      </w:r>
      <w:r>
        <w:rPr>
          <w:rFonts w:hint="eastAsia" w:ascii="仿宋_GB2312" w:hAnsi="仿宋_GB2312" w:eastAsia="仿宋_GB2312" w:cs="仿宋_GB2312"/>
          <w:color w:val="000000" w:themeColor="text1"/>
          <w:sz w:val="32"/>
          <w:szCs w:val="32"/>
          <w14:textFill>
            <w14:solidFill>
              <w14:schemeClr w14:val="tx1"/>
            </w14:solidFill>
          </w14:textFill>
        </w:rPr>
        <w:t>。不断改进查档接待流程，规范查档环节，简化异地查档手续，实行电话预约查档服务。优化档案管理软件，增加全文检索功能，进一步提高了查档效率和群众查档的满意度。</w:t>
      </w:r>
      <w:r>
        <w:rPr>
          <w:rFonts w:hint="eastAsia" w:ascii="仿宋_GB2312" w:eastAsia="仿宋_GB2312"/>
          <w:color w:val="000000" w:themeColor="text1"/>
          <w:sz w:val="32"/>
          <w:szCs w:val="32"/>
          <w14:textFill>
            <w14:solidFill>
              <w14:schemeClr w14:val="tx1"/>
            </w14:solidFill>
          </w14:textFill>
        </w:rPr>
        <w:t>2021年共接待社会各界查阅利用档案者1988人次，查阅档案3659卷(件)，出具证明1527份，为我市经济建设、落实政策、调解纠纷、学术研究等方面提供了详实的第一手资料，解决了大量民生实际问题。</w:t>
      </w:r>
    </w:p>
    <w:p>
      <w:pPr>
        <w:spacing w:line="58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5.协助做好档案年检工作。</w:t>
      </w:r>
      <w:r>
        <w:rPr>
          <w:rFonts w:hint="eastAsia" w:ascii="仿宋_GB2312" w:eastAsia="仿宋_GB2312"/>
          <w:color w:val="000000" w:themeColor="text1"/>
          <w:sz w:val="32"/>
          <w:szCs w:val="32"/>
          <w14:textFill>
            <w14:solidFill>
              <w14:schemeClr w14:val="tx1"/>
            </w14:solidFill>
          </w14:textFill>
        </w:rPr>
        <w:t>12月，协助市委办开展档案工作年检，对95家单位2020年度的归档文件整理工作进行了检查，评选出了档案年检优秀、良好和不合格单位。</w:t>
      </w:r>
    </w:p>
    <w:p>
      <w:pPr>
        <w:spacing w:line="58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 xml:space="preserve">    6</w:t>
      </w:r>
      <w:r>
        <w:rPr>
          <w:rFonts w:hint="eastAsia" w:ascii="楷体_GB2312" w:hAnsi="楷体_GB2312" w:eastAsia="楷体_GB2312" w:cs="楷体_GB2312"/>
          <w:color w:val="000000" w:themeColor="text1"/>
          <w:sz w:val="32"/>
          <w:szCs w:val="32"/>
          <w14:textFill>
            <w14:solidFill>
              <w14:schemeClr w14:val="tx1"/>
            </w14:solidFill>
          </w14:textFill>
        </w:rPr>
        <w:t>.全力做好疫情防控工作。</w:t>
      </w:r>
      <w:r>
        <w:rPr>
          <w:rFonts w:hint="eastAsia" w:ascii="仿宋_GB2312" w:hAnsi="仿宋_GB2312" w:eastAsia="仿宋_GB2312" w:cs="仿宋_GB2312"/>
          <w:color w:val="000000" w:themeColor="text1"/>
          <w:sz w:val="32"/>
          <w:szCs w:val="32"/>
          <w14:textFill>
            <w14:solidFill>
              <w14:schemeClr w14:val="tx1"/>
            </w14:solidFill>
          </w14:textFill>
        </w:rPr>
        <w:t>严格落实疫情防控常态化措施，</w:t>
      </w:r>
      <w:r>
        <w:rPr>
          <w:rFonts w:hint="eastAsia" w:ascii="仿宋_GB2312" w:eastAsia="仿宋_GB2312"/>
          <w:color w:val="000000" w:themeColor="text1"/>
          <w:sz w:val="32"/>
          <w:szCs w:val="32"/>
          <w14:textFill>
            <w14:solidFill>
              <w14:schemeClr w14:val="tx1"/>
            </w14:solidFill>
          </w14:textFill>
        </w:rPr>
        <w:t>本馆工作人员每天上报“双码”、测体温，进行台账登记，做好办公区域、查档大厅、楼道等公共场所的卫生消毒工作。外来查档人员必须带口罩、查“双码”绿码、测体温、登记后方可进入。按市委统一部署，抽调2名干部协助澧阳社区做好砖厂小区78户居民的入户摸排、日常管控以及疫苗接种宣传及摸底工作。</w:t>
      </w:r>
    </w:p>
    <w:p>
      <w:pPr>
        <w:numPr>
          <w:ilvl w:val="0"/>
          <w:numId w:val="0"/>
        </w:numPr>
        <w:spacing w:line="580" w:lineRule="exact"/>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 xml:space="preserve">    7.</w:t>
      </w:r>
      <w:r>
        <w:rPr>
          <w:rFonts w:hint="eastAsia" w:ascii="楷体_GB2312" w:hAnsi="楷体_GB2312" w:eastAsia="楷体_GB2312" w:cs="楷体_GB2312"/>
          <w:color w:val="000000" w:themeColor="text1"/>
          <w:sz w:val="32"/>
          <w:szCs w:val="32"/>
          <w14:textFill>
            <w14:solidFill>
              <w14:schemeClr w14:val="tx1"/>
            </w14:solidFill>
          </w14:textFill>
        </w:rPr>
        <w:t>扎实做好乡村振兴工作。</w:t>
      </w:r>
      <w:r>
        <w:rPr>
          <w:rFonts w:hint="eastAsia" w:ascii="仿宋_GB2312" w:hAnsi="仿宋_GB2312" w:eastAsia="仿宋_GB2312" w:cs="仿宋_GB2312"/>
          <w:color w:val="000000" w:themeColor="text1"/>
          <w:sz w:val="32"/>
          <w:szCs w:val="32"/>
          <w14:textFill>
            <w14:solidFill>
              <w14:schemeClr w14:val="tx1"/>
            </w14:solidFill>
          </w14:textFill>
        </w:rPr>
        <w:t>实现巩固脱贫攻坚成果与乡村振兴有效衔接，为6户脱贫户制定了巩固提升帮扶方案，每季度下户走访一次，继续落实相关帮扶政策，</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开展爱心帮扶“微心愿”活动，</w:t>
      </w:r>
      <w:r>
        <w:rPr>
          <w:rFonts w:ascii="仿宋_GB2312" w:hAnsi="仿宋_GB2312" w:eastAsia="仿宋_GB2312" w:cs="仿宋_GB2312"/>
          <w:color w:val="000000" w:themeColor="text1"/>
          <w:sz w:val="32"/>
          <w:szCs w:val="32"/>
          <w:shd w:val="clear" w:color="auto" w:fill="FFFFFF"/>
          <w14:textFill>
            <w14:solidFill>
              <w14:schemeClr w14:val="tx1"/>
            </w14:solidFill>
          </w14:textFill>
        </w:rPr>
        <w:t>为其</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赠送生产生活物</w:t>
      </w:r>
      <w:r>
        <w:rPr>
          <w:rFonts w:hint="eastAsia" w:ascii="仿宋_GB2312" w:hAnsi="仿宋_GB2312" w:eastAsia="仿宋_GB2312" w:cs="仿宋_GB2312"/>
          <w:color w:val="000000" w:themeColor="text1"/>
          <w:sz w:val="32"/>
          <w:szCs w:val="32"/>
          <w14:textFill>
            <w14:solidFill>
              <w14:schemeClr w14:val="tx1"/>
            </w14:solidFill>
          </w14:textFill>
        </w:rPr>
        <w:t>资，并落实后盾单位帮扶资金2万元。</w:t>
      </w:r>
    </w:p>
    <w:p>
      <w:pPr>
        <w:spacing w:line="580" w:lineRule="exact"/>
        <w:ind w:firstLine="640" w:firstLineChars="200"/>
        <w:jc w:val="lef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楷体_GB2312" w:hAnsi="楷体_GB2312" w:eastAsia="楷体_GB2312" w:cs="楷体_GB2312"/>
          <w:color w:val="000000" w:themeColor="text1"/>
          <w:sz w:val="32"/>
          <w:szCs w:val="32"/>
          <w14:textFill>
            <w14:solidFill>
              <w14:schemeClr w14:val="tx1"/>
            </w14:solidFill>
          </w14:textFill>
        </w:rPr>
        <w:t>积极参与国卫周期复审工作。</w:t>
      </w:r>
      <w:r>
        <w:rPr>
          <w:rFonts w:hint="eastAsia" w:ascii="仿宋_GB2312" w:eastAsia="仿宋_GB2312"/>
          <w:color w:val="000000" w:themeColor="text1"/>
          <w:sz w:val="32"/>
          <w:szCs w:val="32"/>
          <w14:textFill>
            <w14:solidFill>
              <w14:schemeClr w14:val="tx1"/>
            </w14:solidFill>
          </w14:textFill>
        </w:rPr>
        <w:t>在迎接国家卫生城市周期复审暗访迎检中，对指定路段盐兴路开展路段包保，督促落实“门前三包”，营造整洁有序的公共环境。</w:t>
      </w:r>
    </w:p>
    <w:p>
      <w:pPr>
        <w:pStyle w:val="5"/>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eastAsia="zh-CN"/>
        </w:rPr>
        <w:t>我单位严格按照预算资金绩效管理办法，及时开展项目落实，为全年工作开展提供了保障，但还存在绩效制度不健全、绩效管理质量不高的问题。</w:t>
      </w:r>
      <w:bookmarkStart w:id="0" w:name="_GoBack"/>
      <w:bookmarkEnd w:id="0"/>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eastAsia="zh-CN"/>
        </w:rPr>
        <w:t>进一步加强预算绩效管理，加强项目绩效管理学习，设置合理的绩效评价指标，对绩效目标切实做好细化和量化，跟踪实施情况，明确项目实施效益，以便更好地实施项目绩效管理和绩效评价，强化支出责任，提高财政资金使用绩效。</w:t>
      </w:r>
      <w:r>
        <w:rPr>
          <w:rFonts w:hint="eastAsia" w:eastAsia="仿宋_GB2312"/>
          <w:sz w:val="32"/>
          <w:szCs w:val="32"/>
          <w:lang w:val="en-US" w:eastAsia="zh-CN"/>
        </w:rPr>
        <w:t xml:space="preserve">  </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Tahoma">
    <w:panose1 w:val="020B0604030504040204"/>
    <w:charset w:val="00"/>
    <w:family w:val="modern"/>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黑体">
    <w:panose1 w:val="02010609060101010101"/>
    <w:charset w:val="86"/>
    <w:family w:val="decorative"/>
    <w:pitch w:val="default"/>
    <w:sig w:usb0="800002BF" w:usb1="38CF7CFA" w:usb2="00000016" w:usb3="00000000" w:csb0="00040001" w:csb1="00000000"/>
  </w:font>
  <w:font w:name="楷体_GB2312">
    <w:panose1 w:val="02010609030101010101"/>
    <w:charset w:val="86"/>
    <w:family w:val="swiss"/>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Tahoma">
    <w:panose1 w:val="020B0604030504040204"/>
    <w:charset w:val="00"/>
    <w:family w:val="roman"/>
    <w:pitch w:val="default"/>
    <w:sig w:usb0="E1002EFF" w:usb1="C000605B" w:usb2="00000029" w:usb3="00000000" w:csb0="200101FF" w:csb1="20280000"/>
  </w:font>
  <w:font w:name="Calibri Light">
    <w:panose1 w:val="020F0302020204030204"/>
    <w:charset w:val="00"/>
    <w:family w:val="roman"/>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GB2312">
    <w:altName w:val="仿宋"/>
    <w:panose1 w:val="00000000000000000000"/>
    <w:charset w:val="86"/>
    <w:family w:val="roman"/>
    <w:pitch w:val="default"/>
    <w:sig w:usb0="00000000" w:usb1="00000000" w:usb2="00000000" w:usb3="00000000" w:csb0="00000000" w:csb1="00000000"/>
  </w:font>
  <w:font w:name="方正黑体_GBK">
    <w:altName w:val="黑体"/>
    <w:panose1 w:val="00000000000000000000"/>
    <w:charset w:val="86"/>
    <w:family w:val="script"/>
    <w:pitch w:val="default"/>
    <w:sig w:usb0="00000000" w:usb1="00000000" w:usb2="00000010" w:usb3="00000000" w:csb0="00040000" w:csb1="00000000"/>
  </w:font>
  <w:font w:name="黑体">
    <w:panose1 w:val="02010609060101010101"/>
    <w:charset w:val="86"/>
    <w:family w:val="script"/>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Tahoma">
    <w:panose1 w:val="020B0604030504040204"/>
    <w:charset w:val="00"/>
    <w:family w:val="decorative"/>
    <w:pitch w:val="default"/>
    <w:sig w:usb0="E1002EFF" w:usb1="C000605B" w:usb2="00000029" w:usb3="00000000" w:csb0="200101FF" w:csb1="20280000"/>
  </w:font>
  <w:font w:name="黑体">
    <w:panose1 w:val="02010609060101010101"/>
    <w:charset w:val="86"/>
    <w:family w:val="roman"/>
    <w:pitch w:val="default"/>
    <w:sig w:usb0="800002BF" w:usb1="38CF7CFA" w:usb2="00000016" w:usb3="00000000" w:csb0="00040001" w:csb1="00000000"/>
  </w:font>
  <w:font w:name="楷体_GB2312">
    <w:panose1 w:val="02010609030101010101"/>
    <w:charset w:val="86"/>
    <w:family w:val="decorative"/>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 w:name="仿宋-GB2312">
    <w:altName w:val="仿宋"/>
    <w:panose1 w:val="00000000000000000000"/>
    <w:charset w:val="86"/>
    <w:family w:val="modern"/>
    <w:pitch w:val="default"/>
    <w:sig w:usb0="00000000" w:usb1="00000000" w:usb2="00000000" w:usb3="00000000" w:csb0="00000000" w:csb1="00000000"/>
  </w:font>
  <w:font w:name="仿宋_GB2312">
    <w:panose1 w:val="02010609030101010101"/>
    <w:charset w:val="86"/>
    <w:family w:val="decorative"/>
    <w:pitch w:val="default"/>
    <w:sig w:usb0="00000001" w:usb1="080E0000" w:usb2="00000000" w:usb3="00000000" w:csb0="00040000" w:csb1="00000000"/>
  </w:font>
  <w:font w:name="黑体">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仿宋-GB2312">
    <w:altName w:val="仿宋"/>
    <w:panose1 w:val="00000000000000000000"/>
    <w:charset w:val="86"/>
    <w:family w:val="swiss"/>
    <w:pitch w:val="default"/>
    <w:sig w:usb0="00000000" w:usb1="00000000" w:usb2="00000000" w:usb3="00000000" w:csb0="00000000" w:csb1="00000000"/>
  </w:font>
  <w:font w:name="黑体">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 w:name="仿宋-GB2312">
    <w:altName w:val="仿宋"/>
    <w:panose1 w:val="00000000000000000000"/>
    <w:charset w:val="86"/>
    <w:family w:val="decorative"/>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28B5F45"/>
    <w:rsid w:val="1AE12C7C"/>
    <w:rsid w:val="27707D88"/>
    <w:rsid w:val="37FE52BB"/>
    <w:rsid w:val="3A076E09"/>
    <w:rsid w:val="4DBF3661"/>
    <w:rsid w:val="5A9D5D9B"/>
    <w:rsid w:val="764834D5"/>
    <w:rsid w:val="7C7F1D4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uiPriority w:val="0"/>
    <w:pPr>
      <w:snapToGrid w:val="0"/>
      <w:jc w:val="left"/>
    </w:pPr>
    <w:rPr>
      <w:sz w:val="18"/>
      <w:szCs w:val="18"/>
    </w:rPr>
  </w:style>
  <w:style w:type="paragraph" w:customStyle="1"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2022-03-22T08:12:10Z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y fmtid="{D5CDD505-2E9C-101B-9397-08002B2CF9AE}" pid="3" name="ICV">
    <vt:lpwstr>4BE3D2ACA02240EC9F09A484C52C6EB4</vt:lpwstr>
  </property>
</Properties>
</file>