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kinsoku/>
        <w:wordWrap/>
        <w:overflowPunct/>
        <w:topLinePunct w:val="0"/>
        <w:autoSpaceDE/>
        <w:autoSpaceDN/>
        <w:bidi w:val="0"/>
        <w:spacing w:line="580" w:lineRule="exact"/>
        <w:ind w:left="0" w:leftChars="0"/>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津市市档案馆档案数字化项目</w:t>
      </w:r>
    </w:p>
    <w:p>
      <w:pPr>
        <w:keepNext w:val="0"/>
        <w:keepLines w:val="0"/>
        <w:pageBreakBefore w:val="0"/>
        <w:kinsoku/>
        <w:wordWrap/>
        <w:overflowPunct/>
        <w:topLinePunct w:val="0"/>
        <w:autoSpaceDE/>
        <w:autoSpaceDN/>
        <w:bidi w:val="0"/>
        <w:spacing w:line="580" w:lineRule="exact"/>
        <w:ind w:left="0" w:lef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2021年度</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支出绩效报告</w:t>
      </w:r>
    </w:p>
    <w:p>
      <w:pPr>
        <w:keepNext w:val="0"/>
        <w:keepLines w:val="0"/>
        <w:pageBreakBefore w:val="0"/>
        <w:kinsoku/>
        <w:wordWrap/>
        <w:overflowPunct/>
        <w:topLinePunct w:val="0"/>
        <w:autoSpaceDE/>
        <w:autoSpaceDN/>
        <w:bidi w:val="0"/>
        <w:adjustRightInd w:val="0"/>
        <w:spacing w:line="580" w:lineRule="exact"/>
        <w:ind w:left="0" w:leftChars="0" w:right="641"/>
        <w:textAlignment w:val="auto"/>
        <w:outlineLvl w:val="9"/>
        <w:rPr>
          <w:rFonts w:eastAsia="仿宋_GB2312"/>
          <w:sz w:val="32"/>
          <w:szCs w:val="32"/>
        </w:rPr>
      </w:pP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keepNext w:val="0"/>
        <w:keepLines w:val="0"/>
        <w:pageBreakBefore w:val="0"/>
        <w:kinsoku/>
        <w:wordWrap/>
        <w:overflowPunct/>
        <w:topLinePunct w:val="0"/>
        <w:autoSpaceDE/>
        <w:autoSpaceDN/>
        <w:bidi w:val="0"/>
        <w:spacing w:line="580" w:lineRule="exact"/>
        <w:ind w:left="0" w:leftChars="0" w:firstLine="608" w:firstLineChars="200"/>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（一）项目实施单位基本情况。</w:t>
      </w:r>
      <w:r>
        <w:rPr>
          <w:rFonts w:hint="eastAsia" w:ascii="仿宋_GB2312" w:hAnsi="仿宋_GB2312" w:eastAsia="仿宋_GB2312" w:cs="仿宋_GB2312"/>
          <w:kern w:val="0"/>
          <w:sz w:val="32"/>
          <w:szCs w:val="32"/>
        </w:rPr>
        <w:t>津市市档案馆内设</w:t>
      </w:r>
      <w:r>
        <w:rPr>
          <w:rFonts w:hint="eastAsia" w:ascii="仿宋_GB2312" w:hAnsi="仿宋_GB2312" w:eastAsia="仿宋_GB2312" w:cs="仿宋_GB2312"/>
          <w:kern w:val="0"/>
          <w:sz w:val="32"/>
          <w:szCs w:val="32"/>
          <w:lang w:eastAsia="zh-CN"/>
        </w:rPr>
        <w:t>综合室、接收保管利用室、编研展览信息室</w:t>
      </w:r>
      <w:r>
        <w:rPr>
          <w:rFonts w:hint="eastAsia" w:ascii="仿宋_GB2312" w:hAnsi="仿宋_GB2312" w:eastAsia="仿宋_GB2312" w:cs="仿宋_GB2312"/>
          <w:kern w:val="0"/>
          <w:sz w:val="32"/>
          <w:szCs w:val="32"/>
        </w:rPr>
        <w:t>三个室，</w:t>
      </w:r>
      <w:r>
        <w:rPr>
          <w:rFonts w:hint="eastAsia" w:ascii="仿宋_GB2312" w:hAnsi="仿宋_GB2312" w:eastAsia="仿宋_GB2312" w:cs="仿宋_GB2312"/>
          <w:kern w:val="0"/>
          <w:sz w:val="32"/>
          <w:szCs w:val="32"/>
          <w:lang w:eastAsia="zh-CN"/>
        </w:rPr>
        <w:t>核定事业</w:t>
      </w:r>
      <w:r>
        <w:rPr>
          <w:rFonts w:hint="eastAsia" w:ascii="仿宋_GB2312" w:hAnsi="仿宋_GB2312" w:eastAsia="仿宋_GB2312" w:cs="仿宋_GB2312"/>
          <w:kern w:val="0"/>
          <w:sz w:val="32"/>
          <w:szCs w:val="32"/>
        </w:rPr>
        <w:t>编制</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名</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32"/>
        </w:rPr>
        <w:t>在编在职人员</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名。档案馆馆藏档案全宗214个，</w:t>
      </w:r>
      <w:r>
        <w:rPr>
          <w:rFonts w:hint="eastAsia" w:ascii="仿宋_GB2312" w:hAnsi="仿宋_GB2312" w:eastAsia="仿宋_GB2312" w:cs="仿宋_GB2312"/>
          <w:sz w:val="32"/>
          <w:szCs w:val="32"/>
          <w:lang w:eastAsia="zh-CN"/>
        </w:rPr>
        <w:t>馆藏案</w:t>
      </w:r>
      <w:r>
        <w:rPr>
          <w:rFonts w:hint="eastAsia" w:ascii="仿宋_GB2312" w:hAnsi="仿宋_GB2312" w:eastAsia="仿宋_GB2312" w:cs="仿宋_GB2312"/>
          <w:sz w:val="32"/>
          <w:szCs w:val="32"/>
        </w:rPr>
        <w:t>卷级档案109349卷，文件级档案</w:t>
      </w:r>
      <w:r>
        <w:rPr>
          <w:rFonts w:hint="eastAsia" w:ascii="仿宋_GB2312" w:hAnsi="仿宋_GB2312" w:eastAsia="仿宋_GB2312" w:cs="仿宋_GB2312"/>
          <w:sz w:val="32"/>
          <w:szCs w:val="32"/>
          <w:lang w:val="en-US" w:eastAsia="zh-CN"/>
        </w:rPr>
        <w:t>221013</w:t>
      </w:r>
      <w:r>
        <w:rPr>
          <w:rFonts w:hint="eastAsia" w:ascii="仿宋_GB2312" w:hAnsi="仿宋_GB2312" w:eastAsia="仿宋_GB2312" w:cs="仿宋_GB2312"/>
          <w:sz w:val="32"/>
          <w:szCs w:val="32"/>
        </w:rPr>
        <w:t>件，</w:t>
      </w:r>
      <w:r>
        <w:rPr>
          <w:rFonts w:hint="eastAsia" w:ascii="仿宋_GB2312" w:hAnsi="仿宋_GB2312" w:eastAsia="仿宋_GB2312" w:cs="仿宋_GB2312"/>
          <w:kern w:val="0"/>
          <w:sz w:val="32"/>
          <w:szCs w:val="32"/>
        </w:rPr>
        <w:t>主要为明清档案、革命历史档案以及建国后各市直机关、乡镇在工作活动中形成的具有保存价值的档案资料。</w:t>
      </w:r>
      <w:r>
        <w:rPr>
          <w:rFonts w:hint="eastAsia" w:ascii="仿宋_GB2312" w:hAnsi="仿宋_GB2312" w:eastAsia="仿宋_GB2312" w:cs="仿宋_GB2312"/>
          <w:sz w:val="32"/>
          <w:szCs w:val="32"/>
        </w:rPr>
        <w:t>馆内各种保管保护设施齐全，功能布局合理，不仅是我市档案查阅利用中心，也是我市爱国主义教育基地和红色收藏展览中心。</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hint="eastAsia" w:ascii="仿宋_GB2312" w:hAnsi="仿宋_GB2312" w:eastAsia="仿宋_GB2312" w:cs="仿宋_GB2312"/>
          <w:kern w:val="0"/>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eastAsia="zh-CN"/>
        </w:rPr>
        <w:t>项目</w:t>
      </w:r>
      <w:r>
        <w:rPr>
          <w:rFonts w:hint="eastAsia" w:ascii="楷体_GB2312" w:hAnsi="楷体_GB2312" w:eastAsia="楷体_GB2312" w:cs="楷体_GB2312"/>
          <w:sz w:val="32"/>
          <w:szCs w:val="32"/>
        </w:rPr>
        <w:t>基本情况包括</w:t>
      </w:r>
      <w:r>
        <w:rPr>
          <w:rFonts w:hint="eastAsia" w:ascii="楷体_GB2312" w:hAnsi="楷体_GB2312" w:eastAsia="楷体_GB2312" w:cs="楷体_GB2312"/>
          <w:sz w:val="32"/>
          <w:szCs w:val="32"/>
          <w:lang w:eastAsia="zh-CN"/>
        </w:rPr>
        <w:t>项目</w:t>
      </w:r>
      <w:r>
        <w:rPr>
          <w:rFonts w:hint="eastAsia" w:ascii="楷体_GB2312" w:hAnsi="楷体_GB2312" w:eastAsia="楷体_GB2312" w:cs="楷体_GB2312"/>
          <w:sz w:val="32"/>
          <w:szCs w:val="32"/>
        </w:rPr>
        <w:t>基本性质、用途和主要内容、涉及范围等。</w:t>
      </w:r>
      <w:r>
        <w:rPr>
          <w:rFonts w:hint="eastAsia" w:ascii="仿宋_GB2312" w:hAnsi="仿宋_GB2312" w:eastAsia="仿宋_GB2312" w:cs="仿宋_GB2312"/>
          <w:kern w:val="0"/>
          <w:sz w:val="32"/>
          <w:szCs w:val="32"/>
          <w:lang w:eastAsia="zh-CN"/>
        </w:rPr>
        <w:t>津市市档案馆于</w:t>
      </w:r>
      <w:r>
        <w:rPr>
          <w:rFonts w:hint="eastAsia" w:ascii="仿宋_GB2312" w:hAnsi="仿宋_GB2312" w:eastAsia="仿宋_GB2312" w:cs="仿宋_GB2312"/>
          <w:kern w:val="0"/>
          <w:sz w:val="32"/>
          <w:szCs w:val="32"/>
          <w:lang w:val="en-US" w:eastAsia="zh-CN"/>
        </w:rPr>
        <w:t>2016年启动馆藏档案数字化工作，截止2019年底，完成纸质馆藏档案数字化任务60%。2020年3月，根据上级要求及本馆接收档案实际，经市委市政府同意，每年预算安排25万元档案数字化工作经费，包括档案数字化加工经费20万元、档案管理软件使用和维护费5万元。</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hint="eastAsia" w:ascii="仿宋_GB2312" w:hAnsi="仿宋_GB2312" w:eastAsia="仿宋_GB2312" w:cs="仿宋_GB2312"/>
          <w:kern w:val="0"/>
          <w:sz w:val="32"/>
          <w:szCs w:val="32"/>
          <w:lang w:val="en-US" w:eastAsia="zh-CN"/>
        </w:rPr>
      </w:pP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eastAsia="zh-CN"/>
        </w:rPr>
        <w:t>项目</w:t>
      </w:r>
      <w:r>
        <w:rPr>
          <w:rFonts w:hint="eastAsia" w:ascii="楷体_GB2312" w:hAnsi="楷体_GB2312" w:eastAsia="楷体_GB2312" w:cs="楷体_GB2312"/>
          <w:sz w:val="32"/>
          <w:szCs w:val="32"/>
        </w:rPr>
        <w:t>绩效目标，包括总体目标和年度目标。</w:t>
      </w:r>
      <w:r>
        <w:rPr>
          <w:rFonts w:hint="eastAsia" w:ascii="仿宋_GB2312" w:hAnsi="仿宋_GB2312" w:eastAsia="仿宋_GB2312" w:cs="仿宋_GB2312"/>
          <w:kern w:val="0"/>
          <w:sz w:val="32"/>
          <w:szCs w:val="32"/>
          <w:lang w:val="en-US" w:eastAsia="zh-CN"/>
        </w:rPr>
        <w:t>总体目标是将馆藏档案资料通过数字化加工和信息化手段进行互联互通、资源共享，有效地保护好纸质档案，大大提高档案利用效率。2021年年度目标是完成20万页的档案扫描（包括条目录入）任务。</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hint="eastAsia" w:ascii="仿宋_GB2312" w:hAnsi="仿宋_GB2312" w:eastAsia="仿宋_GB2312" w:cs="仿宋_GB2312"/>
          <w:kern w:val="0"/>
          <w:sz w:val="32"/>
          <w:szCs w:val="32"/>
          <w:lang w:val="en-US" w:eastAsia="zh-CN"/>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项目</w:t>
      </w:r>
      <w:r>
        <w:rPr>
          <w:rFonts w:hint="eastAsia" w:ascii="楷体_GB2312" w:hAnsi="楷体_GB2312" w:eastAsia="楷体_GB2312" w:cs="楷体_GB2312"/>
          <w:sz w:val="32"/>
          <w:szCs w:val="32"/>
        </w:rPr>
        <w:t>资金及自筹资金的安排落实、总投入等情况。</w:t>
      </w:r>
      <w:r>
        <w:rPr>
          <w:rFonts w:hint="eastAsia" w:ascii="仿宋_GB2312" w:hAnsi="仿宋_GB2312" w:eastAsia="仿宋_GB2312" w:cs="仿宋_GB2312"/>
          <w:kern w:val="0"/>
          <w:sz w:val="32"/>
          <w:szCs w:val="32"/>
          <w:lang w:val="en-US" w:eastAsia="zh-CN"/>
        </w:rPr>
        <w:t>2021年，本级财政投入档案数字化专项工作经费25万元，省档案馆拨付洞庭湖专题数据库项目资金5万元，总投入共30万元。</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hint="eastAsia" w:ascii="仿宋_GB2312" w:hAnsi="仿宋_GB2312" w:eastAsia="仿宋_GB2312" w:cs="仿宋_GB2312"/>
          <w:kern w:val="0"/>
          <w:sz w:val="32"/>
          <w:szCs w:val="32"/>
          <w:lang w:val="en-US" w:eastAsia="zh-CN"/>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eastAsia="zh-CN"/>
        </w:rPr>
        <w:t>项目</w:t>
      </w:r>
      <w:r>
        <w:rPr>
          <w:rFonts w:hint="eastAsia" w:ascii="楷体_GB2312" w:hAnsi="楷体_GB2312" w:eastAsia="楷体_GB2312" w:cs="楷体_GB2312"/>
          <w:sz w:val="32"/>
          <w:szCs w:val="32"/>
        </w:rPr>
        <w:t>资金实际使用情况。</w:t>
      </w:r>
      <w:r>
        <w:rPr>
          <w:rFonts w:hint="eastAsia" w:ascii="仿宋_GB2312" w:hAnsi="仿宋_GB2312" w:eastAsia="仿宋_GB2312" w:cs="仿宋_GB2312"/>
          <w:kern w:val="0"/>
          <w:sz w:val="32"/>
          <w:szCs w:val="32"/>
          <w:lang w:val="en-US" w:eastAsia="zh-CN"/>
        </w:rPr>
        <w:t>2021年共完成档案全文扫描349536页，录入目录47112条，共支出档案数字化加工费用25.78万元，档案管理软件使用和维护费5万元，合计支出30.78万元。</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hint="eastAsia" w:ascii="仿宋_GB2312" w:hAnsi="仿宋_GB2312" w:eastAsia="仿宋_GB2312" w:cs="仿宋_GB2312"/>
          <w:kern w:val="0"/>
          <w:sz w:val="32"/>
          <w:szCs w:val="32"/>
          <w:lang w:val="en-US" w:eastAsia="zh-CN"/>
        </w:rPr>
      </w:pP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eastAsia="zh-CN"/>
        </w:rPr>
        <w:t>项目</w:t>
      </w:r>
      <w:r>
        <w:rPr>
          <w:rFonts w:hint="eastAsia" w:ascii="楷体_GB2312" w:hAnsi="楷体_GB2312" w:eastAsia="楷体_GB2312" w:cs="楷体_GB2312"/>
          <w:sz w:val="32"/>
          <w:szCs w:val="32"/>
        </w:rPr>
        <w:t>资金管理情况分析，主要包括管理制度、办法的制订及执行情况。</w:t>
      </w:r>
      <w:r>
        <w:rPr>
          <w:rFonts w:hint="eastAsia" w:ascii="仿宋_GB2312" w:hAnsi="仿宋_GB2312" w:eastAsia="仿宋_GB2312" w:cs="仿宋_GB2312"/>
          <w:kern w:val="0"/>
          <w:sz w:val="32"/>
          <w:szCs w:val="32"/>
          <w:lang w:val="en-US" w:eastAsia="zh-CN"/>
        </w:rPr>
        <w:t>项目资金严格按照市国库集中支付局、市机关财务室资金管理要求严格管理使用。项目资金的审批、拨付都有完整的审批程序和手续，资金的用途也符合合同规定，不存在截留、挤占、挪用、虚列支出等情况。</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2021年5月，我们通过湖南省政府采购电子卖场购买了数字化加工服务，并于当月开始数字化工作。在馆藏档案数字化过程中，我们始终坚持对档案数字化加工工作进行监管。制定了设备管理、保密、数据核查、数字化加工等一系列制度，规范了档案数字化工作流程。在档案数字化加工过程中，加强对加工现场的管控，派专人对数字化工作进行督导检查，对所录入的数据定期进行了核查、备份，对发现的问题及时提出整改意见，保障档案数字化工作安全有序开展。此外，还同步进行了档案数字化质检工作，安排专人按照10%的比例对全文扫描、条目著录、数据挂接进行抽检，质量达标率达到了99%以上，错误率不足1%，从</w:t>
      </w:r>
      <w:r>
        <w:rPr>
          <w:rFonts w:hint="eastAsia" w:ascii="仿宋_GB2312" w:hAnsi="仿宋_GB2312" w:eastAsia="仿宋_GB2312" w:cs="仿宋_GB2312"/>
          <w:sz w:val="32"/>
          <w:szCs w:val="32"/>
        </w:rPr>
        <w:t>而确保了档案数据质量。</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hint="eastAsia" w:ascii="仿宋_GB2312" w:hAnsi="仿宋_GB2312" w:eastAsia="仿宋_GB2312" w:cs="仿宋_GB2312"/>
          <w:kern w:val="0"/>
          <w:sz w:val="32"/>
          <w:szCs w:val="32"/>
          <w:lang w:val="en-US" w:eastAsia="zh-CN"/>
        </w:rPr>
      </w:pPr>
      <w:r>
        <w:rPr>
          <w:rFonts w:hint="eastAsia" w:ascii="楷体_GB2312" w:hAnsi="楷体_GB2312" w:eastAsia="楷体_GB2312" w:cs="楷体_GB2312"/>
          <w:kern w:val="0"/>
          <w:sz w:val="32"/>
          <w:szCs w:val="32"/>
          <w:lang w:val="en-US" w:eastAsia="zh-CN"/>
        </w:rPr>
        <w:t>1.项目的经济性分析：</w:t>
      </w:r>
      <w:r>
        <w:rPr>
          <w:rFonts w:hint="eastAsia" w:ascii="仿宋_GB2312" w:hAnsi="仿宋_GB2312" w:eastAsia="仿宋_GB2312" w:cs="仿宋_GB2312"/>
          <w:kern w:val="0"/>
          <w:sz w:val="32"/>
          <w:szCs w:val="32"/>
          <w:lang w:val="en-US" w:eastAsia="zh-CN"/>
        </w:rPr>
        <w:t>在项目开始前，我们对该项目成本进行了详细估算，通过充分调查了解周边县市档案数字化方面的报价，我们进行了最大限度的压缩，将扫描和条目录入成本降到最低，通过湖南省政府采购电子卖场进行服务采购，节约了项目成本。</w:t>
      </w:r>
      <w:r>
        <w:rPr>
          <w:rFonts w:hint="eastAsia" w:ascii="楷体_GB2312" w:hAnsi="楷体_GB2312" w:eastAsia="楷体_GB2312" w:cs="楷体_GB2312"/>
          <w:kern w:val="0"/>
          <w:sz w:val="32"/>
          <w:szCs w:val="32"/>
          <w:lang w:val="en-US" w:eastAsia="zh-CN"/>
        </w:rPr>
        <w:t>2.项目效率性分析：</w:t>
      </w:r>
      <w:r>
        <w:rPr>
          <w:rFonts w:hint="eastAsia" w:ascii="仿宋_GB2312" w:hAnsi="仿宋_GB2312" w:eastAsia="仿宋_GB2312" w:cs="仿宋_GB2312"/>
          <w:kern w:val="0"/>
          <w:sz w:val="32"/>
          <w:szCs w:val="32"/>
          <w:lang w:val="en-US" w:eastAsia="zh-CN"/>
        </w:rPr>
        <w:t>由于财政资金及时到位，该项目完成的进度较快，基本上按照预定计划完成任务。在质量方面，由于我们坚持各项管理制度，加强现场监管，并及时有效地进行了抽检，因而保证了项目质量。</w:t>
      </w:r>
      <w:r>
        <w:rPr>
          <w:rFonts w:hint="eastAsia" w:ascii="楷体_GB2312" w:hAnsi="楷体_GB2312" w:eastAsia="楷体_GB2312" w:cs="楷体_GB2312"/>
          <w:kern w:val="0"/>
          <w:sz w:val="32"/>
          <w:szCs w:val="32"/>
          <w:lang w:val="en-US" w:eastAsia="zh-CN"/>
        </w:rPr>
        <w:t>3.项目的可持续性分析：</w:t>
      </w:r>
      <w:r>
        <w:rPr>
          <w:rFonts w:hint="eastAsia" w:ascii="仿宋_GB2312" w:hAnsi="仿宋_GB2312" w:eastAsia="仿宋_GB2312" w:cs="仿宋_GB2312"/>
          <w:kern w:val="0"/>
          <w:sz w:val="32"/>
          <w:szCs w:val="32"/>
          <w:lang w:val="en-US" w:eastAsia="zh-CN"/>
        </w:rPr>
        <w:t>该项目完成后，不仅有效地保护了档案原件，最大限度地延长了档案使用寿命，而且大大提高了档案利用效率，方便了今后市委、政府领导进行重大决策和广大群众查阅利用档案。</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eastAsia="黑体"/>
          <w:sz w:val="32"/>
          <w:szCs w:val="32"/>
        </w:rPr>
      </w:pPr>
      <w:r>
        <w:rPr>
          <w:rFonts w:hint="eastAsia" w:eastAsia="黑体"/>
          <w:sz w:val="32"/>
          <w:szCs w:val="32"/>
          <w:lang w:eastAsia="zh-CN"/>
        </w:rPr>
        <w:t>五</w:t>
      </w:r>
      <w:r>
        <w:rPr>
          <w:rFonts w:eastAsia="黑体"/>
          <w:sz w:val="32"/>
          <w:szCs w:val="32"/>
        </w:rPr>
        <w:t>、其他需要说明的问题</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（一）后续工作计划。每年开展馆藏增量档案的数字化工作，提高档案查阅效率。</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eastAsia="黑体"/>
          <w:sz w:val="32"/>
          <w:szCs w:val="32"/>
        </w:rPr>
      </w:pPr>
      <w:r>
        <w:rPr>
          <w:rFonts w:hint="eastAsia" w:ascii="仿宋_GB2312" w:hAnsi="仿宋_GB2312" w:eastAsia="仿宋_GB2312" w:cs="仿宋_GB2312"/>
          <w:sz w:val="32"/>
          <w:szCs w:val="32"/>
          <w:lang w:val="en-US" w:eastAsia="zh-CN"/>
        </w:rPr>
        <w:t>（二）主要经验做法、存在的问题和建议。无</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outlineLvl w:val="9"/>
        <w:rPr>
          <w:rFonts w:eastAsia="仿宋_GB2312"/>
          <w:sz w:val="32"/>
          <w:szCs w:val="32"/>
        </w:rPr>
      </w:pPr>
    </w:p>
    <w:p>
      <w:pPr>
        <w:keepNext w:val="0"/>
        <w:keepLines w:val="0"/>
        <w:pageBreakBefore w:val="0"/>
        <w:kinsoku/>
        <w:wordWrap/>
        <w:overflowPunct/>
        <w:topLinePunct w:val="0"/>
        <w:autoSpaceDE/>
        <w:autoSpaceDN/>
        <w:bidi w:val="0"/>
        <w:adjustRightInd w:val="0"/>
        <w:snapToGrid w:val="0"/>
        <w:spacing w:line="580" w:lineRule="exact"/>
        <w:textAlignment w:val="auto"/>
        <w:outlineLvl w:val="9"/>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3"/>
        <w:tblW w:w="9999" w:type="dxa"/>
        <w:jc w:val="center"/>
        <w:tblInd w:w="0" w:type="dxa"/>
        <w:tblLayout w:type="fixed"/>
        <w:tblCellMar>
          <w:top w:w="0" w:type="dxa"/>
          <w:left w:w="108" w:type="dxa"/>
          <w:bottom w:w="0" w:type="dxa"/>
          <w:right w:w="108" w:type="dxa"/>
        </w:tblCellMar>
      </w:tblPr>
      <w:tblGrid>
        <w:gridCol w:w="1135"/>
        <w:gridCol w:w="992"/>
        <w:gridCol w:w="1043"/>
        <w:gridCol w:w="120"/>
        <w:gridCol w:w="1322"/>
        <w:gridCol w:w="1198"/>
        <w:gridCol w:w="1070"/>
        <w:gridCol w:w="828"/>
        <w:gridCol w:w="873"/>
        <w:gridCol w:w="1418"/>
      </w:tblGrid>
      <w:tr>
        <w:tblPrEx>
          <w:tblLayout w:type="fixed"/>
          <w:tblCellMar>
            <w:top w:w="0" w:type="dxa"/>
            <w:left w:w="108" w:type="dxa"/>
            <w:bottom w:w="0" w:type="dxa"/>
            <w:right w:w="108" w:type="dxa"/>
          </w:tblCellMar>
        </w:tblPrEx>
        <w:trPr>
          <w:trHeight w:val="555" w:hRule="atLeast"/>
          <w:jc w:val="center"/>
        </w:trPr>
        <w:tc>
          <w:tcPr>
            <w:tcW w:w="9999" w:type="dxa"/>
            <w:gridSpan w:val="10"/>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both"/>
              <w:textAlignment w:val="auto"/>
              <w:outlineLvl w:val="9"/>
              <w:rPr>
                <w:rFonts w:eastAsia="方正小标宋_GBK"/>
                <w:color w:val="000000"/>
                <w:kern w:val="0"/>
                <w:sz w:val="36"/>
                <w:szCs w:val="36"/>
              </w:rPr>
            </w:pPr>
            <w:r>
              <w:rPr>
                <w:rFonts w:hint="eastAsia" w:eastAsia="方正小标宋_GBK"/>
                <w:color w:val="000000"/>
                <w:kern w:val="0"/>
                <w:sz w:val="36"/>
                <w:szCs w:val="36"/>
                <w:lang w:val="en-US" w:eastAsia="zh-CN"/>
              </w:rPr>
              <w:t xml:space="preserve">                </w:t>
            </w: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Layout w:type="fixed"/>
          <w:tblCellMar>
            <w:top w:w="0" w:type="dxa"/>
            <w:left w:w="108" w:type="dxa"/>
            <w:bottom w:w="0" w:type="dxa"/>
            <w:right w:w="108" w:type="dxa"/>
          </w:tblCellMar>
        </w:tblPrEx>
        <w:trPr>
          <w:trHeight w:val="270" w:hRule="atLeast"/>
          <w:jc w:val="center"/>
        </w:trPr>
        <w:tc>
          <w:tcPr>
            <w:tcW w:w="9999" w:type="dxa"/>
            <w:gridSpan w:val="10"/>
            <w:tcBorders>
              <w:top w:val="nil"/>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Layout w:type="fixed"/>
          <w:tblCellMar>
            <w:top w:w="0" w:type="dxa"/>
            <w:left w:w="108" w:type="dxa"/>
            <w:bottom w:w="0" w:type="dxa"/>
            <w:right w:w="108" w:type="dxa"/>
          </w:tblCellMar>
        </w:tblPrEx>
        <w:trPr>
          <w:trHeight w:val="510" w:hRule="atLeast"/>
          <w:jc w:val="center"/>
        </w:trPr>
        <w:tc>
          <w:tcPr>
            <w:tcW w:w="113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项目支</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出名称</w:t>
            </w:r>
          </w:p>
        </w:tc>
        <w:tc>
          <w:tcPr>
            <w:tcW w:w="8864" w:type="dxa"/>
            <w:gridSpan w:val="9"/>
            <w:tcBorders>
              <w:top w:val="single" w:color="auto" w:sz="4" w:space="0"/>
              <w:left w:val="nil"/>
              <w:bottom w:val="single" w:color="auto" w:sz="4" w:space="0"/>
              <w:right w:val="single" w:color="000000" w:sz="4" w:space="0"/>
            </w:tcBorders>
            <w:vAlign w:val="center"/>
          </w:tcPr>
          <w:p>
            <w:pPr>
              <w:keepNext w:val="0"/>
              <w:keepLines w:val="0"/>
              <w:pageBreakBefore w:val="0"/>
              <w:widowControl/>
              <w:tabs>
                <w:tab w:val="left" w:pos="1387"/>
                <w:tab w:val="center" w:pos="4489"/>
              </w:tabs>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hint="eastAsia" w:eastAsia="仿宋_GB2312"/>
                <w:color w:val="000000"/>
                <w:kern w:val="0"/>
                <w:szCs w:val="21"/>
                <w:lang w:eastAsia="zh-CN"/>
              </w:rPr>
              <w:tab/>
            </w:r>
            <w:r>
              <w:rPr>
                <w:rFonts w:hint="eastAsia" w:eastAsia="仿宋_GB2312"/>
                <w:color w:val="000000"/>
                <w:kern w:val="0"/>
                <w:szCs w:val="21"/>
                <w:lang w:eastAsia="zh-CN"/>
              </w:rPr>
              <w:t>档案数字化工作经费</w:t>
            </w:r>
            <w:r>
              <w:rPr>
                <w:rFonts w:hint="eastAsia" w:eastAsia="仿宋_GB2312"/>
                <w:color w:val="000000"/>
                <w:kern w:val="0"/>
                <w:szCs w:val="21"/>
                <w:lang w:eastAsia="zh-CN"/>
              </w:rPr>
              <w:tab/>
            </w: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主管部门</w:t>
            </w:r>
          </w:p>
        </w:tc>
        <w:tc>
          <w:tcPr>
            <w:tcW w:w="4675"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tabs>
                <w:tab w:val="left" w:pos="3232"/>
              </w:tabs>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eastAsia="仿宋_GB2312"/>
                <w:color w:val="000000"/>
                <w:kern w:val="0"/>
                <w:szCs w:val="21"/>
                <w:lang w:eastAsia="zh-CN"/>
              </w:rPr>
            </w:pPr>
            <w:r>
              <w:rPr>
                <w:rFonts w:hint="eastAsia" w:eastAsia="仿宋_GB2312"/>
                <w:color w:val="000000"/>
                <w:kern w:val="0"/>
                <w:szCs w:val="21"/>
                <w:lang w:eastAsia="zh-CN"/>
              </w:rPr>
              <w:t>中共津市市委办公室</w:t>
            </w:r>
          </w:p>
        </w:tc>
        <w:tc>
          <w:tcPr>
            <w:tcW w:w="1070" w:type="dxa"/>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津市市档案馆</w:t>
            </w:r>
          </w:p>
        </w:tc>
      </w:tr>
      <w:tr>
        <w:tblPrEx>
          <w:tblLayout w:type="fixed"/>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035"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42"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年初预算数</w:t>
            </w:r>
          </w:p>
        </w:tc>
        <w:tc>
          <w:tcPr>
            <w:tcW w:w="119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 w:val="18"/>
                <w:szCs w:val="18"/>
              </w:rPr>
            </w:pPr>
            <w:r>
              <w:rPr>
                <w:rFonts w:eastAsia="仿宋_GB2312"/>
                <w:color w:val="000000"/>
                <w:kern w:val="0"/>
                <w:sz w:val="18"/>
                <w:szCs w:val="18"/>
              </w:rPr>
              <w:t>全年预算数</w:t>
            </w:r>
          </w:p>
        </w:tc>
        <w:tc>
          <w:tcPr>
            <w:tcW w:w="1070" w:type="dxa"/>
            <w:tcBorders>
              <w:top w:val="nil"/>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textAlignment w:val="auto"/>
              <w:outlineLvl w:val="9"/>
              <w:rPr>
                <w:rFonts w:eastAsia="仿宋_GB2312"/>
                <w:sz w:val="18"/>
                <w:szCs w:val="18"/>
              </w:rPr>
            </w:pPr>
            <w:r>
              <w:rPr>
                <w:rFonts w:eastAsia="仿宋_GB2312"/>
                <w:color w:val="000000"/>
                <w:kern w:val="0"/>
                <w:sz w:val="16"/>
                <w:szCs w:val="16"/>
              </w:rPr>
              <w:t>全年执行数</w:t>
            </w:r>
          </w:p>
        </w:tc>
        <w:tc>
          <w:tcPr>
            <w:tcW w:w="828" w:type="dxa"/>
            <w:tcBorders>
              <w:top w:val="nil"/>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textAlignment w:val="auto"/>
              <w:outlineLvl w:val="9"/>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textAlignment w:val="auto"/>
              <w:outlineLvl w:val="9"/>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ind w:left="0" w:leftChars="0" w:right="0" w:rightChars="0"/>
              <w:textAlignment w:val="auto"/>
              <w:outlineLvl w:val="9"/>
              <w:rPr>
                <w:rFonts w:eastAsia="仿宋_GB2312"/>
                <w:szCs w:val="21"/>
              </w:rPr>
            </w:pPr>
            <w:r>
              <w:rPr>
                <w:rFonts w:eastAsia="仿宋_GB2312"/>
                <w:szCs w:val="21"/>
              </w:rPr>
              <w:t>得分</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2035"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年度资金总额　</w:t>
            </w:r>
          </w:p>
        </w:tc>
        <w:tc>
          <w:tcPr>
            <w:tcW w:w="1442"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30</w:t>
            </w:r>
          </w:p>
        </w:tc>
        <w:tc>
          <w:tcPr>
            <w:tcW w:w="119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30</w:t>
            </w:r>
          </w:p>
        </w:tc>
        <w:tc>
          <w:tcPr>
            <w:tcW w:w="10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30.78</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hint="eastAsia" w:eastAsia="仿宋_GB2312"/>
                <w:color w:val="000000"/>
                <w:kern w:val="0"/>
                <w:szCs w:val="21"/>
                <w:lang w:val="en-US" w:eastAsia="zh-CN"/>
              </w:rPr>
              <w:t>102.6%</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2035"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其中：当年财政拨款　</w:t>
            </w:r>
          </w:p>
        </w:tc>
        <w:tc>
          <w:tcPr>
            <w:tcW w:w="1442"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25</w:t>
            </w:r>
          </w:p>
        </w:tc>
        <w:tc>
          <w:tcPr>
            <w:tcW w:w="119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25</w:t>
            </w:r>
          </w:p>
        </w:tc>
        <w:tc>
          <w:tcPr>
            <w:tcW w:w="10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2035"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hint="eastAsia" w:eastAsia="仿宋_GB2312"/>
                <w:color w:val="000000"/>
                <w:kern w:val="0"/>
                <w:szCs w:val="21"/>
                <w:lang w:val="en-US" w:eastAsia="zh-CN"/>
              </w:rPr>
              <w:t xml:space="preserve">   </w:t>
            </w:r>
            <w:r>
              <w:rPr>
                <w:rFonts w:eastAsia="仿宋_GB2312"/>
                <w:color w:val="000000"/>
                <w:kern w:val="0"/>
                <w:szCs w:val="21"/>
              </w:rPr>
              <w:t>上年结转资金　</w:t>
            </w:r>
          </w:p>
        </w:tc>
        <w:tc>
          <w:tcPr>
            <w:tcW w:w="1442"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bookmarkStart w:id="0" w:name="_GoBack"/>
            <w:bookmarkEnd w:id="0"/>
          </w:p>
        </w:tc>
        <w:tc>
          <w:tcPr>
            <w:tcW w:w="119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2035"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630" w:firstLineChars="300"/>
              <w:jc w:val="left"/>
              <w:textAlignment w:val="auto"/>
              <w:outlineLvl w:val="9"/>
              <w:rPr>
                <w:rFonts w:eastAsia="仿宋_GB2312"/>
                <w:color w:val="000000"/>
                <w:kern w:val="0"/>
                <w:szCs w:val="21"/>
              </w:rPr>
            </w:pPr>
            <w:r>
              <w:rPr>
                <w:rFonts w:eastAsia="仿宋_GB2312"/>
                <w:color w:val="000000"/>
                <w:kern w:val="0"/>
                <w:szCs w:val="21"/>
              </w:rPr>
              <w:t>其他资金</w:t>
            </w:r>
          </w:p>
        </w:tc>
        <w:tc>
          <w:tcPr>
            <w:tcW w:w="1442"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5</w:t>
            </w:r>
          </w:p>
        </w:tc>
        <w:tc>
          <w:tcPr>
            <w:tcW w:w="119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5</w:t>
            </w:r>
          </w:p>
        </w:tc>
        <w:tc>
          <w:tcPr>
            <w:tcW w:w="10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年度总</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体目标</w:t>
            </w:r>
          </w:p>
        </w:tc>
        <w:tc>
          <w:tcPr>
            <w:tcW w:w="4675" w:type="dxa"/>
            <w:gridSpan w:val="5"/>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预期目标</w:t>
            </w:r>
          </w:p>
        </w:tc>
        <w:tc>
          <w:tcPr>
            <w:tcW w:w="4189"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实际完成情况　</w:t>
            </w:r>
          </w:p>
        </w:tc>
      </w:tr>
      <w:tr>
        <w:tblPrEx>
          <w:tblLayout w:type="fixed"/>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4675" w:type="dxa"/>
            <w:gridSpan w:val="5"/>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完成</w:t>
            </w:r>
            <w:r>
              <w:rPr>
                <w:rFonts w:hint="eastAsia" w:eastAsia="仿宋_GB2312"/>
                <w:color w:val="000000"/>
                <w:kern w:val="0"/>
                <w:szCs w:val="21"/>
                <w:lang w:val="en-US" w:eastAsia="zh-CN"/>
              </w:rPr>
              <w:t>20万页的档案数字化扫描任务</w:t>
            </w:r>
          </w:p>
        </w:tc>
        <w:tc>
          <w:tcPr>
            <w:tcW w:w="4189"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eastAsia="仿宋_GB2312"/>
                <w:color w:val="000000"/>
                <w:kern w:val="0"/>
                <w:szCs w:val="21"/>
              </w:rPr>
            </w:pPr>
            <w:r>
              <w:rPr>
                <w:rFonts w:hint="eastAsia" w:eastAsia="仿宋_GB2312"/>
                <w:color w:val="000000"/>
                <w:kern w:val="0"/>
                <w:szCs w:val="21"/>
                <w:lang w:val="en-US" w:eastAsia="zh-CN"/>
              </w:rPr>
              <w:t>档案全文扫描349536页录入目录47112条</w:t>
            </w:r>
          </w:p>
        </w:tc>
      </w:tr>
      <w:tr>
        <w:tblPrEx>
          <w:tblLayout w:type="fixed"/>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绩</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效</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指</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一级指标</w:t>
            </w:r>
          </w:p>
        </w:tc>
        <w:tc>
          <w:tcPr>
            <w:tcW w:w="11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二级指标</w:t>
            </w: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三级指标</w:t>
            </w: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年度</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指标值</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实际</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偏差原因</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分析及</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改进措施</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产出</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指标</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(50分)</w:t>
            </w:r>
          </w:p>
        </w:tc>
        <w:tc>
          <w:tcPr>
            <w:tcW w:w="1163" w:type="dxa"/>
            <w:gridSpan w:val="2"/>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数量指标</w:t>
            </w: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Cs w:val="21"/>
                <w:lang w:val="en-US" w:eastAsia="zh-CN"/>
              </w:rPr>
            </w:pPr>
            <w:r>
              <w:rPr>
                <w:rFonts w:hint="eastAsia" w:eastAsia="仿宋_GB2312"/>
                <w:color w:val="000000"/>
                <w:kern w:val="0"/>
                <w:szCs w:val="21"/>
                <w:lang w:val="en-US" w:eastAsia="zh-CN"/>
              </w:rPr>
              <w:t>全文扫描</w:t>
            </w: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20万页</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 w:val="18"/>
                <w:szCs w:val="18"/>
              </w:rPr>
            </w:pPr>
            <w:r>
              <w:rPr>
                <w:rFonts w:hint="eastAsia" w:eastAsia="仿宋_GB2312"/>
                <w:color w:val="000000"/>
                <w:kern w:val="0"/>
                <w:sz w:val="18"/>
                <w:szCs w:val="18"/>
                <w:lang w:val="en-US" w:eastAsia="zh-CN"/>
              </w:rPr>
              <w:t>34.95万页</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Cs w:val="21"/>
                <w:lang w:eastAsia="zh-CN"/>
              </w:rPr>
            </w:pPr>
            <w:r>
              <w:rPr>
                <w:rFonts w:hint="eastAsia" w:eastAsia="仿宋_GB2312"/>
                <w:color w:val="000000"/>
                <w:kern w:val="0"/>
                <w:szCs w:val="21"/>
                <w:lang w:eastAsia="zh-CN"/>
              </w:rPr>
              <w:t>条目录入</w:t>
            </w: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hint="eastAsia" w:eastAsia="仿宋_GB2312"/>
                <w:color w:val="000000"/>
                <w:kern w:val="0"/>
                <w:szCs w:val="21"/>
                <w:lang w:val="en-US" w:eastAsia="zh-CN"/>
              </w:rPr>
              <w:t>4.7万条</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质量指标</w:t>
            </w: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 w:val="18"/>
                <w:szCs w:val="18"/>
                <w:lang w:val="en-US" w:eastAsia="zh-CN"/>
              </w:rPr>
            </w:pPr>
            <w:r>
              <w:rPr>
                <w:rFonts w:hint="eastAsia" w:eastAsia="仿宋_GB2312"/>
                <w:color w:val="000000"/>
                <w:kern w:val="0"/>
                <w:sz w:val="18"/>
                <w:szCs w:val="18"/>
                <w:lang w:val="en-US" w:eastAsia="zh-CN"/>
              </w:rPr>
              <w:t>扫描图像质量</w:t>
            </w:r>
          </w:p>
        </w:tc>
        <w:tc>
          <w:tcPr>
            <w:tcW w:w="1198" w:type="dxa"/>
            <w:vMerge w:val="restart"/>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eastAsia="仿宋_GB2312"/>
                <w:color w:val="000000"/>
                <w:kern w:val="0"/>
                <w:szCs w:val="21"/>
                <w:lang w:val="en-US" w:eastAsia="zh-CN"/>
              </w:rPr>
            </w:pPr>
            <w:r>
              <w:rPr>
                <w:rFonts w:hint="eastAsia" w:eastAsia="仿宋_GB2312"/>
                <w:color w:val="000000"/>
                <w:kern w:val="0"/>
                <w:szCs w:val="21"/>
                <w:lang w:val="en-US" w:eastAsia="zh-CN"/>
              </w:rPr>
              <w:t>国家档案局纸质档案数字化技术规范</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eastAsia="仿宋_GB2312"/>
                <w:color w:val="000000"/>
                <w:kern w:val="0"/>
                <w:szCs w:val="21"/>
                <w:lang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 w:val="18"/>
                <w:szCs w:val="18"/>
                <w:lang w:val="en-US" w:eastAsia="zh-CN"/>
              </w:rPr>
            </w:pPr>
            <w:r>
              <w:rPr>
                <w:rFonts w:hint="eastAsia" w:eastAsia="仿宋_GB2312"/>
                <w:color w:val="000000"/>
                <w:kern w:val="0"/>
                <w:sz w:val="18"/>
                <w:szCs w:val="18"/>
                <w:lang w:val="en-US" w:eastAsia="zh-CN"/>
              </w:rPr>
              <w:t>装订还原质量</w:t>
            </w:r>
          </w:p>
        </w:tc>
        <w:tc>
          <w:tcPr>
            <w:tcW w:w="1198" w:type="dxa"/>
            <w:vMerge w:val="continue"/>
            <w:tcBorders>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时效指标</w:t>
            </w: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Cs w:val="21"/>
                <w:lang w:val="en-US" w:eastAsia="zh-CN"/>
              </w:rPr>
            </w:pPr>
            <w:r>
              <w:rPr>
                <w:rFonts w:hint="eastAsia" w:eastAsia="仿宋_GB2312"/>
                <w:color w:val="000000"/>
                <w:kern w:val="0"/>
                <w:szCs w:val="21"/>
                <w:lang w:val="en-US" w:eastAsia="zh-CN"/>
              </w:rPr>
              <w:t>完成时间</w:t>
            </w: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12个月</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5个月</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成本指标</w:t>
            </w: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Cs w:val="21"/>
                <w:lang w:val="en-US" w:eastAsia="zh-CN"/>
              </w:rPr>
            </w:pPr>
            <w:r>
              <w:rPr>
                <w:rFonts w:hint="eastAsia" w:eastAsia="仿宋_GB2312"/>
                <w:color w:val="000000"/>
                <w:kern w:val="0"/>
                <w:szCs w:val="21"/>
                <w:lang w:val="en-US" w:eastAsia="zh-CN"/>
              </w:rPr>
              <w:t>扫描单价</w:t>
            </w:r>
          </w:p>
        </w:tc>
        <w:tc>
          <w:tcPr>
            <w:tcW w:w="1198" w:type="dxa"/>
            <w:tcBorders>
              <w:top w:val="single" w:color="auto" w:sz="4" w:space="0"/>
              <w:left w:val="nil"/>
              <w:bottom w:val="single" w:color="auto" w:sz="4" w:space="0"/>
              <w:right w:val="single" w:color="auto" w:sz="4" w:space="0"/>
            </w:tcBorders>
            <w:textDirection w:val="lrTb"/>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hint="eastAsia" w:eastAsia="仿宋_GB2312"/>
                <w:color w:val="000000"/>
                <w:kern w:val="0"/>
                <w:szCs w:val="21"/>
                <w:lang w:val="en-US" w:eastAsia="zh-CN"/>
              </w:rPr>
              <w:t>0.65元/页</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Cs w:val="21"/>
                <w:lang w:val="en-US" w:eastAsia="zh-CN"/>
              </w:rPr>
            </w:pPr>
          </w:p>
        </w:tc>
        <w:tc>
          <w:tcPr>
            <w:tcW w:w="1198" w:type="dxa"/>
            <w:tcBorders>
              <w:top w:val="single" w:color="auto" w:sz="4" w:space="0"/>
              <w:left w:val="nil"/>
              <w:bottom w:val="single" w:color="auto" w:sz="4" w:space="0"/>
              <w:right w:val="single" w:color="auto" w:sz="4" w:space="0"/>
            </w:tcBorders>
            <w:textDirection w:val="lrTb"/>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restart"/>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效益</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指标</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（30分）</w:t>
            </w:r>
          </w:p>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163" w:type="dxa"/>
            <w:gridSpan w:val="2"/>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经济效</w:t>
            </w:r>
          </w:p>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益指标</w:t>
            </w: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left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eastAsia="仿宋_GB2312"/>
                <w:color w:val="000000"/>
                <w:kern w:val="0"/>
                <w:szCs w:val="21"/>
              </w:rPr>
            </w:pP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left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restar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社会效</w:t>
            </w:r>
          </w:p>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益指标</w:t>
            </w: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 w:val="18"/>
                <w:szCs w:val="18"/>
                <w:lang w:eastAsia="zh-CN"/>
              </w:rPr>
            </w:pPr>
            <w:r>
              <w:rPr>
                <w:rFonts w:hint="eastAsia" w:eastAsia="仿宋_GB2312"/>
                <w:color w:val="000000"/>
                <w:kern w:val="0"/>
                <w:sz w:val="18"/>
                <w:szCs w:val="18"/>
                <w:lang w:eastAsia="zh-CN"/>
              </w:rPr>
              <w:t>提高查档效率</w:t>
            </w: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left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eastAsia="仿宋_GB2312"/>
                <w:color w:val="000000"/>
                <w:kern w:val="0"/>
                <w:szCs w:val="21"/>
              </w:rPr>
            </w:pP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 w:val="18"/>
                <w:szCs w:val="18"/>
                <w:lang w:eastAsia="zh-CN"/>
              </w:rPr>
            </w:pP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left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生态效</w:t>
            </w:r>
          </w:p>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益指标</w:t>
            </w:r>
          </w:p>
        </w:tc>
        <w:tc>
          <w:tcPr>
            <w:tcW w:w="13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left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eastAsia="仿宋_GB2312"/>
                <w:color w:val="000000"/>
                <w:kern w:val="0"/>
                <w:szCs w:val="21"/>
              </w:rPr>
            </w:pPr>
          </w:p>
        </w:tc>
        <w:tc>
          <w:tcPr>
            <w:tcW w:w="132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p>
        </w:tc>
        <w:tc>
          <w:tcPr>
            <w:tcW w:w="992"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可持续影响指标</w:t>
            </w:r>
          </w:p>
        </w:tc>
        <w:tc>
          <w:tcPr>
            <w:tcW w:w="13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 w:val="18"/>
                <w:szCs w:val="18"/>
                <w:lang w:eastAsia="zh-CN"/>
              </w:rPr>
            </w:pPr>
            <w:r>
              <w:rPr>
                <w:rFonts w:hint="eastAsia" w:eastAsia="仿宋_GB2312"/>
                <w:color w:val="000000"/>
                <w:kern w:val="0"/>
                <w:sz w:val="18"/>
                <w:szCs w:val="18"/>
                <w:lang w:eastAsia="zh-CN"/>
              </w:rPr>
              <w:t>保护纸质档案</w:t>
            </w:r>
          </w:p>
        </w:tc>
        <w:tc>
          <w:tcPr>
            <w:tcW w:w="11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32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9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992" w:type="dxa"/>
            <w:vMerge w:val="restart"/>
            <w:tcBorders>
              <w:top w:val="nil"/>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满意度</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指标</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（10分）</w:t>
            </w:r>
          </w:p>
        </w:tc>
        <w:tc>
          <w:tcPr>
            <w:tcW w:w="1163" w:type="dxa"/>
            <w:gridSpan w:val="2"/>
            <w:vMerge w:val="restart"/>
            <w:tcBorders>
              <w:top w:val="nil"/>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仿宋_GB2312"/>
                <w:color w:val="000000"/>
                <w:kern w:val="0"/>
                <w:szCs w:val="21"/>
              </w:rPr>
            </w:pPr>
            <w:r>
              <w:rPr>
                <w:rFonts w:eastAsia="仿宋_GB2312"/>
                <w:color w:val="000000"/>
                <w:kern w:val="0"/>
                <w:szCs w:val="21"/>
              </w:rPr>
              <w:t>服务对象满意度指标</w:t>
            </w:r>
          </w:p>
        </w:tc>
        <w:tc>
          <w:tcPr>
            <w:tcW w:w="132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Cs w:val="21"/>
                <w:lang w:eastAsia="zh-CN"/>
              </w:rPr>
            </w:pPr>
            <w:r>
              <w:rPr>
                <w:rFonts w:hint="eastAsia" w:eastAsia="仿宋_GB2312"/>
                <w:color w:val="000000"/>
                <w:kern w:val="0"/>
                <w:szCs w:val="21"/>
                <w:lang w:eastAsia="zh-CN"/>
              </w:rPr>
              <w:t>群众满意率</w:t>
            </w:r>
          </w:p>
        </w:tc>
        <w:tc>
          <w:tcPr>
            <w:tcW w:w="119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Cs w:val="21"/>
                <w:lang w:eastAsia="zh-CN"/>
              </w:rPr>
            </w:pPr>
            <w:r>
              <w:rPr>
                <w:rFonts w:hint="eastAsia" w:eastAsia="仿宋_GB2312"/>
                <w:color w:val="000000"/>
                <w:kern w:val="0"/>
                <w:szCs w:val="21"/>
                <w:lang w:eastAsia="zh-CN"/>
              </w:rPr>
              <w:t>　≧</w:t>
            </w:r>
            <w:r>
              <w:rPr>
                <w:rFonts w:hint="eastAsia" w:eastAsia="仿宋_GB2312"/>
                <w:color w:val="000000"/>
                <w:kern w:val="0"/>
                <w:szCs w:val="21"/>
                <w:lang w:val="en-US" w:eastAsia="zh-CN"/>
              </w:rPr>
              <w:t>95%</w:t>
            </w:r>
          </w:p>
        </w:tc>
        <w:tc>
          <w:tcPr>
            <w:tcW w:w="10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eastAsia="仿宋_GB2312"/>
                <w:color w:val="000000"/>
                <w:kern w:val="0"/>
                <w:szCs w:val="21"/>
                <w:lang w:eastAsia="zh-CN"/>
              </w:rPr>
            </w:pPr>
            <w:r>
              <w:rPr>
                <w:rFonts w:hint="eastAsia" w:eastAsia="仿宋_GB2312"/>
                <w:color w:val="000000"/>
                <w:kern w:val="0"/>
                <w:szCs w:val="21"/>
                <w:lang w:eastAsia="zh-CN"/>
              </w:rPr>
              <w:t>　≧</w:t>
            </w:r>
            <w:r>
              <w:rPr>
                <w:rFonts w:hint="eastAsia" w:eastAsia="仿宋_GB2312"/>
                <w:color w:val="000000"/>
                <w:kern w:val="0"/>
                <w:szCs w:val="21"/>
                <w:lang w:val="en-US" w:eastAsia="zh-CN"/>
              </w:rPr>
              <w:t>95%</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20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20</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992" w:type="dxa"/>
            <w:vMerge w:val="continue"/>
            <w:tcBorders>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63" w:type="dxa"/>
            <w:gridSpan w:val="2"/>
            <w:vMerge w:val="continue"/>
            <w:tcBorders>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32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p>
        </w:tc>
        <w:tc>
          <w:tcPr>
            <w:tcW w:w="119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0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6880" w:type="dxa"/>
            <w:gridSpan w:val="7"/>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eastAsia="仿宋_GB2312"/>
                <w:color w:val="000000"/>
                <w:kern w:val="0"/>
                <w:szCs w:val="21"/>
              </w:rPr>
            </w:pPr>
            <w:r>
              <w:rPr>
                <w:rFonts w:eastAsia="仿宋_GB2312"/>
                <w:color w:val="000000"/>
                <w:kern w:val="0"/>
                <w:szCs w:val="21"/>
              </w:rPr>
              <w:t>　</w:t>
            </w:r>
          </w:p>
        </w:tc>
      </w:tr>
    </w:tbl>
    <w:p>
      <w:pPr>
        <w:keepNext w:val="0"/>
        <w:keepLines w:val="0"/>
        <w:pageBreakBefore w:val="0"/>
        <w:kinsoku/>
        <w:wordWrap/>
        <w:overflowPunct/>
        <w:topLinePunct w:val="0"/>
        <w:autoSpaceDE/>
        <w:autoSpaceDN/>
        <w:bidi w:val="0"/>
        <w:spacing w:before="120" w:beforeLines="50" w:line="580" w:lineRule="exact"/>
        <w:ind w:left="0" w:leftChars="0"/>
        <w:jc w:val="left"/>
        <w:textAlignment w:val="auto"/>
        <w:outlineLvl w:val="9"/>
      </w:pPr>
      <w:r>
        <w:rPr>
          <w:rFonts w:eastAsia="仿宋_GB2312"/>
          <w:sz w:val="24"/>
        </w:rPr>
        <w:t>填表人：</w:t>
      </w:r>
      <w:r>
        <w:rPr>
          <w:rFonts w:hint="eastAsia" w:eastAsia="仿宋_GB2312"/>
          <w:sz w:val="24"/>
          <w:lang w:eastAsia="zh-CN"/>
        </w:rPr>
        <w:t>邹平华</w:t>
      </w:r>
      <w:r>
        <w:rPr>
          <w:rFonts w:eastAsia="仿宋_GB2312"/>
          <w:sz w:val="24"/>
        </w:rPr>
        <w:t xml:space="preserve"> 填报日期： </w:t>
      </w:r>
      <w:r>
        <w:rPr>
          <w:rFonts w:hint="eastAsia" w:eastAsia="仿宋_GB2312"/>
          <w:sz w:val="24"/>
          <w:lang w:val="en-US" w:eastAsia="zh-CN"/>
        </w:rPr>
        <w:t>2022.3.22</w:t>
      </w:r>
      <w:r>
        <w:rPr>
          <w:rFonts w:eastAsia="仿宋_GB2312"/>
          <w:sz w:val="24"/>
        </w:rPr>
        <w:t xml:space="preserve"> 联系电话：</w:t>
      </w:r>
      <w:r>
        <w:rPr>
          <w:rFonts w:hint="eastAsia" w:eastAsia="仿宋_GB2312"/>
          <w:sz w:val="24"/>
          <w:lang w:val="en-US" w:eastAsia="zh-CN"/>
        </w:rPr>
        <w:t>4203018</w:t>
      </w:r>
      <w:r>
        <w:rPr>
          <w:rFonts w:eastAsia="仿宋_GB2312"/>
          <w:sz w:val="24"/>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cript"/>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楷体_GB2312">
    <w:panose1 w:val="02010609030101010101"/>
    <w:charset w:val="86"/>
    <w:family w:val="roma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decorative"/>
    <w:pitch w:val="default"/>
    <w:sig w:usb0="E1002EFF" w:usb1="C000605B" w:usb2="00000029" w:usb3="00000000" w:csb0="200101FF" w:csb1="20280000"/>
  </w:font>
  <w:font w:name="Calibri Light">
    <w:panose1 w:val="020F0302020204030204"/>
    <w:charset w:val="00"/>
    <w:family w:val="decorative"/>
    <w:pitch w:val="default"/>
    <w:sig w:usb0="A00002EF" w:usb1="4000207B" w:usb2="00000000" w:usb3="00000000" w:csb0="2000019F" w:csb1="00000000"/>
  </w:font>
  <w:font w:name="黑体">
    <w:panose1 w:val="02010609060101010101"/>
    <w:charset w:val="86"/>
    <w:family w:val="decorative"/>
    <w:pitch w:val="default"/>
    <w:sig w:usb0="800002BF" w:usb1="38CF7CFA" w:usb2="00000016" w:usb3="00000000" w:csb0="00040001" w:csb1="00000000"/>
  </w:font>
  <w:font w:name="楷体_GB2312">
    <w:panose1 w:val="02010609030101010101"/>
    <w:charset w:val="86"/>
    <w:family w:val="swiss"/>
    <w:pitch w:val="default"/>
    <w:sig w:usb0="00000001" w:usb1="080E0000" w:usb2="00000000" w:usb3="00000000" w:csb0="00040000" w:csb1="00000000"/>
  </w:font>
  <w:font w:name="Tahoma">
    <w:panose1 w:val="020B0604030504040204"/>
    <w:charset w:val="00"/>
    <w:family w:val="roman"/>
    <w:pitch w:val="default"/>
    <w:sig w:usb0="E1002EFF" w:usb1="C000605B" w:usb2="00000029" w:usb3="00000000" w:csb0="200101FF" w:csb1="20280000"/>
  </w:font>
  <w:font w:name="Calibri Light">
    <w:panose1 w:val="020F0302020204030204"/>
    <w:charset w:val="00"/>
    <w:family w:val="roman"/>
    <w:pitch w:val="default"/>
    <w:sig w:usb0="A00002EF" w:usb1="4000207B" w:usb2="00000000" w:usb3="00000000" w:csb0="2000019F" w:csb1="00000000"/>
  </w:font>
  <w:font w:name="黑体">
    <w:panose1 w:val="02010609060101010101"/>
    <w:charset w:val="86"/>
    <w:family w:val="roman"/>
    <w:pitch w:val="default"/>
    <w:sig w:usb0="800002BF" w:usb1="38CF7CFA" w:usb2="00000016" w:usb3="00000000" w:csb0="00040001" w:csb1="00000000"/>
  </w:font>
  <w:font w:name="楷体_GB2312">
    <w:panose1 w:val="02010609030101010101"/>
    <w:charset w:val="86"/>
    <w:family w:val="decorative"/>
    <w:pitch w:val="default"/>
    <w:sig w:usb0="00000001" w:usb1="080E0000" w:usb2="00000000" w:usb3="00000000" w:csb0="00040000" w:csb1="00000000"/>
  </w:font>
  <w:font w:name="Tahoma">
    <w:panose1 w:val="020B0604030504040204"/>
    <w:charset w:val="00"/>
    <w:family w:val="modern"/>
    <w:pitch w:val="default"/>
    <w:sig w:usb0="E1002EFF" w:usb1="C000605B" w:usb2="00000029" w:usb3="00000000" w:csb0="200101FF" w:csb1="20280000"/>
  </w:font>
  <w:font w:name="Calibri Light">
    <w:panose1 w:val="020F0302020204030204"/>
    <w:charset w:val="00"/>
    <w:family w:val="modern"/>
    <w:pitch w:val="default"/>
    <w:sig w:usb0="A00002EF" w:usb1="4000207B" w:usb2="00000000" w:usb3="00000000" w:csb0="2000019F" w:csb1="00000000"/>
  </w:font>
  <w:font w:name="微软雅黑">
    <w:panose1 w:val="020B0503020204020204"/>
    <w:charset w:val="86"/>
    <w:family w:val="script"/>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A864054"/>
    <w:rsid w:val="0CFE4450"/>
    <w:rsid w:val="13C87223"/>
    <w:rsid w:val="14C10B1B"/>
    <w:rsid w:val="1FD93515"/>
    <w:rsid w:val="201F4440"/>
    <w:rsid w:val="305B5409"/>
    <w:rsid w:val="362167DA"/>
    <w:rsid w:val="3C343492"/>
    <w:rsid w:val="487D713D"/>
    <w:rsid w:val="4A8F20F1"/>
    <w:rsid w:val="58136AD4"/>
    <w:rsid w:val="7CE21EF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cp:lastPrinted>2022-03-22T08:28:51Z</cp:lastPrinted>
  <dcterms:modified xsi:type="dcterms:W3CDTF">2022-03-22T08:29:09Z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y fmtid="{D5CDD505-2E9C-101B-9397-08002B2CF9AE}" pid="3" name="ICV">
    <vt:lpwstr>C6CD5B2C6D5245CBB84BC4F80A5E1BC4</vt:lpwstr>
  </property>
</Properties>
</file>