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中共津市市纪委2021年度</w:t>
      </w:r>
      <w:r>
        <w:rPr>
          <w:rFonts w:hint="eastAsia" w:ascii="方正小标宋简体" w:hAnsi="方正小标宋简体" w:eastAsia="方正小标宋简体" w:cs="方正小标宋简体"/>
          <w:sz w:val="44"/>
          <w:szCs w:val="44"/>
        </w:rPr>
        <w:t>部门整体支出</w:t>
      </w: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绩效报告</w:t>
      </w:r>
    </w:p>
    <w:p>
      <w:pPr>
        <w:spacing w:line="600" w:lineRule="exact"/>
        <w:jc w:val="center"/>
        <w:rPr>
          <w:rFonts w:eastAsia="方正小标宋_GBK"/>
          <w:sz w:val="32"/>
          <w:szCs w:val="32"/>
        </w:rPr>
      </w:pPr>
    </w:p>
    <w:p>
      <w:pPr>
        <w:pStyle w:val="8"/>
        <w:widowControl/>
        <w:numPr>
          <w:ilvl w:val="0"/>
          <w:numId w:val="0"/>
        </w:numPr>
        <w:spacing w:line="600" w:lineRule="exact"/>
        <w:ind w:left="640" w:leftChars="0"/>
        <w:rPr>
          <w:rFonts w:ascii="Times New Roman" w:hAnsi="Times New Roman" w:eastAsia="黑体"/>
          <w:sz w:val="32"/>
          <w:szCs w:val="32"/>
        </w:rPr>
      </w:pPr>
      <w:r>
        <w:rPr>
          <w:rFonts w:hint="eastAsia" w:ascii="Times New Roman" w:hAnsi="Times New Roman" w:eastAsia="黑体"/>
          <w:sz w:val="32"/>
          <w:szCs w:val="32"/>
          <w:lang w:eastAsia="zh-CN"/>
        </w:rPr>
        <w:t>一、</w:t>
      </w:r>
      <w:r>
        <w:rPr>
          <w:rFonts w:ascii="Times New Roman" w:hAnsi="Times New Roman" w:eastAsia="黑体"/>
          <w:sz w:val="32"/>
          <w:szCs w:val="32"/>
        </w:rPr>
        <w:t>部门、单位基本情况</w:t>
      </w:r>
    </w:p>
    <w:p>
      <w:pPr>
        <w:pStyle w:val="3"/>
        <w:adjustRightInd w:val="0"/>
        <w:snapToGrid w:val="0"/>
        <w:spacing w:before="0" w:line="600" w:lineRule="exact"/>
        <w:ind w:left="0" w:firstLine="611" w:firstLineChars="200"/>
        <w:jc w:val="both"/>
        <w:rPr>
          <w:rFonts w:ascii="仿宋_GB2312" w:hAnsi="仿宋_GB2312" w:eastAsia="仿宋_GB2312" w:cs="仿宋_GB2312"/>
          <w:w w:val="95"/>
        </w:rPr>
      </w:pPr>
      <w:r>
        <w:rPr>
          <w:rFonts w:hint="eastAsia" w:ascii="仿宋_GB2312" w:hAnsi="仿宋_GB2312" w:eastAsia="仿宋_GB2312" w:cs="仿宋_GB2312"/>
          <w:w w:val="95"/>
        </w:rPr>
        <w:t>（一）职能职责。</w:t>
      </w:r>
    </w:p>
    <w:p>
      <w:pPr>
        <w:pStyle w:val="3"/>
        <w:adjustRightInd w:val="0"/>
        <w:snapToGrid w:val="0"/>
        <w:spacing w:before="0" w:line="600" w:lineRule="exact"/>
        <w:ind w:left="0" w:firstLine="640" w:firstLineChars="200"/>
        <w:jc w:val="both"/>
        <w:rPr>
          <w:rFonts w:hint="eastAsia" w:ascii="仿宋_GB2312" w:hAnsi="仿宋_GB2312" w:eastAsia="仿宋_GB2312" w:cs="仿宋_GB2312"/>
          <w:b w:val="0"/>
          <w:bCs w:val="0"/>
        </w:rPr>
      </w:pPr>
      <w:r>
        <w:rPr>
          <w:rFonts w:hint="eastAsia" w:ascii="仿宋_GB2312" w:hAnsi="仿宋_GB2312" w:eastAsia="仿宋_GB2312" w:cs="仿宋_GB2312"/>
          <w:b w:val="0"/>
          <w:bCs w:val="0"/>
        </w:rPr>
        <w:t xml:space="preserve"> 津市纪委、津市监察委是党统一领导下的反腐败工作机构，履行纪检、监察两项职责，实行一套工作机构、两个机关名称，共同设立内设机构。</w:t>
      </w:r>
    </w:p>
    <w:p>
      <w:pPr>
        <w:pStyle w:val="3"/>
        <w:adjustRightInd w:val="0"/>
        <w:snapToGrid w:val="0"/>
        <w:spacing w:before="0" w:line="600" w:lineRule="exact"/>
        <w:ind w:left="0" w:firstLine="640" w:firstLineChars="200"/>
        <w:jc w:val="both"/>
      </w:pPr>
      <w:r>
        <w:rPr>
          <w:rFonts w:hint="eastAsia" w:ascii="仿宋_GB2312" w:hAnsi="仿宋_GB2312" w:eastAsia="仿宋_GB2312" w:cs="仿宋_GB2312"/>
          <w:b w:val="0"/>
          <w:bCs w:val="0"/>
        </w:rPr>
        <w:t>⑴贯彻落实中央、中央纪委，省委、省纪委，</w:t>
      </w:r>
      <w:r>
        <w:rPr>
          <w:rFonts w:hint="eastAsia" w:ascii="仿宋_GB2312" w:hAnsi="仿宋_GB2312" w:eastAsia="仿宋_GB2312" w:cs="仿宋_GB2312"/>
          <w:b w:val="0"/>
          <w:bCs w:val="0"/>
          <w:lang w:eastAsia="zh-CN"/>
        </w:rPr>
        <w:t>常德</w:t>
      </w:r>
      <w:r>
        <w:rPr>
          <w:rFonts w:hint="eastAsia" w:ascii="仿宋_GB2312" w:hAnsi="仿宋_GB2312" w:eastAsia="仿宋_GB2312" w:cs="仿宋_GB2312"/>
          <w:b w:val="0"/>
          <w:bCs w:val="0"/>
        </w:rPr>
        <w:t>市委、市纪委和</w:t>
      </w:r>
      <w:r>
        <w:rPr>
          <w:rFonts w:hint="eastAsia" w:ascii="仿宋_GB2312" w:hAnsi="仿宋_GB2312" w:eastAsia="仿宋_GB2312" w:cs="仿宋_GB2312"/>
          <w:b w:val="0"/>
          <w:bCs w:val="0"/>
          <w:lang w:eastAsia="zh-CN"/>
        </w:rPr>
        <w:t>津市市</w:t>
      </w:r>
      <w:r>
        <w:rPr>
          <w:rFonts w:hint="eastAsia" w:ascii="仿宋_GB2312" w:hAnsi="仿宋_GB2312" w:eastAsia="仿宋_GB2312" w:cs="仿宋_GB2312"/>
          <w:b w:val="0"/>
          <w:bCs w:val="0"/>
        </w:rPr>
        <w:t>委加强党风廉政建设和党纪检查的指示、决定，领导</w:t>
      </w:r>
      <w:r>
        <w:rPr>
          <w:rFonts w:hint="eastAsia" w:ascii="仿宋_GB2312" w:hAnsi="仿宋_GB2312" w:eastAsia="仿宋_GB2312" w:cs="仿宋_GB2312"/>
          <w:b w:val="0"/>
          <w:bCs w:val="0"/>
          <w:lang w:eastAsia="zh-CN"/>
        </w:rPr>
        <w:t>全市</w:t>
      </w:r>
      <w:r>
        <w:rPr>
          <w:rFonts w:hint="eastAsia" w:ascii="仿宋_GB2312" w:hAnsi="仿宋_GB2312" w:eastAsia="仿宋_GB2312" w:cs="仿宋_GB2312"/>
          <w:b w:val="0"/>
          <w:bCs w:val="0"/>
        </w:rPr>
        <w:t>和中央、省、市在</w:t>
      </w:r>
      <w:r>
        <w:rPr>
          <w:rFonts w:hint="eastAsia" w:ascii="仿宋_GB2312" w:hAnsi="仿宋_GB2312" w:eastAsia="仿宋_GB2312" w:cs="仿宋_GB2312"/>
          <w:b w:val="0"/>
          <w:bCs w:val="0"/>
          <w:lang w:eastAsia="zh-CN"/>
        </w:rPr>
        <w:t>市</w:t>
      </w:r>
      <w:r>
        <w:rPr>
          <w:rFonts w:hint="eastAsia" w:ascii="仿宋_GB2312" w:hAnsi="仿宋_GB2312" w:eastAsia="仿宋_GB2312" w:cs="仿宋_GB2312"/>
          <w:b w:val="0"/>
          <w:bCs w:val="0"/>
        </w:rPr>
        <w:t>单位党的纪律检查工作。⑵维护党的章程和其他重要规章制度，协助</w:t>
      </w:r>
      <w:r>
        <w:rPr>
          <w:rFonts w:hint="eastAsia" w:ascii="仿宋_GB2312" w:hAnsi="仿宋_GB2312" w:eastAsia="仿宋_GB2312" w:cs="仿宋_GB2312"/>
          <w:b w:val="0"/>
          <w:bCs w:val="0"/>
          <w:lang w:eastAsia="zh-CN"/>
        </w:rPr>
        <w:t>市委</w:t>
      </w:r>
      <w:r>
        <w:rPr>
          <w:rFonts w:hint="eastAsia" w:ascii="仿宋_GB2312" w:hAnsi="仿宋_GB2312" w:eastAsia="仿宋_GB2312" w:cs="仿宋_GB2312"/>
          <w:b w:val="0"/>
          <w:bCs w:val="0"/>
        </w:rPr>
        <w:t>整顿党风，检查党的路线、方针、政策和决议的执行情况，重点检查监督副科级党员领导干部执行党的路线、方针、政策和决议的情况以及思想作风等方面的情况。⑶负责对党员进行纪律教育，作出关于维护党纪的决定。⑷负责检查并处理全</w:t>
      </w:r>
      <w:r>
        <w:rPr>
          <w:rFonts w:hint="eastAsia" w:ascii="仿宋_GB2312" w:hAnsi="仿宋_GB2312" w:eastAsia="仿宋_GB2312" w:cs="仿宋_GB2312"/>
          <w:b w:val="0"/>
          <w:bCs w:val="0"/>
          <w:lang w:eastAsia="zh-CN"/>
        </w:rPr>
        <w:t>市</w:t>
      </w:r>
      <w:r>
        <w:rPr>
          <w:rFonts w:hint="eastAsia" w:ascii="仿宋_GB2312" w:hAnsi="仿宋_GB2312" w:eastAsia="仿宋_GB2312" w:cs="仿宋_GB2312"/>
          <w:b w:val="0"/>
          <w:bCs w:val="0"/>
        </w:rPr>
        <w:t>各级党组织和党员违反党章、党纪和国家法律、法规的重要或复杂的案件，按照有关规定决定或取消对这些案件中的党员的处分；受理党员的控告和申诉，保护党员的民主权利和合法权益。⑸协助</w:t>
      </w:r>
      <w:r>
        <w:rPr>
          <w:rFonts w:hint="eastAsia" w:ascii="仿宋_GB2312" w:hAnsi="仿宋_GB2312" w:eastAsia="仿宋_GB2312" w:cs="仿宋_GB2312"/>
          <w:b w:val="0"/>
          <w:bCs w:val="0"/>
          <w:lang w:eastAsia="zh-CN"/>
        </w:rPr>
        <w:t>全市</w:t>
      </w:r>
      <w:r>
        <w:rPr>
          <w:rFonts w:hint="eastAsia" w:ascii="仿宋_GB2312" w:hAnsi="仿宋_GB2312" w:eastAsia="仿宋_GB2312" w:cs="仿宋_GB2312"/>
          <w:b w:val="0"/>
          <w:bCs w:val="0"/>
        </w:rPr>
        <w:t>组织、协调、指导各执法、执纪、监管部门开展反腐败斗争。⑹调查各级党组织和党员遵纪守法情况，研究党风党纪问题，建立健全党风法规、制度。⑺按承办市纪委、</w:t>
      </w:r>
      <w:r>
        <w:rPr>
          <w:rFonts w:hint="eastAsia" w:ascii="仿宋_GB2312" w:hAnsi="仿宋_GB2312" w:eastAsia="仿宋_GB2312" w:cs="仿宋_GB2312"/>
          <w:b w:val="0"/>
          <w:bCs w:val="0"/>
          <w:lang w:eastAsia="zh-CN"/>
        </w:rPr>
        <w:t>市</w:t>
      </w:r>
      <w:r>
        <w:rPr>
          <w:rFonts w:hint="eastAsia" w:ascii="仿宋_GB2312" w:hAnsi="仿宋_GB2312" w:eastAsia="仿宋_GB2312" w:cs="仿宋_GB2312"/>
          <w:b w:val="0"/>
          <w:bCs w:val="0"/>
        </w:rPr>
        <w:t>委授权或交办的其他工作。⑻维护宪法和法律法规权威；依法监察公职人员行使公权力情况，调查职务违法和职务犯罪；开展廉政建设和反腐败工作。⑼监察委员会履行监督、调查、处置职责。监督：对公职人员开展廉政教育，对其依法履职、秉公用权、廉洁从政从业以及道德操守情况进行监督检查。调查：对涉嫌贪污贿赂、滥用职权、玩忽职守、权力寻租、利益输送、徇私舞弊以及浪费国家资财等职务违法和职务犯罪进行调查。处置：对违法的公职人员依法作出政务处分决定，对履行职责不力、失职失责的领导人员进行问责，对涉嫌职务犯罪的将调查结果移送检察机关依法提起公诉，对在行使职权中存在的问题提出监察建议。</w:t>
      </w:r>
    </w:p>
    <w:p>
      <w:pPr>
        <w:pStyle w:val="3"/>
        <w:numPr>
          <w:ilvl w:val="0"/>
          <w:numId w:val="1"/>
        </w:numPr>
        <w:adjustRightInd w:val="0"/>
        <w:snapToGrid w:val="0"/>
        <w:spacing w:before="0" w:line="600" w:lineRule="exact"/>
        <w:ind w:left="0" w:firstLine="643" w:firstLineChars="200"/>
        <w:jc w:val="both"/>
        <w:rPr>
          <w:rFonts w:ascii="仿宋_GB2312" w:hAnsi="仿宋_GB2312" w:eastAsia="仿宋_GB2312" w:cs="仿宋_GB2312"/>
        </w:rPr>
      </w:pPr>
      <w:r>
        <w:rPr>
          <w:rFonts w:hint="eastAsia" w:ascii="仿宋_GB2312" w:hAnsi="仿宋_GB2312" w:eastAsia="仿宋_GB2312" w:cs="仿宋_GB2312"/>
        </w:rPr>
        <w:t>机构设置。</w:t>
      </w:r>
    </w:p>
    <w:p>
      <w:pPr>
        <w:pStyle w:val="3"/>
        <w:adjustRightInd w:val="0"/>
        <w:snapToGrid w:val="0"/>
        <w:spacing w:before="0" w:line="600" w:lineRule="exact"/>
        <w:ind w:left="0" w:firstLine="640" w:firstLineChars="200"/>
        <w:jc w:val="both"/>
        <w:rPr>
          <w:rFonts w:ascii="Times New Roman" w:hAnsi="Times New Roman" w:eastAsia="黑体"/>
          <w:sz w:val="32"/>
          <w:szCs w:val="32"/>
        </w:rPr>
      </w:pPr>
      <w:r>
        <w:rPr>
          <w:rFonts w:hint="eastAsia" w:ascii="仿宋_GB2312" w:hAnsi="仿宋_GB2312" w:eastAsia="仿宋_GB2312" w:cs="仿宋_GB2312"/>
          <w:b w:val="0"/>
          <w:bCs w:val="0"/>
        </w:rPr>
        <w:t>从预算单位构成看，我单位部门预算包括纪委监委本级预算，下设办公室、党风政风监督室、信访室、组宣部、干部监督室，第一纪检监察室、第二纪检监察室、第三纪检监察室、第四纪检监察室、第五纪检监察室、案件审理室、案件监督管理室12个科室及市委办纪检监察组、政府办纪检监查察组、市发改局纪检监察组、市教育局纪检监察组、市公安局纪检监察组、市财政局纪检监察组、市人社局纪检监察组、市住建局纪检监察组、市农业农村局纪检监察组、市卫计局纪检监察组10个派驻纪检组，下属事业单位津市市党风廉政教育中心，都未独立核算。</w:t>
      </w:r>
    </w:p>
    <w:p>
      <w:pPr>
        <w:pStyle w:val="8"/>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8"/>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ascii="Times New Roman" w:hAnsi="Times New Roman" w:eastAsia="黑体"/>
          <w:sz w:val="32"/>
          <w:szCs w:val="32"/>
        </w:rPr>
      </w:pPr>
      <w:r>
        <w:rPr>
          <w:rFonts w:hint="eastAsia" w:ascii="宋体" w:hAnsi="宋体" w:eastAsia="仿宋_GB2312" w:cs="宋体"/>
          <w:i w:val="0"/>
          <w:caps w:val="0"/>
          <w:color w:val="0F1214"/>
          <w:spacing w:val="0"/>
          <w:sz w:val="32"/>
          <w:szCs w:val="21"/>
          <w:shd w:val="clear" w:fill="FFFFFF"/>
          <w:lang w:val="en-US" w:eastAsia="zh-CN"/>
        </w:rPr>
        <w:t>2021年一般公共预算收入1112.54万元，其中基本支出1028.54万元，项目支出84.00万元。2021年</w:t>
      </w:r>
      <w:r>
        <w:rPr>
          <w:rFonts w:hint="eastAsia" w:ascii="宋体" w:hAnsi="宋体" w:eastAsia="仿宋_GB2312" w:cs="宋体"/>
          <w:i w:val="0"/>
          <w:caps w:val="0"/>
          <w:color w:val="0F1214"/>
          <w:spacing w:val="0"/>
          <w:sz w:val="32"/>
          <w:szCs w:val="21"/>
          <w:shd w:val="clear" w:fill="FFFFFF"/>
        </w:rPr>
        <w:t>一般公共基本支出</w:t>
      </w:r>
      <w:r>
        <w:rPr>
          <w:rFonts w:hint="eastAsia" w:ascii="宋体" w:hAnsi="宋体" w:eastAsia="仿宋_GB2312" w:cs="宋体"/>
          <w:i w:val="0"/>
          <w:caps w:val="0"/>
          <w:color w:val="0F1214"/>
          <w:spacing w:val="0"/>
          <w:sz w:val="32"/>
          <w:szCs w:val="21"/>
          <w:shd w:val="clear" w:fill="FFFFFF"/>
          <w:lang w:val="en-US" w:eastAsia="zh-CN"/>
        </w:rPr>
        <w:t>1388.32</w:t>
      </w:r>
      <w:r>
        <w:rPr>
          <w:rFonts w:hint="eastAsia" w:ascii="宋体" w:hAnsi="宋体" w:eastAsia="仿宋_GB2312" w:cs="宋体"/>
          <w:i w:val="0"/>
          <w:caps w:val="0"/>
          <w:color w:val="0F1214"/>
          <w:spacing w:val="0"/>
          <w:sz w:val="32"/>
          <w:szCs w:val="21"/>
          <w:shd w:val="clear" w:fill="FFFFFF"/>
        </w:rPr>
        <w:t>万元，其中人员经费</w:t>
      </w:r>
      <w:r>
        <w:rPr>
          <w:rFonts w:hint="eastAsia" w:ascii="宋体" w:hAnsi="宋体" w:eastAsia="仿宋_GB2312" w:cs="宋体"/>
          <w:i w:val="0"/>
          <w:caps w:val="0"/>
          <w:color w:val="0F1214"/>
          <w:spacing w:val="0"/>
          <w:sz w:val="32"/>
          <w:szCs w:val="21"/>
          <w:shd w:val="clear" w:fill="FFFFFF"/>
          <w:lang w:val="en-US" w:eastAsia="zh-CN"/>
        </w:rPr>
        <w:t>945.66</w:t>
      </w:r>
      <w:r>
        <w:rPr>
          <w:rFonts w:hint="eastAsia" w:ascii="宋体" w:hAnsi="宋体" w:eastAsia="仿宋_GB2312" w:cs="宋体"/>
          <w:i w:val="0"/>
          <w:caps w:val="0"/>
          <w:color w:val="0F1214"/>
          <w:spacing w:val="0"/>
          <w:sz w:val="32"/>
          <w:szCs w:val="21"/>
          <w:shd w:val="clear" w:fill="FFFFFF"/>
        </w:rPr>
        <w:t>万元，</w:t>
      </w:r>
      <w:r>
        <w:rPr>
          <w:rFonts w:hint="eastAsia" w:ascii="宋体" w:hAnsi="宋体" w:eastAsia="仿宋_GB2312" w:cs="宋体"/>
          <w:i w:val="0"/>
          <w:caps w:val="0"/>
          <w:color w:val="0F1214"/>
          <w:spacing w:val="0"/>
          <w:sz w:val="32"/>
          <w:szCs w:val="21"/>
          <w:shd w:val="clear" w:fill="FFFFFF"/>
          <w:lang w:eastAsia="zh-CN"/>
        </w:rPr>
        <w:t>全部为</w:t>
      </w:r>
      <w:r>
        <w:rPr>
          <w:rFonts w:hint="eastAsia" w:ascii="宋体" w:hAnsi="宋体" w:eastAsia="仿宋_GB2312" w:cs="宋体"/>
          <w:i w:val="0"/>
          <w:caps w:val="0"/>
          <w:color w:val="0F1214"/>
          <w:spacing w:val="0"/>
          <w:sz w:val="32"/>
          <w:szCs w:val="21"/>
          <w:shd w:val="clear" w:fill="FFFFFF"/>
        </w:rPr>
        <w:t>工资福利支出</w:t>
      </w:r>
      <w:r>
        <w:rPr>
          <w:rFonts w:hint="eastAsia" w:ascii="宋体" w:hAnsi="宋体" w:eastAsia="仿宋_GB2312" w:cs="宋体"/>
          <w:i w:val="0"/>
          <w:caps w:val="0"/>
          <w:color w:val="0F1214"/>
          <w:spacing w:val="0"/>
          <w:sz w:val="32"/>
          <w:szCs w:val="21"/>
          <w:shd w:val="clear" w:fill="FFFFFF"/>
          <w:lang w:val="en-US" w:eastAsia="zh-CN"/>
        </w:rPr>
        <w:t>945.66</w:t>
      </w:r>
      <w:r>
        <w:rPr>
          <w:rFonts w:hint="eastAsia" w:ascii="宋体" w:hAnsi="宋体" w:eastAsia="仿宋_GB2312" w:cs="宋体"/>
          <w:i w:val="0"/>
          <w:caps w:val="0"/>
          <w:color w:val="0F1214"/>
          <w:spacing w:val="0"/>
          <w:sz w:val="32"/>
          <w:szCs w:val="21"/>
          <w:shd w:val="clear" w:fill="FFFFFF"/>
        </w:rPr>
        <w:t>万元;日常公用经费</w:t>
      </w:r>
      <w:r>
        <w:rPr>
          <w:rFonts w:hint="eastAsia" w:ascii="宋体" w:hAnsi="宋体" w:eastAsia="仿宋_GB2312" w:cs="宋体"/>
          <w:i w:val="0"/>
          <w:caps w:val="0"/>
          <w:color w:val="0F1214"/>
          <w:spacing w:val="0"/>
          <w:sz w:val="32"/>
          <w:szCs w:val="21"/>
          <w:shd w:val="clear" w:fill="FFFFFF"/>
          <w:lang w:val="en-US" w:eastAsia="zh-CN"/>
        </w:rPr>
        <w:t>442.65</w:t>
      </w:r>
      <w:r>
        <w:rPr>
          <w:rFonts w:hint="eastAsia" w:ascii="宋体" w:hAnsi="宋体" w:eastAsia="仿宋_GB2312" w:cs="宋体"/>
          <w:i w:val="0"/>
          <w:caps w:val="0"/>
          <w:color w:val="0F1214"/>
          <w:spacing w:val="0"/>
          <w:sz w:val="32"/>
          <w:szCs w:val="21"/>
          <w:shd w:val="clear" w:fill="FFFFFF"/>
        </w:rPr>
        <w:t>万元，</w:t>
      </w:r>
      <w:r>
        <w:rPr>
          <w:rFonts w:hint="eastAsia" w:ascii="宋体" w:hAnsi="宋体" w:eastAsia="仿宋_GB2312" w:cs="宋体"/>
          <w:i w:val="0"/>
          <w:caps w:val="0"/>
          <w:color w:val="0F1214"/>
          <w:spacing w:val="0"/>
          <w:sz w:val="32"/>
          <w:szCs w:val="21"/>
          <w:shd w:val="clear" w:fill="FFFFFF"/>
          <w:lang w:eastAsia="zh-CN"/>
        </w:rPr>
        <w:t>包括</w:t>
      </w:r>
      <w:r>
        <w:rPr>
          <w:rFonts w:hint="eastAsia" w:ascii="宋体" w:hAnsi="宋体" w:eastAsia="仿宋_GB2312" w:cs="宋体"/>
          <w:i w:val="0"/>
          <w:caps w:val="0"/>
          <w:color w:val="0F1214"/>
          <w:spacing w:val="0"/>
          <w:sz w:val="32"/>
          <w:szCs w:val="21"/>
          <w:shd w:val="clear" w:fill="FFFFFF"/>
        </w:rPr>
        <w:t>商品和服务支出</w:t>
      </w:r>
      <w:r>
        <w:rPr>
          <w:rFonts w:hint="eastAsia" w:ascii="宋体" w:hAnsi="宋体" w:eastAsia="仿宋_GB2312" w:cs="宋体"/>
          <w:i w:val="0"/>
          <w:caps w:val="0"/>
          <w:color w:val="0F1214"/>
          <w:spacing w:val="0"/>
          <w:sz w:val="32"/>
          <w:szCs w:val="21"/>
          <w:shd w:val="clear" w:fill="FFFFFF"/>
          <w:lang w:val="en-US" w:eastAsia="zh-CN"/>
        </w:rPr>
        <w:t>372.38万元，资本性支出70.27万元</w:t>
      </w:r>
      <w:r>
        <w:rPr>
          <w:rFonts w:hint="eastAsia" w:ascii="宋体" w:hAnsi="宋体" w:eastAsia="仿宋_GB2312" w:cs="宋体"/>
          <w:i w:val="0"/>
          <w:caps w:val="0"/>
          <w:color w:val="0F1214"/>
          <w:spacing w:val="0"/>
          <w:sz w:val="32"/>
          <w:szCs w:val="21"/>
          <w:shd w:val="clear" w:fill="FFFFFF"/>
        </w:rPr>
        <w:t>。基本支出比</w:t>
      </w:r>
      <w:r>
        <w:rPr>
          <w:rFonts w:hint="eastAsia" w:ascii="宋体" w:hAnsi="宋体" w:eastAsia="仿宋_GB2312" w:cs="宋体"/>
          <w:i w:val="0"/>
          <w:caps w:val="0"/>
          <w:color w:val="0F1214"/>
          <w:spacing w:val="0"/>
          <w:sz w:val="32"/>
          <w:szCs w:val="21"/>
          <w:shd w:val="clear" w:fill="FFFFFF"/>
          <w:lang w:eastAsia="zh-CN"/>
        </w:rPr>
        <w:t>预算</w:t>
      </w:r>
      <w:r>
        <w:rPr>
          <w:rFonts w:hint="eastAsia" w:ascii="宋体" w:hAnsi="宋体" w:eastAsia="仿宋_GB2312" w:cs="宋体"/>
          <w:i w:val="0"/>
          <w:caps w:val="0"/>
          <w:color w:val="0F1214"/>
          <w:spacing w:val="0"/>
          <w:sz w:val="32"/>
          <w:szCs w:val="21"/>
          <w:shd w:val="clear" w:fill="FFFFFF"/>
        </w:rPr>
        <w:t>增加</w:t>
      </w:r>
      <w:r>
        <w:rPr>
          <w:rFonts w:hint="eastAsia" w:ascii="宋体" w:hAnsi="宋体" w:eastAsia="仿宋_GB2312" w:cs="宋体"/>
          <w:i w:val="0"/>
          <w:caps w:val="0"/>
          <w:color w:val="0F1214"/>
          <w:spacing w:val="0"/>
          <w:sz w:val="32"/>
          <w:szCs w:val="21"/>
          <w:shd w:val="clear" w:fill="FFFFFF"/>
          <w:lang w:val="en-US" w:eastAsia="zh-CN"/>
        </w:rPr>
        <w:t>359.78</w:t>
      </w:r>
      <w:r>
        <w:rPr>
          <w:rFonts w:hint="eastAsia" w:ascii="宋体" w:hAnsi="宋体" w:eastAsia="仿宋_GB2312" w:cs="宋体"/>
          <w:i w:val="0"/>
          <w:caps w:val="0"/>
          <w:color w:val="0F1214"/>
          <w:spacing w:val="0"/>
          <w:sz w:val="32"/>
          <w:szCs w:val="21"/>
          <w:shd w:val="clear" w:fill="FFFFFF"/>
        </w:rPr>
        <w:t>万元，上升</w:t>
      </w:r>
      <w:r>
        <w:rPr>
          <w:rFonts w:hint="eastAsia" w:ascii="宋体" w:hAnsi="宋体" w:eastAsia="仿宋_GB2312" w:cs="宋体"/>
          <w:i w:val="0"/>
          <w:caps w:val="0"/>
          <w:color w:val="0F1214"/>
          <w:spacing w:val="0"/>
          <w:sz w:val="32"/>
          <w:szCs w:val="21"/>
          <w:shd w:val="clear" w:fill="FFFFFF"/>
          <w:lang w:val="en-US" w:eastAsia="zh-CN"/>
        </w:rPr>
        <w:t>25.91</w:t>
      </w:r>
      <w:r>
        <w:rPr>
          <w:rFonts w:hint="eastAsia" w:ascii="宋体" w:hAnsi="宋体" w:eastAsia="仿宋_GB2312" w:cs="宋体"/>
          <w:i w:val="0"/>
          <w:caps w:val="0"/>
          <w:color w:val="0F1214"/>
          <w:spacing w:val="0"/>
          <w:sz w:val="32"/>
          <w:szCs w:val="21"/>
          <w:shd w:val="clear" w:fill="FFFFFF"/>
        </w:rPr>
        <w:t>%，主要是由于人员增加</w:t>
      </w:r>
      <w:r>
        <w:rPr>
          <w:rFonts w:hint="eastAsia" w:ascii="宋体" w:hAnsi="宋体" w:eastAsia="仿宋_GB2312" w:cs="宋体"/>
          <w:i w:val="0"/>
          <w:caps w:val="0"/>
          <w:color w:val="0F1214"/>
          <w:spacing w:val="0"/>
          <w:sz w:val="32"/>
          <w:szCs w:val="21"/>
          <w:shd w:val="clear" w:fill="FFFFFF"/>
          <w:lang w:eastAsia="zh-CN"/>
        </w:rPr>
        <w:t>，以及基本工资、津贴补贴、绩效、奖金标准提高</w:t>
      </w:r>
      <w:r>
        <w:rPr>
          <w:rFonts w:hint="eastAsia" w:ascii="宋体" w:hAnsi="宋体" w:eastAsia="仿宋_GB2312" w:cs="宋体"/>
          <w:i w:val="0"/>
          <w:caps w:val="0"/>
          <w:color w:val="0F1214"/>
          <w:spacing w:val="0"/>
          <w:sz w:val="32"/>
          <w:szCs w:val="21"/>
          <w:shd w:val="clear" w:fill="FFFFFF"/>
        </w:rPr>
        <w:t>。</w:t>
      </w:r>
    </w:p>
    <w:p>
      <w:pPr>
        <w:pStyle w:val="8"/>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微软雅黑" w:hAnsi="微软雅黑" w:eastAsia="仿宋_GB2312" w:cs="微软雅黑"/>
          <w:i w:val="0"/>
          <w:caps w:val="0"/>
          <w:color w:val="0F1214"/>
          <w:spacing w:val="0"/>
          <w:sz w:val="32"/>
          <w:szCs w:val="24"/>
        </w:rPr>
      </w:pPr>
      <w:r>
        <w:rPr>
          <w:rFonts w:hint="eastAsia" w:ascii="宋体" w:hAnsi="宋体" w:eastAsia="仿宋_GB2312" w:cs="宋体"/>
          <w:i w:val="0"/>
          <w:caps w:val="0"/>
          <w:color w:val="0F1214"/>
          <w:spacing w:val="0"/>
          <w:sz w:val="32"/>
          <w:szCs w:val="21"/>
          <w:shd w:val="clear" w:fill="FFFFFF"/>
        </w:rPr>
        <w:t>全年一般公共预算项目支出</w:t>
      </w:r>
      <w:r>
        <w:rPr>
          <w:rFonts w:hint="eastAsia" w:ascii="宋体" w:hAnsi="宋体" w:eastAsia="仿宋_GB2312" w:cs="宋体"/>
          <w:i w:val="0"/>
          <w:caps w:val="0"/>
          <w:color w:val="0F1214"/>
          <w:spacing w:val="0"/>
          <w:sz w:val="32"/>
          <w:szCs w:val="21"/>
          <w:shd w:val="clear" w:fill="FFFFFF"/>
          <w:lang w:val="en-US" w:eastAsia="zh-CN"/>
        </w:rPr>
        <w:t>84</w:t>
      </w:r>
      <w:r>
        <w:rPr>
          <w:rFonts w:hint="eastAsia" w:ascii="宋体" w:hAnsi="宋体" w:eastAsia="仿宋_GB2312" w:cs="宋体"/>
          <w:i w:val="0"/>
          <w:caps w:val="0"/>
          <w:color w:val="0F1214"/>
          <w:spacing w:val="0"/>
          <w:sz w:val="32"/>
          <w:szCs w:val="21"/>
          <w:shd w:val="clear" w:fill="FFFFFF"/>
        </w:rPr>
        <w:t>万元，其中商品和服务支出</w:t>
      </w:r>
      <w:r>
        <w:rPr>
          <w:rFonts w:hint="eastAsia" w:ascii="宋体" w:hAnsi="宋体" w:eastAsia="仿宋_GB2312" w:cs="宋体"/>
          <w:i w:val="0"/>
          <w:caps w:val="0"/>
          <w:color w:val="0F1214"/>
          <w:spacing w:val="0"/>
          <w:sz w:val="32"/>
          <w:szCs w:val="21"/>
          <w:shd w:val="clear" w:fill="FFFFFF"/>
          <w:lang w:val="en-US" w:eastAsia="zh-CN"/>
        </w:rPr>
        <w:t>84</w:t>
      </w:r>
      <w:r>
        <w:rPr>
          <w:rFonts w:hint="eastAsia" w:ascii="宋体" w:hAnsi="宋体" w:eastAsia="仿宋_GB2312" w:cs="宋体"/>
          <w:i w:val="0"/>
          <w:caps w:val="0"/>
          <w:color w:val="0F1214"/>
          <w:spacing w:val="0"/>
          <w:sz w:val="32"/>
          <w:szCs w:val="21"/>
          <w:shd w:val="clear" w:fill="FFFFFF"/>
        </w:rPr>
        <w:t>万元。项目支出比上年增加</w:t>
      </w:r>
      <w:r>
        <w:rPr>
          <w:rFonts w:hint="eastAsia" w:ascii="宋体" w:hAnsi="宋体" w:eastAsia="仿宋_GB2312" w:cs="宋体"/>
          <w:i w:val="0"/>
          <w:caps w:val="0"/>
          <w:color w:val="0F1214"/>
          <w:spacing w:val="0"/>
          <w:sz w:val="32"/>
          <w:szCs w:val="21"/>
          <w:shd w:val="clear" w:fill="FFFFFF"/>
          <w:lang w:val="en-US" w:eastAsia="zh-CN"/>
        </w:rPr>
        <w:t>0</w:t>
      </w:r>
      <w:r>
        <w:rPr>
          <w:rFonts w:hint="eastAsia" w:ascii="宋体" w:hAnsi="宋体" w:eastAsia="仿宋_GB2312" w:cs="宋体"/>
          <w:i w:val="0"/>
          <w:caps w:val="0"/>
          <w:color w:val="0F1214"/>
          <w:spacing w:val="0"/>
          <w:sz w:val="32"/>
          <w:szCs w:val="21"/>
          <w:shd w:val="clear" w:fill="FFFFFF"/>
        </w:rPr>
        <w:t>万元，主要是由于</w:t>
      </w:r>
      <w:r>
        <w:rPr>
          <w:rFonts w:hint="eastAsia" w:ascii="宋体" w:hAnsi="宋体" w:eastAsia="仿宋_GB2312" w:cs="宋体"/>
          <w:i w:val="0"/>
          <w:caps w:val="0"/>
          <w:color w:val="0F1214"/>
          <w:spacing w:val="0"/>
          <w:sz w:val="32"/>
          <w:szCs w:val="21"/>
          <w:shd w:val="clear" w:fill="FFFFFF"/>
          <w:lang w:eastAsia="zh-CN"/>
        </w:rPr>
        <w:t>纪委监委业务工作经费、派驻纪检组工作经费、专项整治工作经费组成</w:t>
      </w:r>
      <w:r>
        <w:rPr>
          <w:rFonts w:hint="eastAsia" w:ascii="宋体" w:hAnsi="宋体" w:eastAsia="仿宋_GB2312" w:cs="宋体"/>
          <w:i w:val="0"/>
          <w:caps w:val="0"/>
          <w:color w:val="0F1214"/>
          <w:spacing w:val="0"/>
          <w:sz w:val="32"/>
          <w:szCs w:val="21"/>
          <w:shd w:val="clear" w:fill="FFFFFF"/>
        </w:rPr>
        <w:t>。</w:t>
      </w:r>
    </w:p>
    <w:p>
      <w:pPr>
        <w:pStyle w:val="8"/>
        <w:widowControl/>
        <w:numPr>
          <w:ilvl w:val="0"/>
          <w:numId w:val="0"/>
        </w:numPr>
        <w:spacing w:line="600" w:lineRule="exact"/>
        <w:ind w:left="640" w:leftChars="0"/>
        <w:jc w:val="left"/>
        <w:rPr>
          <w:rFonts w:ascii="Times New Roman" w:hAnsi="Times New Roman" w:eastAsia="黑体"/>
          <w:sz w:val="32"/>
          <w:szCs w:val="32"/>
        </w:rPr>
      </w:pPr>
      <w:r>
        <w:rPr>
          <w:rFonts w:hint="eastAsia" w:ascii="Times New Roman" w:hAnsi="Times New Roman" w:eastAsia="黑体"/>
          <w:sz w:val="32"/>
          <w:szCs w:val="32"/>
          <w:lang w:eastAsia="zh-CN"/>
        </w:rPr>
        <w:t>三、</w:t>
      </w:r>
      <w:r>
        <w:rPr>
          <w:rFonts w:ascii="Times New Roman" w:hAnsi="Times New Roman" w:eastAsia="黑体"/>
          <w:sz w:val="32"/>
          <w:szCs w:val="32"/>
        </w:rPr>
        <w:t>政府性基金预算支出情况</w:t>
      </w:r>
    </w:p>
    <w:p>
      <w:pPr>
        <w:widowControl/>
        <w:spacing w:line="600" w:lineRule="exact"/>
        <w:ind w:firstLine="640" w:firstLineChars="200"/>
        <w:jc w:val="left"/>
        <w:rPr>
          <w:rFonts w:hint="eastAsia" w:eastAsia="仿宋_GB2312"/>
          <w:sz w:val="32"/>
          <w:szCs w:val="32"/>
          <w:lang w:eastAsia="zh-CN"/>
        </w:rPr>
      </w:pPr>
      <w:r>
        <w:rPr>
          <w:rFonts w:hint="eastAsia" w:eastAsia="仿宋_GB2312"/>
          <w:sz w:val="32"/>
          <w:szCs w:val="32"/>
          <w:lang w:eastAsia="zh-CN"/>
        </w:rPr>
        <w:t>本部门无政府基金预算支出。</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widowControl/>
        <w:spacing w:line="600" w:lineRule="exact"/>
        <w:ind w:firstLine="645"/>
        <w:jc w:val="left"/>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w:t>
      </w:r>
      <w:r>
        <w:rPr>
          <w:rFonts w:hint="eastAsia" w:ascii="楷体_GB2312" w:hAnsi="楷体_GB2312" w:eastAsia="楷体_GB2312" w:cs="楷体_GB2312"/>
          <w:color w:val="000000"/>
          <w:sz w:val="32"/>
          <w:szCs w:val="32"/>
          <w:lang w:eastAsia="zh-CN"/>
        </w:rPr>
        <w:t>一</w:t>
      </w:r>
      <w:r>
        <w:rPr>
          <w:rFonts w:hint="eastAsia" w:ascii="楷体_GB2312" w:hAnsi="楷体_GB2312" w:eastAsia="楷体_GB2312" w:cs="楷体_GB2312"/>
          <w:color w:val="000000"/>
          <w:sz w:val="32"/>
          <w:szCs w:val="32"/>
        </w:rPr>
        <w:t>）部门整体支出或项目实施情况分析：</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根据年初项目绩效目标，参照市纪律检查委员会和财政部门的专项经费管理使用要求和相应项目实施方案要求进行收支和管理，做到专款专用，投入到位，发挥效益。</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为保证财政安排给我</w:t>
      </w:r>
      <w:r>
        <w:rPr>
          <w:rFonts w:hint="eastAsia" w:eastAsia="仿宋_GB2312"/>
          <w:color w:val="000000"/>
          <w:sz w:val="32"/>
          <w:szCs w:val="32"/>
          <w:lang w:eastAsia="zh-CN"/>
        </w:rPr>
        <w:t>部门</w:t>
      </w:r>
      <w:r>
        <w:rPr>
          <w:rFonts w:hint="eastAsia" w:eastAsia="仿宋_GB2312"/>
          <w:color w:val="000000"/>
          <w:sz w:val="32"/>
          <w:szCs w:val="32"/>
        </w:rPr>
        <w:t>的项目能够扎实有效实施，经费支出均按照中央“八项规定”要求，严格审批，手续齐全，合法合规，项目支出完全符合国家财经法规和财务管理制度。</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我</w:t>
      </w:r>
      <w:r>
        <w:rPr>
          <w:rFonts w:hint="eastAsia" w:eastAsia="仿宋_GB2312"/>
          <w:color w:val="000000"/>
          <w:sz w:val="32"/>
          <w:szCs w:val="32"/>
          <w:lang w:eastAsia="zh-CN"/>
        </w:rPr>
        <w:t>部门</w:t>
      </w:r>
      <w:r>
        <w:rPr>
          <w:rFonts w:hint="eastAsia" w:eastAsia="仿宋_GB2312"/>
          <w:color w:val="000000"/>
          <w:sz w:val="32"/>
          <w:szCs w:val="32"/>
        </w:rPr>
        <w:t>的</w:t>
      </w:r>
      <w:r>
        <w:rPr>
          <w:rFonts w:hint="eastAsia" w:eastAsia="仿宋_GB2312"/>
          <w:color w:val="000000"/>
          <w:sz w:val="32"/>
          <w:szCs w:val="32"/>
          <w:lang w:eastAsia="zh-CN"/>
        </w:rPr>
        <w:t>专项整治工作</w:t>
      </w:r>
      <w:r>
        <w:rPr>
          <w:rFonts w:hint="eastAsia" w:eastAsia="仿宋_GB2312"/>
          <w:color w:val="000000"/>
          <w:sz w:val="32"/>
          <w:szCs w:val="32"/>
        </w:rPr>
        <w:t>经费</w:t>
      </w:r>
      <w:r>
        <w:rPr>
          <w:rFonts w:hint="eastAsia" w:eastAsia="仿宋_GB2312"/>
          <w:color w:val="000000"/>
          <w:sz w:val="32"/>
          <w:szCs w:val="32"/>
          <w:lang w:eastAsia="zh-CN"/>
        </w:rPr>
        <w:t>、</w:t>
      </w:r>
      <w:r>
        <w:rPr>
          <w:rFonts w:hint="eastAsia" w:eastAsia="仿宋_GB2312"/>
          <w:color w:val="000000"/>
          <w:sz w:val="32"/>
          <w:szCs w:val="32"/>
        </w:rPr>
        <w:t>纪检监察业务</w:t>
      </w:r>
      <w:r>
        <w:rPr>
          <w:rFonts w:hint="eastAsia" w:eastAsia="仿宋_GB2312"/>
          <w:color w:val="000000"/>
          <w:sz w:val="32"/>
          <w:szCs w:val="32"/>
          <w:lang w:eastAsia="zh-CN"/>
        </w:rPr>
        <w:t>工作经费和派驻纪检组工作经费</w:t>
      </w:r>
      <w:r>
        <w:rPr>
          <w:rFonts w:hint="eastAsia" w:eastAsia="仿宋_GB2312"/>
          <w:color w:val="000000"/>
          <w:sz w:val="32"/>
          <w:szCs w:val="32"/>
        </w:rPr>
        <w:t>均严格按照要求进行项目资金的申报、使用和管理，手续齐全，合法合规，未发现有违反财经纪律现象发生。</w:t>
      </w:r>
    </w:p>
    <w:p>
      <w:pPr>
        <w:widowControl/>
        <w:spacing w:line="600" w:lineRule="exact"/>
        <w:ind w:firstLine="645"/>
        <w:jc w:val="left"/>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lang w:eastAsia="zh-CN"/>
        </w:rPr>
        <w:t>（二）</w:t>
      </w:r>
      <w:r>
        <w:rPr>
          <w:rFonts w:hint="eastAsia" w:ascii="楷体_GB2312" w:hAnsi="楷体_GB2312" w:eastAsia="楷体_GB2312" w:cs="楷体_GB2312"/>
          <w:color w:val="000000"/>
          <w:sz w:val="32"/>
          <w:szCs w:val="32"/>
        </w:rPr>
        <w:t>绩效评价目的：</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通过绩效评价，了解</w:t>
      </w:r>
      <w:r>
        <w:rPr>
          <w:rFonts w:hint="eastAsia" w:eastAsia="仿宋_GB2312"/>
          <w:color w:val="000000"/>
          <w:sz w:val="32"/>
          <w:szCs w:val="32"/>
          <w:lang w:eastAsia="zh-CN"/>
        </w:rPr>
        <w:t>本委机关</w:t>
      </w:r>
      <w:r>
        <w:rPr>
          <w:rFonts w:hint="eastAsia" w:eastAsia="仿宋_GB2312"/>
          <w:color w:val="000000"/>
          <w:sz w:val="32"/>
          <w:szCs w:val="32"/>
        </w:rPr>
        <w:t>各科室工作情况及取得的效果，总结管理经验，发现管理中存在的问题，为提高经费使用效益，加强财政支出的规范化管理，健全和完善支出项目和资金使用管理办法，完善预算编制、加强绩效目标管理和绩效考核工作提供重要的参考依据，以及提出相关的建议和应采取的措施等。</w:t>
      </w:r>
    </w:p>
    <w:p>
      <w:pPr>
        <w:widowControl/>
        <w:spacing w:line="600" w:lineRule="exact"/>
        <w:ind w:firstLine="645"/>
        <w:jc w:val="left"/>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lang w:eastAsia="zh-CN"/>
        </w:rPr>
        <w:t>（三）</w:t>
      </w:r>
      <w:r>
        <w:rPr>
          <w:rFonts w:hint="eastAsia" w:ascii="楷体_GB2312" w:hAnsi="楷体_GB2312" w:eastAsia="楷体_GB2312" w:cs="楷体_GB2312"/>
          <w:color w:val="000000"/>
          <w:sz w:val="32"/>
          <w:szCs w:val="32"/>
        </w:rPr>
        <w:t>绩效评价工作过程：</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1、根据绩效评价工作要求，成立了自评工作小组，由分管</w:t>
      </w:r>
      <w:r>
        <w:rPr>
          <w:rFonts w:hint="eastAsia" w:eastAsia="仿宋_GB2312"/>
          <w:color w:val="000000"/>
          <w:sz w:val="32"/>
          <w:szCs w:val="32"/>
          <w:lang w:eastAsia="zh-CN"/>
        </w:rPr>
        <w:t>办公室</w:t>
      </w:r>
      <w:r>
        <w:rPr>
          <w:rFonts w:hint="eastAsia" w:eastAsia="仿宋_GB2312"/>
          <w:color w:val="000000"/>
          <w:sz w:val="32"/>
          <w:szCs w:val="32"/>
        </w:rPr>
        <w:t>的</w:t>
      </w:r>
      <w:r>
        <w:rPr>
          <w:rFonts w:hint="eastAsia" w:eastAsia="仿宋_GB2312"/>
          <w:color w:val="000000"/>
          <w:sz w:val="32"/>
          <w:szCs w:val="32"/>
          <w:lang w:eastAsia="zh-CN"/>
        </w:rPr>
        <w:t>常务</w:t>
      </w:r>
      <w:r>
        <w:rPr>
          <w:rFonts w:hint="eastAsia" w:eastAsia="仿宋_GB2312"/>
          <w:color w:val="000000"/>
          <w:sz w:val="32"/>
          <w:szCs w:val="32"/>
        </w:rPr>
        <w:t>副书记任组长，办公室负责落实本</w:t>
      </w:r>
      <w:r>
        <w:rPr>
          <w:rFonts w:hint="eastAsia" w:eastAsia="仿宋_GB2312"/>
          <w:color w:val="000000"/>
          <w:sz w:val="32"/>
          <w:szCs w:val="32"/>
          <w:lang w:eastAsia="zh-CN"/>
        </w:rPr>
        <w:t>部门</w:t>
      </w:r>
      <w:r>
        <w:rPr>
          <w:rFonts w:hint="eastAsia" w:eastAsia="仿宋_GB2312"/>
          <w:color w:val="000000"/>
          <w:sz w:val="32"/>
          <w:szCs w:val="32"/>
        </w:rPr>
        <w:t>自评工作。</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2、为检测项目进展与实施效果，根据评价指标对项目的实施结果进行测评，并对项目经费的资金落实、支出、监督、管理的跟踪问效，了解该项目资金使用的过程、结果，判断资金使用是否科学、合理和有效。</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3、收集资料的基础上，根据《绩效评价工作方案》，在指标设置中通过定量和定性相结合、目标与结果比较、投入与效果比较等方法设置指标体系。通过设置指标的实现值、标准值、权值和权值的记分方法的体系来评价每个指标的最终得分，以最终得分来综合评价项目的绩效，并形成绩效评价报告。</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4、征求意见。对履行职责情况的公众满意度征求了</w:t>
      </w:r>
      <w:r>
        <w:rPr>
          <w:rFonts w:hint="eastAsia" w:eastAsia="仿宋_GB2312"/>
          <w:color w:val="000000"/>
          <w:sz w:val="32"/>
          <w:szCs w:val="32"/>
          <w:lang w:eastAsia="zh-CN"/>
        </w:rPr>
        <w:t>本</w:t>
      </w:r>
      <w:r>
        <w:rPr>
          <w:rFonts w:hint="eastAsia" w:eastAsia="仿宋_GB2312"/>
          <w:color w:val="000000"/>
          <w:sz w:val="32"/>
          <w:szCs w:val="32"/>
        </w:rPr>
        <w:t>委机关各科室的评价。</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5、评价组对各项评价指标进行分析讨论。</w:t>
      </w:r>
    </w:p>
    <w:p>
      <w:pPr>
        <w:widowControl/>
        <w:spacing w:line="600" w:lineRule="exact"/>
        <w:ind w:firstLine="645"/>
        <w:jc w:val="left"/>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（四）</w:t>
      </w:r>
      <w:r>
        <w:rPr>
          <w:rFonts w:hint="eastAsia" w:ascii="楷体_GB2312" w:hAnsi="楷体_GB2312" w:eastAsia="楷体_GB2312" w:cs="楷体_GB2312"/>
          <w:color w:val="000000"/>
          <w:sz w:val="32"/>
          <w:szCs w:val="32"/>
        </w:rPr>
        <w:t>主要绩效及评价结论</w:t>
      </w:r>
      <w:r>
        <w:rPr>
          <w:rFonts w:hint="eastAsia" w:ascii="楷体_GB2312" w:hAnsi="楷体_GB2312" w:eastAsia="楷体_GB2312" w:cs="楷体_GB2312"/>
          <w:color w:val="000000"/>
          <w:sz w:val="32"/>
          <w:szCs w:val="32"/>
          <w:lang w:eastAsia="zh-CN"/>
        </w:rPr>
        <w:t>：</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lang w:eastAsia="zh-CN"/>
        </w:rPr>
        <w:t>本部门</w:t>
      </w:r>
      <w:r>
        <w:rPr>
          <w:rFonts w:hint="eastAsia" w:eastAsia="仿宋_GB2312"/>
          <w:color w:val="000000"/>
          <w:sz w:val="32"/>
          <w:szCs w:val="32"/>
        </w:rPr>
        <w:t>履行职责职能,严格按财经法规及制度使用、管理资金,成效明显,主要体现在以下几个方面：</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一是资金使用效益高。表现在:1.保障了日常各项工作的正常运转,资金支付正常；2.为</w:t>
      </w:r>
      <w:r>
        <w:rPr>
          <w:rFonts w:hint="eastAsia" w:eastAsia="仿宋_GB2312"/>
          <w:color w:val="000000"/>
          <w:sz w:val="32"/>
          <w:szCs w:val="32"/>
          <w:lang w:eastAsia="zh-CN"/>
        </w:rPr>
        <w:t>本部门</w:t>
      </w:r>
      <w:r>
        <w:rPr>
          <w:rFonts w:hint="eastAsia" w:eastAsia="仿宋_GB2312"/>
          <w:color w:val="000000"/>
          <w:sz w:val="32"/>
          <w:szCs w:val="32"/>
        </w:rPr>
        <w:t>各项大案要案的办理提供了充分的保障，客观上提升了案件查办的质量；3.资金使用无虚列支出及随意使用现象,无大额现金支付现象。</w:t>
      </w:r>
    </w:p>
    <w:p>
      <w:pPr>
        <w:widowControl/>
        <w:spacing w:line="600" w:lineRule="exact"/>
        <w:ind w:firstLine="645"/>
        <w:jc w:val="left"/>
        <w:rPr>
          <w:rFonts w:eastAsia="仿宋_GB2312"/>
          <w:color w:val="000000"/>
          <w:sz w:val="32"/>
          <w:szCs w:val="32"/>
        </w:rPr>
      </w:pPr>
      <w:r>
        <w:rPr>
          <w:rFonts w:hint="eastAsia" w:eastAsia="仿宋_GB2312"/>
          <w:color w:val="000000"/>
          <w:sz w:val="32"/>
          <w:szCs w:val="32"/>
        </w:rPr>
        <w:t>二是资金使用社会效益好。1.保障了</w:t>
      </w:r>
      <w:r>
        <w:rPr>
          <w:rFonts w:hint="eastAsia" w:eastAsia="仿宋_GB2312"/>
          <w:color w:val="000000"/>
          <w:sz w:val="32"/>
          <w:szCs w:val="32"/>
          <w:lang w:eastAsia="zh-CN"/>
        </w:rPr>
        <w:t>本部门</w:t>
      </w:r>
      <w:r>
        <w:rPr>
          <w:rFonts w:hint="eastAsia" w:eastAsia="仿宋_GB2312"/>
          <w:color w:val="000000"/>
          <w:sz w:val="32"/>
          <w:szCs w:val="32"/>
        </w:rPr>
        <w:t>各项工作的顺利进行，如：开展“</w:t>
      </w:r>
      <w:r>
        <w:rPr>
          <w:rFonts w:hint="eastAsia" w:eastAsia="仿宋_GB2312"/>
          <w:color w:val="000000"/>
          <w:sz w:val="32"/>
          <w:szCs w:val="32"/>
          <w:lang w:val="en-US" w:eastAsia="zh-CN"/>
        </w:rPr>
        <w:t>3+1</w:t>
      </w:r>
      <w:r>
        <w:rPr>
          <w:rFonts w:hint="eastAsia" w:eastAsia="仿宋_GB2312"/>
          <w:color w:val="000000"/>
          <w:sz w:val="32"/>
          <w:szCs w:val="32"/>
        </w:rPr>
        <w:t>”</w:t>
      </w:r>
      <w:r>
        <w:rPr>
          <w:rFonts w:hint="eastAsia" w:eastAsia="仿宋_GB2312"/>
          <w:color w:val="000000"/>
          <w:sz w:val="32"/>
          <w:szCs w:val="32"/>
          <w:lang w:eastAsia="zh-CN"/>
        </w:rPr>
        <w:t>联合监督、政法队伍教育整顿</w:t>
      </w:r>
      <w:r>
        <w:rPr>
          <w:rFonts w:hint="eastAsia" w:eastAsia="仿宋_GB2312"/>
          <w:color w:val="000000"/>
          <w:sz w:val="32"/>
          <w:szCs w:val="32"/>
        </w:rPr>
        <w:t>、领导干部插手干预工程建设项目问题大起底、社保资金专项整治、耕地“非粮化、非农化”等专项领域问题整治；开展违反中央八项规定精神问题专项治理、形式主义官僚主义问题专项治理、“作风建设大提升，营商环境大优化”活动、“洞庭清波”专项治理、防疫专项督查、防汛专项督查、扫黑除恶专项斗争。2.保障了“精准扶贫”及新冠疫情等突发疫情的经费开支。</w:t>
      </w:r>
    </w:p>
    <w:p>
      <w:pPr>
        <w:pStyle w:val="8"/>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spacing w:line="600" w:lineRule="exact"/>
        <w:ind w:firstLine="645"/>
        <w:jc w:val="left"/>
        <w:rPr>
          <w:rFonts w:hint="eastAsia" w:eastAsia="仿宋_GB2312"/>
          <w:color w:val="000000"/>
          <w:sz w:val="32"/>
          <w:szCs w:val="32"/>
          <w:lang w:eastAsia="zh-CN"/>
        </w:rPr>
      </w:pPr>
      <w:r>
        <w:rPr>
          <w:rFonts w:hint="eastAsia" w:eastAsia="仿宋_GB2312"/>
          <w:color w:val="000000"/>
          <w:sz w:val="32"/>
          <w:szCs w:val="32"/>
          <w:lang w:eastAsia="zh-CN"/>
        </w:rPr>
        <w:t>1、预算计划与预算执行存在一定的偏差。</w:t>
      </w:r>
    </w:p>
    <w:p>
      <w:pPr>
        <w:widowControl/>
        <w:spacing w:line="600" w:lineRule="exact"/>
        <w:ind w:firstLine="645"/>
        <w:jc w:val="left"/>
        <w:rPr>
          <w:rFonts w:hint="eastAsia" w:eastAsia="仿宋_GB2312"/>
          <w:color w:val="000000"/>
          <w:sz w:val="32"/>
          <w:szCs w:val="32"/>
          <w:lang w:eastAsia="zh-CN"/>
        </w:rPr>
      </w:pPr>
      <w:r>
        <w:rPr>
          <w:rFonts w:hint="eastAsia" w:eastAsia="仿宋_GB2312"/>
          <w:color w:val="000000"/>
          <w:sz w:val="32"/>
          <w:szCs w:val="32"/>
          <w:lang w:eastAsia="zh-CN"/>
        </w:rPr>
        <w:t>2、绩效目标设立不够明确、细化和量化。</w:t>
      </w:r>
    </w:p>
    <w:p>
      <w:pPr>
        <w:widowControl/>
        <w:spacing w:line="600" w:lineRule="exact"/>
        <w:ind w:firstLine="640" w:firstLineChars="200"/>
        <w:jc w:val="left"/>
        <w:rPr>
          <w:rFonts w:eastAsia="黑体"/>
          <w:sz w:val="32"/>
          <w:szCs w:val="32"/>
        </w:rPr>
      </w:pPr>
      <w:r>
        <w:rPr>
          <w:rFonts w:hint="eastAsia" w:eastAsia="黑体"/>
          <w:sz w:val="32"/>
          <w:szCs w:val="32"/>
          <w:lang w:eastAsia="zh-CN"/>
        </w:rPr>
        <w:t>六</w:t>
      </w:r>
      <w:r>
        <w:rPr>
          <w:rFonts w:eastAsia="黑体"/>
          <w:sz w:val="32"/>
          <w:szCs w:val="32"/>
        </w:rPr>
        <w:t>、下一步改进措施</w:t>
      </w:r>
    </w:p>
    <w:p>
      <w:pPr>
        <w:widowControl/>
        <w:spacing w:line="600" w:lineRule="exact"/>
        <w:ind w:firstLine="645"/>
        <w:jc w:val="left"/>
        <w:rPr>
          <w:rFonts w:hint="eastAsia" w:eastAsia="仿宋_GB2312"/>
          <w:color w:val="000000"/>
          <w:sz w:val="32"/>
          <w:szCs w:val="32"/>
          <w:lang w:eastAsia="zh-CN"/>
        </w:rPr>
      </w:pPr>
      <w:r>
        <w:rPr>
          <w:rFonts w:hint="eastAsia" w:eastAsia="仿宋_GB2312"/>
          <w:color w:val="000000"/>
          <w:sz w:val="32"/>
          <w:szCs w:val="32"/>
          <w:lang w:eastAsia="zh-CN"/>
        </w:rPr>
        <w:t>1、进一步完善单位办公室和业务部门共同参与、协调配合的绩效评价工作机制。</w:t>
      </w:r>
    </w:p>
    <w:p>
      <w:pPr>
        <w:widowControl/>
        <w:spacing w:line="600" w:lineRule="exact"/>
        <w:ind w:firstLine="645"/>
        <w:jc w:val="left"/>
        <w:rPr>
          <w:rFonts w:eastAsia="黑体"/>
          <w:sz w:val="32"/>
          <w:szCs w:val="32"/>
        </w:rPr>
      </w:pPr>
      <w:r>
        <w:rPr>
          <w:rFonts w:hint="eastAsia" w:eastAsia="仿宋_GB2312"/>
          <w:color w:val="000000"/>
          <w:sz w:val="32"/>
          <w:szCs w:val="32"/>
          <w:lang w:eastAsia="zh-CN"/>
        </w:rPr>
        <w:t>2、开展多种形式的讲座和培训，强化预算绩效管理意识，提高单位绩效评价工作水平。</w:t>
      </w:r>
    </w:p>
    <w:p>
      <w:pPr>
        <w:widowControl/>
        <w:spacing w:line="600" w:lineRule="exact"/>
        <w:ind w:firstLine="645"/>
        <w:jc w:val="left"/>
        <w:rPr>
          <w:rFonts w:eastAsia="黑体"/>
          <w:sz w:val="32"/>
          <w:szCs w:val="32"/>
        </w:rPr>
      </w:pPr>
      <w:r>
        <w:rPr>
          <w:rFonts w:hint="eastAsia" w:eastAsia="黑体"/>
          <w:sz w:val="32"/>
          <w:szCs w:val="32"/>
          <w:lang w:eastAsia="zh-CN"/>
        </w:rPr>
        <w:t>七</w:t>
      </w:r>
      <w:r>
        <w:rPr>
          <w:rFonts w:eastAsia="黑体"/>
          <w:sz w:val="32"/>
          <w:szCs w:val="32"/>
        </w:rPr>
        <w:t>、其他需要说明的情况</w:t>
      </w:r>
    </w:p>
    <w:p>
      <w:pPr>
        <w:pStyle w:val="2"/>
        <w:ind w:firstLine="640"/>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无</w:t>
      </w:r>
    </w:p>
    <w:p>
      <w:pPr>
        <w:pStyle w:val="2"/>
        <w:ind w:firstLine="640"/>
        <w:rPr>
          <w:rFonts w:hint="default" w:ascii="Times New Roman" w:hAnsi="Times New Roman" w:eastAsia="仿宋_GB2312" w:cs="Times New Roman"/>
          <w:color w:val="000000"/>
          <w:kern w:val="2"/>
          <w:sz w:val="32"/>
          <w:szCs w:val="32"/>
          <w:lang w:val="en-US" w:eastAsia="zh-CN" w:bidi="ar-SA"/>
        </w:rPr>
      </w:pPr>
    </w:p>
    <w:p>
      <w:pPr>
        <w:pStyle w:val="2"/>
        <w:ind w:firstLine="640"/>
        <w:rPr>
          <w:rFonts w:hint="default" w:ascii="Times New Roman" w:hAnsi="Times New Roman" w:eastAsia="仿宋_GB2312" w:cs="Times New Roman"/>
          <w:color w:val="000000"/>
          <w:kern w:val="2"/>
          <w:sz w:val="32"/>
          <w:szCs w:val="32"/>
          <w:lang w:val="en-US" w:eastAsia="zh-CN" w:bidi="ar-SA"/>
        </w:rPr>
      </w:pPr>
    </w:p>
    <w:p>
      <w:pPr>
        <w:pStyle w:val="2"/>
        <w:ind w:firstLine="640"/>
        <w:rPr>
          <w:rFonts w:hint="default" w:ascii="Times New Roman" w:hAnsi="Times New Roman" w:eastAsia="仿宋_GB2312" w:cs="Times New Roman"/>
          <w:color w:val="000000"/>
          <w:kern w:val="2"/>
          <w:sz w:val="32"/>
          <w:szCs w:val="32"/>
          <w:lang w:val="en-US" w:eastAsia="zh-CN" w:bidi="ar-SA"/>
        </w:rPr>
      </w:pPr>
    </w:p>
    <w:p>
      <w:pPr>
        <w:pStyle w:val="2"/>
        <w:ind w:firstLine="5126" w:firstLineChars="1602"/>
        <w:rPr>
          <w:rFonts w:hint="default" w:ascii="Times New Roman" w:hAnsi="Times New Roman" w:eastAsia="仿宋_GB2312" w:cs="Times New Roman"/>
          <w:color w:val="000000"/>
          <w:kern w:val="2"/>
          <w:sz w:val="32"/>
          <w:szCs w:val="32"/>
          <w:lang w:val="en-US" w:eastAsia="zh-CN" w:bidi="ar-SA"/>
        </w:rPr>
      </w:pPr>
      <w:bookmarkStart w:id="0" w:name="_GoBack"/>
      <w:bookmarkEnd w:id="0"/>
      <w:r>
        <w:rPr>
          <w:rFonts w:hint="eastAsia" w:ascii="Times New Roman" w:hAnsi="Times New Roman" w:eastAsia="仿宋_GB2312" w:cs="Times New Roman"/>
          <w:color w:val="000000"/>
          <w:kern w:val="2"/>
          <w:sz w:val="32"/>
          <w:szCs w:val="32"/>
          <w:lang w:val="en-US" w:eastAsia="zh-CN" w:bidi="ar-SA"/>
        </w:rPr>
        <w:t>2022年3月25日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JhengHei">
    <w:panose1 w:val="020B0604030504040204"/>
    <w:charset w:val="88"/>
    <w:family w:val="swiss"/>
    <w:pitch w:val="default"/>
    <w:sig w:usb0="00000087" w:usb1="28AF4000" w:usb2="00000016" w:usb3="00000000" w:csb0="00100009"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6E4AE1"/>
    <w:multiLevelType w:val="singleLevel"/>
    <w:tmpl w:val="E96E4A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9B978A7"/>
    <w:rsid w:val="3A076E09"/>
    <w:rsid w:val="3B8F3226"/>
    <w:rsid w:val="5A9D5D9B"/>
    <w:rsid w:val="61641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1"/>
    <w:pPr>
      <w:spacing w:before="85"/>
      <w:ind w:left="751"/>
      <w:outlineLvl w:val="0"/>
    </w:pPr>
    <w:rPr>
      <w:rFonts w:ascii="Microsoft JhengHei" w:hAnsi="Microsoft JhengHei" w:eastAsia="Microsoft JhengHei" w:cs="Microsoft JhengHei"/>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paragraph" w:styleId="8">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嘻哈</cp:lastModifiedBy>
  <dcterms:modified xsi:type="dcterms:W3CDTF">2022-03-28T02:21:04Z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