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组织部2021年度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 xml:space="preserve">1.职能职责: </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（一）研究和指导党组织特别是党的基层组织建设，探索在各类新经济组织中党组织设置和活动方式的有关问题；研究、协调和指导党员教育，主管党员的管理和发展工作；组织开展新时期党的建设的理论研究。</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二）负责干部宏观管理工作，认真履行“综合、协调、指导、监督”职能，根据上级精神，向市委提出理顺干部管理体制，划分干部管理权限的意见，会同有关部门提出科级领导班子职数、职务设置方案，经市委同意后组织实施；负责抓好干部人事制度改革工作；负责贯彻执行和结合实际研究制定选拔任用干部的标准、程序；统筹协调干部工作中的有关问题；负责抓好干部双重管理工作</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负责抓好领导班子和领导干部队伍特别是优秀年轻干部队伍建设工作</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三）提出关于列入市委管理的领导班子调整、配备的意见和建议，按市委常委会决定做好通气、谈话、公示、发文、到位等工作；受市委委托管理部分干部；负责市委管理干部的考察及其任免、工资、待遇、出国（境）、离退休审批手续的办理；负责军转团职干部的安置工作；负责归口管理老干部工作；负责干部档案和干部统计工作的综合指导；抓好科级领导班子的思想作风建设；承办市管干部和部分中层干部的调配、交流及安置事宜。</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（四）负责全市各级党群机关及人大、政协、法院、检察院等机关参照实行《国家公务员暂行条例》的组织实施、综合指导。</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（五）组织落实培养选拔中青年干部、妇女干部、少数民族干部、非党干部的有关规划和方案。</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六）负责干部监督工作的宏观指导，负责组织工作和干部工作的检查督促，及时向常德市委组织部和市委反映重要情况；负责市管干部现实问题调查核实及参与对反映有关问题的乡镇、街道和市直部门领导班子情况的调查了解，负责对贯彻执行《党政领导干部选拔任用工作暂行条例》工作进行监督，抓好干部监督制度的落实和历史遗留问题的审查。</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（七）制订干部教育规划，组织市委管理的干部和一定层次的中青年干部以及政工（人事）负责人的培训；指导、协调、检查乡镇、街道和市直部门的干部教育工作。</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（八）调查了解知识分子工作情况，检查贯彻执行知识分子政策的情况，参与专家和拔尖人才的推荐选拔管理。</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（九）指导市属重点企业搞好企业党的建设和领导班子建设，积极探索适应市场经济发展要求的企业用人机制和管理体制。</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十）负责制订市直机关党的建设规划；领导市直机关（含具有行政职能的事业单位）党的工作；组织市直机关各级党组织抓好政治理论学习和宣传思想工作，加强机关作风建设；指导市直机关做好党员发展、教育、培训和管理工作，规范机关党组织生活；负责市直单位党费收缴管理。</w:t>
      </w:r>
    </w:p>
    <w:p>
      <w:pPr>
        <w:pStyle w:val="5"/>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十一</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负责抓好公务员事务管理工作，公务员工资福利，公务员工资统发审核工作，办理行政机关公务员及相关参照公务员法管理单位工作人员调配等工作。</w:t>
      </w:r>
    </w:p>
    <w:p>
      <w:pPr>
        <w:pStyle w:val="5"/>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w:t>
      </w:r>
      <w:r>
        <w:rPr>
          <w:rFonts w:hint="eastAsia" w:ascii="仿宋_GB2312" w:hAnsi="仿宋" w:eastAsia="仿宋_GB2312"/>
          <w:sz w:val="32"/>
          <w:szCs w:val="32"/>
        </w:rPr>
        <w:t>十</w:t>
      </w:r>
      <w:r>
        <w:rPr>
          <w:rFonts w:hint="eastAsia" w:ascii="仿宋_GB2312" w:hAnsi="仿宋" w:eastAsia="仿宋_GB2312"/>
          <w:sz w:val="32"/>
          <w:szCs w:val="32"/>
          <w:lang w:val="en-US" w:eastAsia="zh-CN"/>
        </w:rPr>
        <w:t>二）负责做好全市老干部相关工作。</w:t>
      </w:r>
    </w:p>
    <w:p>
      <w:pPr>
        <w:keepNext w:val="0"/>
        <w:keepLines w:val="0"/>
        <w:pageBreakBefore w:val="0"/>
        <w:widowControl/>
        <w:kinsoku/>
        <w:wordWrap/>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3D3D3D"/>
          <w:kern w:val="0"/>
          <w:sz w:val="32"/>
          <w:szCs w:val="32"/>
        </w:rPr>
      </w:pPr>
      <w:r>
        <w:rPr>
          <w:rFonts w:hint="eastAsia" w:ascii="仿宋_GB2312" w:hAnsi="仿宋" w:eastAsia="仿宋_GB2312"/>
          <w:sz w:val="32"/>
          <w:szCs w:val="32"/>
        </w:rPr>
        <w:t>（十</w:t>
      </w:r>
      <w:r>
        <w:rPr>
          <w:rFonts w:hint="eastAsia" w:ascii="仿宋_GB2312" w:hAnsi="仿宋" w:eastAsia="仿宋_GB2312"/>
          <w:sz w:val="32"/>
          <w:szCs w:val="32"/>
          <w:lang w:val="en-US" w:eastAsia="zh-CN"/>
        </w:rPr>
        <w:t>三</w:t>
      </w:r>
      <w:r>
        <w:rPr>
          <w:rFonts w:hint="eastAsia" w:ascii="仿宋_GB2312" w:hAnsi="仿宋" w:eastAsia="仿宋_GB2312"/>
          <w:sz w:val="32"/>
          <w:szCs w:val="32"/>
        </w:rPr>
        <w:t>）承办市委和常德市委组织部交办的其他事项</w:t>
      </w:r>
      <w:r>
        <w:rPr>
          <w:rFonts w:hint="eastAsia" w:ascii="仿宋_GB2312" w:hAnsi="仿宋_GB2312" w:eastAsia="仿宋_GB2312" w:cs="仿宋_GB2312"/>
          <w:color w:val="3D3D3D"/>
          <w:kern w:val="0"/>
          <w:sz w:val="32"/>
          <w:szCs w:val="32"/>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Times New Roman" w:hAnsi="Times New Roman" w:eastAsia="黑体"/>
          <w:sz w:val="32"/>
          <w:szCs w:val="32"/>
        </w:rPr>
      </w:pPr>
      <w:r>
        <w:rPr>
          <w:rFonts w:hint="eastAsia" w:ascii="仿宋_GB2312" w:hAnsi="仿宋" w:eastAsia="仿宋_GB2312"/>
          <w:sz w:val="32"/>
          <w:szCs w:val="32"/>
        </w:rPr>
        <w:t xml:space="preserve"> 2.机构设置：我单位为</w:t>
      </w:r>
      <w:r>
        <w:rPr>
          <w:rFonts w:ascii="Times New Roman" w:hAnsi="Times New Roman" w:eastAsia="仿宋_GB2312"/>
          <w:kern w:val="0"/>
          <w:sz w:val="32"/>
          <w:szCs w:val="32"/>
        </w:rPr>
        <w:t>独立核算的正科级行政单位，属一级预算单位。根据编委核定，我</w:t>
      </w:r>
      <w:r>
        <w:rPr>
          <w:rFonts w:hint="eastAsia" w:ascii="Times New Roman" w:hAnsi="Times New Roman" w:eastAsia="仿宋_GB2312"/>
          <w:kern w:val="0"/>
          <w:sz w:val="32"/>
          <w:szCs w:val="32"/>
        </w:rPr>
        <w:t>部</w:t>
      </w:r>
      <w:r>
        <w:rPr>
          <w:rFonts w:ascii="Times New Roman" w:hAnsi="Times New Roman" w:eastAsia="仿宋_GB2312"/>
          <w:kern w:val="0"/>
          <w:sz w:val="32"/>
          <w:szCs w:val="32"/>
        </w:rPr>
        <w:t>内设机构</w:t>
      </w:r>
      <w:r>
        <w:rPr>
          <w:rFonts w:hint="eastAsia" w:ascii="Times New Roman" w:hAnsi="Times New Roman" w:eastAsia="仿宋_GB2312"/>
          <w:kern w:val="0"/>
          <w:sz w:val="32"/>
          <w:szCs w:val="32"/>
        </w:rPr>
        <w:t>1</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个：</w:t>
      </w:r>
      <w:r>
        <w:rPr>
          <w:rFonts w:hint="eastAsia" w:ascii="仿宋_GB2312" w:hAnsi="仿宋" w:eastAsia="仿宋_GB2312"/>
          <w:sz w:val="32"/>
          <w:szCs w:val="32"/>
        </w:rPr>
        <w:t>办公室、研究室、组织室、干部一室、干部二室</w:t>
      </w:r>
      <w:r>
        <w:rPr>
          <w:rFonts w:hint="eastAsia" w:ascii="仿宋_GB2312" w:hAnsi="仿宋" w:eastAsia="仿宋_GB2312"/>
          <w:sz w:val="32"/>
          <w:szCs w:val="32"/>
          <w:lang w:eastAsia="zh-CN"/>
        </w:rPr>
        <w:t>（</w:t>
      </w:r>
      <w:r>
        <w:rPr>
          <w:rFonts w:hint="eastAsia" w:ascii="仿宋_GB2312" w:hAnsi="仿宋" w:eastAsia="仿宋_GB2312"/>
          <w:sz w:val="32"/>
          <w:szCs w:val="32"/>
        </w:rPr>
        <w:t>干部监督室</w:t>
      </w:r>
      <w:r>
        <w:rPr>
          <w:rFonts w:hint="eastAsia" w:ascii="仿宋_GB2312" w:hAnsi="仿宋" w:eastAsia="仿宋_GB2312"/>
          <w:sz w:val="32"/>
          <w:szCs w:val="32"/>
          <w:lang w:eastAsia="zh-CN"/>
        </w:rPr>
        <w:t>）</w:t>
      </w:r>
      <w:r>
        <w:rPr>
          <w:rFonts w:hint="eastAsia" w:ascii="仿宋_GB2312" w:hAnsi="仿宋" w:eastAsia="仿宋_GB2312"/>
          <w:sz w:val="32"/>
          <w:szCs w:val="32"/>
        </w:rPr>
        <w:t>、公务员办、</w:t>
      </w:r>
      <w:r>
        <w:rPr>
          <w:rFonts w:hint="eastAsia" w:ascii="仿宋_GB2312" w:hAnsi="仿宋" w:eastAsia="仿宋_GB2312"/>
          <w:sz w:val="32"/>
          <w:szCs w:val="32"/>
          <w:lang w:val="en-US" w:eastAsia="zh-CN"/>
        </w:rPr>
        <w:t>党员教育中心（远教办）</w:t>
      </w:r>
      <w:r>
        <w:rPr>
          <w:rFonts w:hint="eastAsia" w:ascii="仿宋_GB2312" w:hAnsi="仿宋" w:eastAsia="仿宋_GB2312"/>
          <w:sz w:val="32"/>
          <w:szCs w:val="32"/>
        </w:rPr>
        <w:t>、</w:t>
      </w:r>
      <w:r>
        <w:rPr>
          <w:rFonts w:hint="eastAsia" w:ascii="仿宋_GB2312" w:hAnsi="仿宋" w:eastAsia="仿宋_GB2312"/>
          <w:sz w:val="32"/>
          <w:szCs w:val="32"/>
          <w:lang w:val="en-US" w:eastAsia="zh-CN"/>
        </w:rPr>
        <w:t>市直机关工委办</w:t>
      </w:r>
      <w:r>
        <w:rPr>
          <w:rFonts w:hint="eastAsia" w:ascii="仿宋_GB2312" w:hAnsi="仿宋" w:eastAsia="仿宋_GB2312"/>
          <w:sz w:val="32"/>
          <w:szCs w:val="32"/>
        </w:rPr>
        <w:t>、干部档案信息室、非公有制经济组织和社会组织工作委员会办公室</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智慧党建办、老干部活动中心。</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黑体"/>
          <w:sz w:val="32"/>
          <w:szCs w:val="32"/>
        </w:rPr>
      </w:pPr>
      <w:r>
        <w:rPr>
          <w:rFonts w:hint="eastAsia" w:ascii="仿宋_GB2312" w:hAnsi="仿宋" w:eastAsia="仿宋_GB2312" w:cstheme="minorBidi"/>
          <w:kern w:val="2"/>
          <w:sz w:val="32"/>
          <w:szCs w:val="32"/>
          <w:lang w:val="en-US" w:eastAsia="zh-CN" w:bidi="ar-SA"/>
        </w:rPr>
        <w:t>2021年基本支出年初预算数为</w:t>
      </w:r>
      <w:r>
        <w:rPr>
          <w:rFonts w:hint="eastAsia" w:ascii="仿宋_GB2312" w:hAnsi="仿宋" w:eastAsia="仿宋_GB2312"/>
          <w:sz w:val="32"/>
          <w:szCs w:val="32"/>
          <w:lang w:val="en-US" w:eastAsia="zh-CN"/>
        </w:rPr>
        <w:t>351.45</w:t>
      </w:r>
      <w:r>
        <w:rPr>
          <w:rFonts w:hint="eastAsia" w:ascii="仿宋_GB2312" w:hAnsi="仿宋" w:eastAsia="仿宋_GB2312" w:cstheme="minorBidi"/>
          <w:kern w:val="2"/>
          <w:sz w:val="32"/>
          <w:szCs w:val="32"/>
          <w:lang w:val="en-US" w:eastAsia="zh-CN" w:bidi="ar-SA"/>
        </w:rPr>
        <w:t>万</w:t>
      </w:r>
      <w:bookmarkStart w:id="0" w:name="_GoBack"/>
      <w:bookmarkEnd w:id="0"/>
      <w:r>
        <w:rPr>
          <w:rFonts w:hint="eastAsia" w:ascii="仿宋_GB2312" w:hAnsi="仿宋" w:eastAsia="仿宋_GB2312" w:cstheme="minorBidi"/>
          <w:kern w:val="2"/>
          <w:sz w:val="32"/>
          <w:szCs w:val="32"/>
          <w:lang w:val="en-US" w:eastAsia="zh-CN" w:bidi="ar-SA"/>
        </w:rPr>
        <w:t>元，是指为保障单位机构正常运转、完成日常工作任务而发生的各项支出，包括用于基本工资、津贴补贴等人员经费以及办公费、印刷费、水电费、办公设备购置等日常公用经费。</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2020年项目支出年初预算数为72万元，是指单位为完成特定行政工作任务或事业发展目标而发生的支出，包括有关业务工作专项和运行维护专项。</w:t>
      </w:r>
    </w:p>
    <w:p>
      <w:pPr>
        <w:pStyle w:val="4"/>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val="en-US" w:eastAsia="zh-CN"/>
        </w:rPr>
        <w:t>三、</w:t>
      </w:r>
      <w:r>
        <w:rPr>
          <w:rFonts w:ascii="Times New Roman" w:hAnsi="Times New Roman" w:eastAsia="黑体"/>
          <w:sz w:val="32"/>
          <w:szCs w:val="32"/>
        </w:rPr>
        <w:t>政府性基金预算支出情况</w:t>
      </w:r>
    </w:p>
    <w:p>
      <w:pPr>
        <w:pStyle w:val="4"/>
        <w:widowControl/>
        <w:numPr>
          <w:ilvl w:val="0"/>
          <w:numId w:val="0"/>
        </w:numPr>
        <w:spacing w:line="600" w:lineRule="exact"/>
        <w:ind w:left="640" w:leftChars="0"/>
        <w:jc w:val="left"/>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kinsoku/>
        <w:wordWrap/>
        <w:overflowPunct/>
        <w:topLinePunct w:val="0"/>
        <w:autoSpaceDE/>
        <w:autoSpaceDN/>
        <w:bidi w:val="0"/>
        <w:spacing w:line="560" w:lineRule="exact"/>
        <w:ind w:firstLine="640" w:firstLineChars="200"/>
        <w:jc w:val="both"/>
        <w:textAlignment w:val="auto"/>
        <w:rPr>
          <w:rFonts w:hint="eastAsia"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组织部2020年整体绩效目标（含项目支出）实现全覆盖，涉及一般公共预算拨款351.45万元。其中：项目绩效目标涉及一般公共预算拨款351.45万元；纳入以部门为主体的重点绩效评价项目涉及一般公共预算拨款351.45万元。</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无</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pStyle w:val="5"/>
        <w:numPr>
          <w:ilvl w:val="0"/>
          <w:numId w:val="0"/>
        </w:numPr>
        <w:rPr>
          <w:rFonts w:hint="default" w:eastAsia="宋体"/>
          <w:lang w:val="en-US" w:eastAsia="zh-CN"/>
        </w:rPr>
      </w:pPr>
      <w:r>
        <w:rPr>
          <w:rFonts w:hint="eastAsia"/>
          <w:lang w:val="en-US" w:eastAsia="zh-CN"/>
        </w:rPr>
        <w:t xml:space="preserve">      </w:t>
      </w:r>
      <w:r>
        <w:rPr>
          <w:rFonts w:hint="eastAsia"/>
          <w:sz w:val="32"/>
          <w:szCs w:val="32"/>
          <w:lang w:val="en-US" w:eastAsia="zh-CN"/>
        </w:rPr>
        <w:t>无</w:t>
      </w:r>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无</w:t>
      </w:r>
    </w:p>
    <w:p>
      <w:pPr>
        <w:widowControl/>
        <w:spacing w:line="600" w:lineRule="exact"/>
        <w:ind w:firstLine="645"/>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2B0FD1-3AAF-4636-A744-DAB69889817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96DA551-3E9F-4F5C-AA36-F36AD11FCB85}"/>
  </w:font>
  <w:font w:name="方正小标宋_GBK">
    <w:panose1 w:val="02000000000000000000"/>
    <w:charset w:val="86"/>
    <w:family w:val="script"/>
    <w:pitch w:val="default"/>
    <w:sig w:usb0="A00002BF" w:usb1="38CF7CFA" w:usb2="00082016" w:usb3="00000000" w:csb0="00040001" w:csb1="00000000"/>
    <w:embedRegular r:id="rId3" w:fontKey="{EB798A00-8988-4259-9642-4B1B48CB7F02}"/>
  </w:font>
  <w:font w:name="仿宋_GB2312">
    <w:altName w:val="仿宋"/>
    <w:panose1 w:val="02010609030101010101"/>
    <w:charset w:val="86"/>
    <w:family w:val="modern"/>
    <w:pitch w:val="default"/>
    <w:sig w:usb0="00000000" w:usb1="00000000" w:usb2="00000000" w:usb3="00000000" w:csb0="00040000" w:csb1="00000000"/>
    <w:embedRegular r:id="rId4" w:fontKey="{3D6111E8-D0F1-48DB-8CE7-F59492CBE895}"/>
  </w:font>
  <w:font w:name="仿宋">
    <w:panose1 w:val="02010609060101010101"/>
    <w:charset w:val="86"/>
    <w:family w:val="auto"/>
    <w:pitch w:val="default"/>
    <w:sig w:usb0="800002BF" w:usb1="38CF7CFA" w:usb2="00000016" w:usb3="00000000" w:csb0="00040001" w:csb1="00000000"/>
    <w:embedRegular r:id="rId5" w:fontKey="{49AF9B25-DD75-4F2B-B295-32C955E557D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2865F"/>
    <w:multiLevelType w:val="singleLevel"/>
    <w:tmpl w:val="9362865F"/>
    <w:lvl w:ilvl="0" w:tentative="0">
      <w:start w:val="1"/>
      <w:numFmt w:val="chineseCounting"/>
      <w:suff w:val="nothing"/>
      <w:lvlText w:val="%1、"/>
      <w:lvlJc w:val="left"/>
      <w:rPr>
        <w:rFonts w:hint="eastAsia"/>
      </w:rPr>
    </w:lvl>
  </w:abstractNum>
  <w:abstractNum w:abstractNumId="1">
    <w:nsid w:val="53DD3040"/>
    <w:multiLevelType w:val="singleLevel"/>
    <w:tmpl w:val="53DD3040"/>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5054F6B"/>
    <w:rsid w:val="2CAA2386"/>
    <w:rsid w:val="3A076E09"/>
    <w:rsid w:val="3B8F3226"/>
    <w:rsid w:val="5A9D5D9B"/>
    <w:rsid w:val="72D0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 w:type="paragraph" w:customStyle="1" w:styleId="5">
    <w:name w:val="正文首行缩进 21"/>
    <w:basedOn w:val="6"/>
    <w:qFormat/>
    <w:uiPriority w:val="0"/>
    <w:pPr>
      <w:ind w:firstLine="200" w:firstLineChars="200"/>
    </w:pPr>
  </w:style>
  <w:style w:type="paragraph" w:customStyle="1" w:styleId="6">
    <w:name w:val="正文文本缩进1"/>
    <w:basedOn w:val="1"/>
    <w:qFormat/>
    <w:uiPriority w:val="0"/>
    <w:pPr>
      <w:spacing w:after="120"/>
      <w:ind w:left="20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robynn</cp:lastModifiedBy>
  <dcterms:modified xsi:type="dcterms:W3CDTF">2022-03-25T07:55:57Z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